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0FFD" w:rsidP="00630FFD">
      <w:pPr>
        <w:pStyle w:val="Title"/>
      </w:pPr>
      <w:r>
        <w:fldChar w:fldCharType="begin"/>
      </w:r>
      <w:r>
        <w:instrText xml:space="preserve"> TITLE   \* MERGEFORMAT </w:instrText>
      </w:r>
      <w:r>
        <w:fldChar w:fldCharType="separate"/>
      </w:r>
      <w:r>
        <w:t>UEGNSG511A Operate gas infrastructure to meet nominated demand</w:t>
      </w:r>
      <w:r>
        <w:fldChar w:fldCharType="end"/>
      </w:r>
    </w:p>
    <w:p w:rsidR="00630FFD" w:rsidP="00630FFD">
      <w:pPr>
        <w:pStyle w:val="Version"/>
        <w:sectPr w:rsidSect="00C605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05C0" w:rsidP="00C605C0">
      <w:pPr>
        <w:pStyle w:val="SuperHeading"/>
      </w:pPr>
      <w:r w:rsidRPr="00C605C0">
        <w:t>UEGNSG511A Operate gas infrastructure to meet nominated demand</w:t>
      </w:r>
    </w:p>
    <w:p w:rsidR="00000000" w:rsidRPr="00C605C0" w:rsidP="00C605C0">
      <w:pPr>
        <w:pStyle w:val="Heading1"/>
      </w:pPr>
      <w:bookmarkStart w:id="1" w:name="O_625680"/>
      <w:bookmarkEnd w:id="1"/>
      <w:r w:rsidRPr="00C605C0">
        <w:t>Modification History</w:t>
      </w:r>
    </w:p>
    <w:p w:rsidR="00000000" w:rsidRPr="00C605C0" w:rsidP="00C605C0">
      <w:pPr>
        <w:pStyle w:val="BodyText"/>
      </w:pPr>
      <w:r w:rsidRPr="00C605C0">
        <w:t>This unit replaces UEGNSG501B Operate gas infrastructure to meet nominated demand</w:t>
      </w:r>
    </w:p>
    <w:p w:rsidR="00000000" w:rsidRPr="00C605C0" w:rsidP="00C605C0">
      <w:pPr>
        <w:pStyle w:val="AllowPageBreak"/>
      </w:pPr>
    </w:p>
    <w:p w:rsidR="00000000" w:rsidRPr="00C605C0" w:rsidP="00C605C0">
      <w:pPr>
        <w:pStyle w:val="Heading1"/>
      </w:pPr>
      <w:bookmarkStart w:id="2" w:name="O_625681"/>
      <w:bookmarkEnd w:id="2"/>
      <w:r w:rsidRPr="00C605C0">
        <w:t>Unit Descriptor</w:t>
      </w:r>
    </w:p>
    <w:tbl>
      <w:tblPr>
        <w:tblW w:w="0" w:type="auto"/>
        <w:tblLayout w:type="fixed"/>
        <w:tblCellMar>
          <w:left w:w="62" w:type="dxa"/>
          <w:right w:w="62" w:type="dxa"/>
        </w:tblCellMar>
        <w:tblLook w:val="0000"/>
      </w:tblPr>
      <w:tblGrid>
        <w:gridCol w:w="2700"/>
        <w:gridCol w:w="5760"/>
      </w:tblGrid>
      <w:tr w:rsidTr="00630F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rPr>
                <w:rStyle w:val="SpecialBold"/>
              </w:rPr>
              <w:t>1) Scope:</w:t>
            </w:r>
          </w:p>
        </w:tc>
      </w:tr>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605C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rPr>
                <w:rStyle w:val="SpecialBold"/>
              </w:rPr>
              <w:t>1.1) Descriptor</w:t>
            </w:r>
          </w:p>
        </w:tc>
      </w:tr>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t>This competency standard covers the assessing and responding to anticipated demand. This competency standard also refers to Industry products and services; Authoritative sources; Product information; Stakeholders; Organisational requireme</w:t>
            </w:r>
            <w:r w:rsidRPr="00C605C0">
              <w:t>nts; Interpersonal skills; Nominated person(s); Product and service issues.</w:t>
            </w:r>
          </w:p>
        </w:tc>
      </w:tr>
    </w:tbl>
    <w:p w:rsidR="00000000" w:rsidRPr="00C605C0" w:rsidP="00C605C0">
      <w:pPr>
        <w:pStyle w:val="BodyText"/>
      </w:pPr>
    </w:p>
    <w:p w:rsidR="00000000" w:rsidRPr="00C605C0" w:rsidP="00C605C0">
      <w:pPr>
        <w:pStyle w:val="AllowPageBreak"/>
      </w:pPr>
    </w:p>
    <w:p w:rsidR="00000000" w:rsidRPr="00C605C0" w:rsidP="00C605C0">
      <w:pPr>
        <w:pStyle w:val="Heading1"/>
      </w:pPr>
      <w:bookmarkStart w:id="3" w:name="O_625682"/>
      <w:bookmarkEnd w:id="3"/>
      <w:r w:rsidRPr="00C605C0">
        <w:t>Application of the Unit</w:t>
      </w:r>
    </w:p>
    <w:tbl>
      <w:tblPr>
        <w:tblW w:w="0" w:type="auto"/>
        <w:tblLayout w:type="fixed"/>
        <w:tblCellMar>
          <w:left w:w="62" w:type="dxa"/>
          <w:right w:w="62" w:type="dxa"/>
        </w:tblCellMar>
        <w:tblLook w:val="0000"/>
      </w:tblPr>
      <w:tblGrid>
        <w:gridCol w:w="2672"/>
        <w:gridCol w:w="5699"/>
      </w:tblGrid>
      <w:tr w:rsidTr="00630FF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rPr>
                <w:rStyle w:val="SpecialBold"/>
              </w:rPr>
              <w:t>2)</w:t>
            </w:r>
          </w:p>
        </w:tc>
      </w:tr>
      <w:tr w:rsidTr="00630FF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t>This competency standard shall apply to any bas</w:t>
            </w:r>
            <w:r w:rsidRPr="00C605C0">
              <w:t>ic and safe work site where Gas Industry operations occur. It could also apply, where applicable to other workplaces in the electricity supply industry (transmission and distribution and generation), the electrotechnology industry and the water industry, s</w:t>
            </w:r>
            <w:r w:rsidRPr="00C605C0">
              <w:t>ubject to all Occupational Health and Safety and duty of care requirements being met for the workplace.</w:t>
            </w:r>
          </w:p>
        </w:tc>
      </w:tr>
    </w:tbl>
    <w:p w:rsidR="00000000" w:rsidRPr="00C605C0" w:rsidP="00C605C0">
      <w:pPr>
        <w:pStyle w:val="BodyText"/>
      </w:pPr>
    </w:p>
    <w:p w:rsidR="00000000" w:rsidRPr="00C605C0" w:rsidP="00C605C0">
      <w:pPr>
        <w:pStyle w:val="AllowPageBreak"/>
      </w:pPr>
    </w:p>
    <w:p w:rsidR="00000000" w:rsidRPr="00C605C0" w:rsidP="00C605C0">
      <w:pPr>
        <w:pStyle w:val="Heading1"/>
      </w:pPr>
      <w:bookmarkStart w:id="4" w:name="O_625683"/>
      <w:bookmarkEnd w:id="4"/>
      <w:r w:rsidRPr="00C605C0">
        <w:t>Licensing/Regulatory Information</w:t>
      </w:r>
    </w:p>
    <w:tbl>
      <w:tblPr>
        <w:tblW w:w="0" w:type="auto"/>
        <w:tblLayout w:type="fixed"/>
        <w:tblCellMar>
          <w:left w:w="62" w:type="dxa"/>
          <w:right w:w="62" w:type="dxa"/>
        </w:tblCellMar>
        <w:tblLook w:val="0000"/>
      </w:tblPr>
      <w:tblGrid>
        <w:gridCol w:w="2700"/>
        <w:gridCol w:w="5760"/>
      </w:tblGrid>
      <w:tr w:rsidTr="00630F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rPr>
                <w:rStyle w:val="SpecialBold"/>
              </w:rPr>
              <w:t xml:space="preserve">3) </w:t>
            </w:r>
          </w:p>
        </w:tc>
      </w:tr>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t>The skills and knowledge described in this unit are not subject to licence</w:t>
            </w:r>
            <w:r w:rsidRPr="00C605C0">
              <w:t xml:space="preserve"> regulation other than those directly related to Occupational Health and Safety, gas/electricity/water industry safety and compliance, </w:t>
            </w:r>
            <w:r w:rsidRPr="00C605C0">
              <w:t>industrial relations, environmental protection, telecommunications, anti discrimination and training. Commonwealth, State</w:t>
            </w:r>
            <w:r w:rsidRPr="00C605C0">
              <w:t>/Territory or Local Government legislation and regulations may exist that limits the age of operating certain equipment.</w:t>
            </w:r>
          </w:p>
        </w:tc>
      </w:tr>
    </w:tbl>
    <w:p w:rsidR="00000000" w:rsidRPr="00C605C0" w:rsidP="00C605C0">
      <w:pPr>
        <w:pStyle w:val="BodyText"/>
      </w:pPr>
    </w:p>
    <w:p w:rsidR="00000000" w:rsidRPr="00C605C0" w:rsidP="00C605C0">
      <w:pPr>
        <w:pStyle w:val="AllowPageBreak"/>
      </w:pPr>
    </w:p>
    <w:p w:rsidR="00000000" w:rsidRPr="00C605C0" w:rsidP="00C605C0">
      <w:pPr>
        <w:pStyle w:val="Heading1"/>
      </w:pPr>
      <w:bookmarkStart w:id="5" w:name="O_625684"/>
      <w:bookmarkEnd w:id="5"/>
      <w:r w:rsidRPr="00C605C0">
        <w:t>Pre-Requisites</w:t>
      </w:r>
    </w:p>
    <w:tbl>
      <w:tblPr>
        <w:tblW w:w="0" w:type="auto"/>
        <w:tblLayout w:type="fixed"/>
        <w:tblCellMar>
          <w:left w:w="62" w:type="dxa"/>
          <w:right w:w="62" w:type="dxa"/>
        </w:tblCellMar>
        <w:tblLook w:val="0000"/>
      </w:tblPr>
      <w:tblGrid>
        <w:gridCol w:w="2700"/>
        <w:gridCol w:w="1710"/>
        <w:gridCol w:w="4050"/>
      </w:tblGrid>
      <w:tr w:rsidTr="00630F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rPr>
                <w:rStyle w:val="SpecialBold"/>
              </w:rPr>
              <w:t xml:space="preserve">4) </w:t>
            </w:r>
          </w:p>
        </w:tc>
      </w:tr>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rPr>
                <w:rStyle w:val="SpecialBold"/>
              </w:rPr>
              <w:t>4.1)</w:t>
            </w:r>
          </w:p>
        </w:tc>
      </w:tr>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t>Granting of competency in this unit shall be made only after competency in the following unit(s) has/have been confirmed.</w:t>
            </w:r>
          </w:p>
          <w:p w:rsidR="00000000" w:rsidRPr="00C605C0" w:rsidP="00C605C0">
            <w:pPr>
              <w:pStyle w:val="BodyText"/>
            </w:pPr>
          </w:p>
          <w:p w:rsidR="00000000" w:rsidRPr="00C605C0" w:rsidP="00C605C0">
            <w:pPr>
              <w:pStyle w:val="BodyText"/>
            </w:pPr>
            <w:r w:rsidRPr="00C605C0">
              <w:t>Where pre-requisite pathways have been identified. All competencies in the Common Unit Group must be have been completed plus all the</w:t>
            </w:r>
            <w:r w:rsidRPr="00C605C0">
              <w:t xml:space="preserve"> competencies in one (1) of the identified Pathway Unit Group(s):</w:t>
            </w:r>
          </w:p>
          <w:p w:rsidR="00000000" w:rsidRPr="00C605C0" w:rsidP="00C605C0">
            <w:pPr>
              <w:pStyle w:val="BodyText"/>
            </w:pPr>
            <w:r w:rsidRPr="00C605C0">
              <w:t>Distribution Pathway</w:t>
            </w:r>
          </w:p>
          <w:p w:rsidR="00000000" w:rsidRPr="00C605C0" w:rsidP="00C605C0">
            <w:pPr>
              <w:pStyle w:val="BodyText"/>
            </w:pPr>
            <w:r w:rsidRPr="00C605C0">
              <w:t>Transmission Pathway</w:t>
            </w:r>
          </w:p>
          <w:p w:rsidR="00000000" w:rsidP="00C605C0">
            <w:pPr>
              <w:pStyle w:val="BodyText"/>
              <w:rPr>
                <w:lang w:val="en-NZ"/>
              </w:rPr>
            </w:pPr>
            <w:r w:rsidRPr="00C605C0">
              <w:t>Controller Pathway</w:t>
            </w:r>
          </w:p>
        </w:tc>
      </w:tr>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605C0">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rPr>
                <w:rStyle w:val="SpecialBold"/>
              </w:rPr>
              <w:t>Common  Group Units</w:t>
            </w:r>
          </w:p>
        </w:tc>
      </w:tr>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 xml:space="preserve">UEGNSG005A     </w:t>
            </w:r>
          </w:p>
        </w:tc>
        <w:tc>
          <w:tcPr>
            <w:tcW w:w="405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Prepare to work in the Australian gas industry</w:t>
            </w:r>
          </w:p>
        </w:tc>
      </w:tr>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 xml:space="preserve">UEGNSG132A     </w:t>
            </w:r>
          </w:p>
        </w:tc>
        <w:tc>
          <w:tcPr>
            <w:tcW w:w="405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Carry out basic work activities in a gas industry work environment</w:t>
            </w:r>
          </w:p>
        </w:tc>
      </w:tr>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 xml:space="preserve">UEGNSG133A     </w:t>
            </w:r>
          </w:p>
        </w:tc>
        <w:tc>
          <w:tcPr>
            <w:tcW w:w="405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Comply with environmental policies and procedures in the utilities industry</w:t>
            </w:r>
          </w:p>
        </w:tc>
      </w:tr>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 xml:space="preserve">UEGNSG141A    </w:t>
            </w:r>
          </w:p>
        </w:tc>
        <w:tc>
          <w:tcPr>
            <w:tcW w:w="405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 xml:space="preserve">Apply Workplace Health and Safety regulations, codes and practices in the gas </w:t>
            </w:r>
            <w:r w:rsidRPr="00C605C0">
              <w:t>supply industry</w:t>
            </w:r>
          </w:p>
        </w:tc>
      </w:tr>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605C0">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rPr>
                <w:rStyle w:val="SpecialBold"/>
              </w:rPr>
              <w:t xml:space="preserve">Distribution Pathway </w:t>
            </w:r>
          </w:p>
        </w:tc>
      </w:tr>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 xml:space="preserve">UEGNSG216A </w:t>
            </w:r>
          </w:p>
        </w:tc>
        <w:tc>
          <w:tcPr>
            <w:tcW w:w="405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 xml:space="preserve">Commission or decommission gas </w:t>
            </w:r>
            <w:r w:rsidRPr="00C605C0">
              <w:t>distribution pipelines</w:t>
            </w:r>
          </w:p>
        </w:tc>
      </w:tr>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 xml:space="preserve">UEGNSG134A     </w:t>
            </w:r>
          </w:p>
        </w:tc>
        <w:tc>
          <w:tcPr>
            <w:tcW w:w="405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Establish a utilities work site</w:t>
            </w:r>
          </w:p>
        </w:tc>
      </w:tr>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605C0">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rPr>
                <w:rStyle w:val="SpecialBold"/>
              </w:rPr>
              <w:t>Transmission Pathway</w:t>
            </w:r>
          </w:p>
        </w:tc>
      </w:tr>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 xml:space="preserve">UEGNSG344A </w:t>
            </w:r>
          </w:p>
        </w:tc>
        <w:tc>
          <w:tcPr>
            <w:tcW w:w="405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Commission or decommission gas transmission pipelines</w:t>
            </w:r>
          </w:p>
        </w:tc>
      </w:tr>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 xml:space="preserve">UEGNSG006A     </w:t>
            </w:r>
          </w:p>
        </w:tc>
        <w:tc>
          <w:tcPr>
            <w:tcW w:w="405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Use a portable gas detectors to locate escape</w:t>
            </w:r>
          </w:p>
        </w:tc>
      </w:tr>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 xml:space="preserve">UEGNSG134A     </w:t>
            </w:r>
          </w:p>
        </w:tc>
        <w:tc>
          <w:tcPr>
            <w:tcW w:w="405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Establish a utilities work site</w:t>
            </w:r>
          </w:p>
        </w:tc>
      </w:tr>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605C0">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rPr>
                <w:rStyle w:val="SpecialBold"/>
              </w:rPr>
              <w:t>Controller Pathway</w:t>
            </w:r>
          </w:p>
        </w:tc>
      </w:tr>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 xml:space="preserve">UEGNSG507A </w:t>
            </w:r>
          </w:p>
        </w:tc>
        <w:tc>
          <w:tcPr>
            <w:tcW w:w="405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 xml:space="preserve">Remotely monitor and operate gas transmission flow control, pressure measuring and regulating devices </w:t>
            </w:r>
          </w:p>
        </w:tc>
      </w:tr>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 xml:space="preserve">MSS402061A      </w:t>
            </w:r>
          </w:p>
        </w:tc>
        <w:tc>
          <w:tcPr>
            <w:tcW w:w="405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t>Use SCADA systems in operations</w:t>
            </w:r>
          </w:p>
        </w:tc>
      </w:tr>
    </w:tbl>
    <w:p w:rsidR="00000000" w:rsidRPr="00C605C0" w:rsidP="00C605C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rPr>
                <w:rStyle w:val="SpecialBold"/>
              </w:rPr>
              <w:t xml:space="preserve">4.2) </w:t>
            </w:r>
          </w:p>
          <w:p w:rsidR="00000000" w:rsidP="00C605C0">
            <w:pPr>
              <w:pStyle w:val="BodyText"/>
              <w:rPr>
                <w:lang w:val="en-NZ"/>
              </w:rPr>
            </w:pPr>
            <w:r w:rsidRPr="00C605C0">
              <w:t>Participants are best equipped to achieve this unit if they have reading, writing and numeracy skills indicated by the following scales. Description of each scale is give</w:t>
            </w:r>
            <w:r w:rsidRPr="00C605C0">
              <w:t>n in Volume 2, Part 3 ‘Literacy and Numeracy’</w:t>
            </w:r>
          </w:p>
        </w:tc>
      </w:tr>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Reading</w:t>
            </w:r>
          </w:p>
        </w:tc>
        <w:tc>
          <w:tcPr>
            <w:tcW w:w="81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4</w:t>
            </w:r>
          </w:p>
        </w:tc>
        <w:tc>
          <w:tcPr>
            <w:tcW w:w="99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Writing</w:t>
            </w:r>
          </w:p>
        </w:tc>
        <w:tc>
          <w:tcPr>
            <w:tcW w:w="90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4</w:t>
            </w:r>
          </w:p>
        </w:tc>
        <w:tc>
          <w:tcPr>
            <w:tcW w:w="12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Numeracy</w:t>
            </w:r>
          </w:p>
        </w:tc>
        <w:tc>
          <w:tcPr>
            <w:tcW w:w="72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t>4</w:t>
            </w:r>
          </w:p>
        </w:tc>
      </w:tr>
    </w:tbl>
    <w:p w:rsidR="00000000" w:rsidRPr="00C605C0" w:rsidP="00C605C0">
      <w:pPr>
        <w:pStyle w:val="BodyText"/>
      </w:pPr>
    </w:p>
    <w:p w:rsidR="00000000" w:rsidRPr="00C605C0" w:rsidP="00C605C0">
      <w:pPr>
        <w:pStyle w:val="AllowPageBreak"/>
      </w:pPr>
    </w:p>
    <w:p w:rsidR="00000000" w:rsidRPr="00C605C0" w:rsidP="00C605C0">
      <w:pPr>
        <w:pStyle w:val="Heading1"/>
      </w:pPr>
      <w:bookmarkStart w:id="6" w:name="O_625685"/>
      <w:bookmarkEnd w:id="6"/>
      <w:r w:rsidRPr="00C605C0">
        <w:t>Employability Skills Information</w:t>
      </w:r>
    </w:p>
    <w:tbl>
      <w:tblPr>
        <w:tblW w:w="0" w:type="auto"/>
        <w:tblLayout w:type="fixed"/>
        <w:tblCellMar>
          <w:left w:w="62" w:type="dxa"/>
          <w:right w:w="62" w:type="dxa"/>
        </w:tblCellMar>
        <w:tblLook w:val="0000"/>
      </w:tblPr>
      <w:tblGrid>
        <w:gridCol w:w="2700"/>
        <w:gridCol w:w="5760"/>
      </w:tblGrid>
      <w:tr w:rsidTr="00630F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rPr>
                <w:rStyle w:val="SpecialBold"/>
              </w:rPr>
              <w:t xml:space="preserve">5) </w:t>
            </w:r>
          </w:p>
        </w:tc>
      </w:tr>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This unit contains Employability Skills</w:t>
            </w:r>
          </w:p>
        </w:tc>
      </w:tr>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605C0">
              <w:t>requirements.</w:t>
            </w:r>
          </w:p>
        </w:tc>
      </w:tr>
    </w:tbl>
    <w:p w:rsidR="00000000" w:rsidRPr="00C605C0" w:rsidP="00C605C0">
      <w:pPr>
        <w:pStyle w:val="BodyText"/>
      </w:pPr>
    </w:p>
    <w:p w:rsidR="00000000" w:rsidRPr="00C605C0" w:rsidP="00C605C0">
      <w:pPr>
        <w:pStyle w:val="AllowPageBreak"/>
      </w:pPr>
    </w:p>
    <w:p w:rsidR="00000000" w:rsidRPr="00C605C0" w:rsidP="00C605C0">
      <w:pPr>
        <w:pStyle w:val="Heading1"/>
      </w:pPr>
      <w:bookmarkStart w:id="7" w:name="O_625686"/>
      <w:bookmarkEnd w:id="7"/>
      <w:r w:rsidRPr="00C605C0">
        <w:t>Elements and Performance Criteria Pre-Content</w:t>
      </w:r>
    </w:p>
    <w:tbl>
      <w:tblPr>
        <w:tblW w:w="0" w:type="auto"/>
        <w:tblLayout w:type="fixed"/>
        <w:tblCellMar>
          <w:left w:w="62" w:type="dxa"/>
          <w:right w:w="62" w:type="dxa"/>
        </w:tblCellMar>
        <w:tblLook w:val="0000"/>
      </w:tblPr>
      <w:tblGrid>
        <w:gridCol w:w="2700"/>
        <w:gridCol w:w="5760"/>
      </w:tblGrid>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rPr>
                <w:rStyle w:val="SpecialBold"/>
              </w:rPr>
              <w:t>6)</w:t>
            </w:r>
            <w:r w:rsidRPr="00C605C0">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rPr>
                <w:rStyle w:val="Emphasis"/>
              </w:rPr>
              <w:t>Performance Criteria describe the required performance needed to demonstrate achievement of the element. Assessment of performance is to be consistent with the Evidence Guide.</w:t>
            </w:r>
          </w:p>
        </w:tc>
      </w:tr>
    </w:tbl>
    <w:p w:rsidR="00000000" w:rsidRPr="00C605C0" w:rsidP="00C605C0">
      <w:pPr>
        <w:pStyle w:val="BodyText"/>
      </w:pPr>
    </w:p>
    <w:p w:rsidR="00000000" w:rsidRPr="00C605C0" w:rsidP="00C605C0">
      <w:pPr>
        <w:pStyle w:val="AllowPageBreak"/>
      </w:pPr>
    </w:p>
    <w:p w:rsidR="00000000" w:rsidRPr="00C605C0" w:rsidP="00C605C0">
      <w:pPr>
        <w:pStyle w:val="Heading1"/>
      </w:pPr>
      <w:bookmarkStart w:id="8" w:name="O_625687"/>
      <w:bookmarkEnd w:id="8"/>
      <w:r w:rsidRPr="00C605C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30FF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rPr>
                <w:rStyle w:val="SpecialBold"/>
              </w:rPr>
              <w:t>PERFORMANCE CRITER</w:t>
            </w:r>
            <w:r w:rsidRPr="00C605C0">
              <w:rPr>
                <w:rStyle w:val="SpecialBold"/>
              </w:rPr>
              <w:t>IA</w:t>
            </w:r>
          </w:p>
        </w:tc>
      </w:tr>
      <w:tr w:rsidTr="00630FFD">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1</w:t>
            </w:r>
          </w:p>
        </w:tc>
        <w:tc>
          <w:tcPr>
            <w:tcW w:w="2296"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Plan to operate gas infrastructure to meet nominated demand</w:t>
            </w:r>
          </w:p>
        </w:tc>
        <w:tc>
          <w:tcPr>
            <w:tcW w:w="90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1.1</w:t>
            </w:r>
          </w:p>
        </w:tc>
        <w:tc>
          <w:tcPr>
            <w:tcW w:w="48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 xml:space="preserve">Information, requirements and established procedures are detailed, analysed and the extent of the preparation of the work determined for planning and coordination </w:t>
            </w:r>
          </w:p>
        </w:tc>
      </w:tr>
      <w:tr w:rsidTr="00630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1.2</w:t>
            </w:r>
          </w:p>
        </w:tc>
        <w:tc>
          <w:tcPr>
            <w:tcW w:w="48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 xml:space="preserve">Work is prioritised and sequenced for the most efficient and effective outcome following consultation with others for completion within acceptable timeframes to a quality standard and in accordance with established procedures </w:t>
            </w:r>
          </w:p>
        </w:tc>
      </w:tr>
      <w:tr w:rsidTr="00630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1.3</w:t>
            </w:r>
          </w:p>
        </w:tc>
        <w:tc>
          <w:tcPr>
            <w:tcW w:w="48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Risk control measures for identified hazards are prioritised, implemented and evaluated against the work schedule</w:t>
            </w:r>
          </w:p>
        </w:tc>
      </w:tr>
      <w:tr w:rsidTr="00630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1.4</w:t>
            </w:r>
          </w:p>
        </w:tc>
        <w:tc>
          <w:tcPr>
            <w:tcW w:w="48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Relevant requirements and established procedures for the work are communicated to all persons and identified for all work sites</w:t>
            </w:r>
          </w:p>
        </w:tc>
      </w:tr>
      <w:tr w:rsidTr="00630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1.5</w:t>
            </w:r>
          </w:p>
        </w:tc>
        <w:tc>
          <w:tcPr>
            <w:tcW w:w="48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Communicate with Gas Industry stakeholders, produce gas schedule based on bid and or nomination information</w:t>
            </w:r>
          </w:p>
        </w:tc>
      </w:tr>
      <w:tr w:rsidTr="00630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1.6</w:t>
            </w:r>
          </w:p>
        </w:tc>
        <w:tc>
          <w:tcPr>
            <w:tcW w:w="48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Operation is carried out in accordance with organisational procedures</w:t>
            </w:r>
          </w:p>
        </w:tc>
      </w:tr>
      <w:tr w:rsidTr="00630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1.7</w:t>
            </w:r>
          </w:p>
        </w:tc>
        <w:tc>
          <w:tcPr>
            <w:tcW w:w="48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OHS, environmental and sustainable energy policies and procedures related to the work are identified to ensure safe systems of work are followed</w:t>
            </w:r>
          </w:p>
        </w:tc>
      </w:tr>
      <w:tr w:rsidTr="00630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1.8</w:t>
            </w:r>
          </w:p>
        </w:tc>
        <w:tc>
          <w:tcPr>
            <w:tcW w:w="48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Relevant stakeholders are provided with possible solutions and options within the scope, acceptable cost</w:t>
            </w:r>
            <w:r w:rsidRPr="00C605C0">
              <w:t xml:space="preserve"> and requirements</w:t>
            </w:r>
          </w:p>
        </w:tc>
      </w:tr>
      <w:tr w:rsidTr="00630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1.9</w:t>
            </w:r>
          </w:p>
        </w:tc>
        <w:tc>
          <w:tcPr>
            <w:tcW w:w="48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Liaison and communication issues with relevant stakeholders are resolved and activities coordinated to carry out work</w:t>
            </w:r>
          </w:p>
        </w:tc>
      </w:tr>
      <w:tr w:rsidTr="00630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1.10</w:t>
            </w:r>
          </w:p>
        </w:tc>
        <w:tc>
          <w:tcPr>
            <w:tcW w:w="48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Persons participating in the work, including plant operators and contractors are fully briefed and respec</w:t>
            </w:r>
            <w:r w:rsidRPr="00C605C0">
              <w:t>tive responsibilities coordinated and authorised where applicable in accordance with establish procedures</w:t>
            </w:r>
          </w:p>
        </w:tc>
      </w:tr>
      <w:tr w:rsidTr="00630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2</w:t>
            </w:r>
          </w:p>
        </w:tc>
        <w:tc>
          <w:tcPr>
            <w:tcW w:w="2296"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Operate gas infrastructure to meet nominated demand</w:t>
            </w:r>
          </w:p>
        </w:tc>
        <w:tc>
          <w:tcPr>
            <w:tcW w:w="90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2.1</w:t>
            </w:r>
          </w:p>
        </w:tc>
        <w:tc>
          <w:tcPr>
            <w:tcW w:w="48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OHS policies and procedures and safe work practices are followed to eliminate or minimise i</w:t>
            </w:r>
            <w:r w:rsidRPr="00C605C0">
              <w:t>ncidents and hazards</w:t>
            </w:r>
          </w:p>
        </w:tc>
      </w:tr>
      <w:tr w:rsidTr="00630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2.2</w:t>
            </w:r>
          </w:p>
        </w:tc>
        <w:tc>
          <w:tcPr>
            <w:tcW w:w="48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Work is performed and coordinated in accordance with a work schedule and to requirements</w:t>
            </w:r>
          </w:p>
        </w:tc>
      </w:tr>
      <w:tr w:rsidTr="00630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2.3</w:t>
            </w:r>
          </w:p>
        </w:tc>
        <w:tc>
          <w:tcPr>
            <w:tcW w:w="48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Remedial actions are taken to overcome any shortfalls encountered in the work schedule according to requirements and established procedures</w:t>
            </w:r>
          </w:p>
        </w:tc>
      </w:tr>
      <w:tr w:rsidTr="00630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2.4</w:t>
            </w:r>
          </w:p>
        </w:tc>
        <w:tc>
          <w:tcPr>
            <w:tcW w:w="48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Schedule is produced according to the information collected in accordance with established procedures</w:t>
            </w:r>
          </w:p>
        </w:tc>
      </w:tr>
      <w:tr w:rsidTr="00630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2.5</w:t>
            </w:r>
          </w:p>
        </w:tc>
        <w:tc>
          <w:tcPr>
            <w:tcW w:w="48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Any abnormal conditions are recognised and responded to in accordance with organisational procedures</w:t>
            </w:r>
          </w:p>
        </w:tc>
      </w:tr>
      <w:tr w:rsidTr="00630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2.6</w:t>
            </w:r>
          </w:p>
        </w:tc>
        <w:tc>
          <w:tcPr>
            <w:tcW w:w="48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Solutions to problems are identified and actioned using Essential Knowledge and Associated Skills according to requirements</w:t>
            </w:r>
          </w:p>
        </w:tc>
      </w:tr>
      <w:tr w:rsidTr="00630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2.7</w:t>
            </w:r>
          </w:p>
        </w:tc>
        <w:tc>
          <w:tcPr>
            <w:tcW w:w="48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 xml:space="preserve">Ongoing checks of quality of the work are undertaken in accordance with requirements and established procedures </w:t>
            </w:r>
          </w:p>
        </w:tc>
      </w:tr>
      <w:tr w:rsidTr="00630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3</w:t>
            </w:r>
          </w:p>
        </w:tc>
        <w:tc>
          <w:tcPr>
            <w:tcW w:w="2296"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 xml:space="preserve">Complete and review operation of gas infrastructure to meet nominated demand </w:t>
            </w:r>
          </w:p>
        </w:tc>
        <w:tc>
          <w:tcPr>
            <w:tcW w:w="90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3.1</w:t>
            </w:r>
          </w:p>
        </w:tc>
        <w:tc>
          <w:tcPr>
            <w:tcW w:w="48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Work undertaken is checked against schedule for conformanc</w:t>
            </w:r>
            <w:r w:rsidRPr="00C605C0">
              <w:t>e with requirements, anomalies are reported in accordance with established procedures</w:t>
            </w:r>
          </w:p>
        </w:tc>
      </w:tr>
      <w:tr w:rsidTr="00630F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3.2</w:t>
            </w:r>
          </w:p>
        </w:tc>
        <w:tc>
          <w:tcPr>
            <w:tcW w:w="486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t>Works completion records, reports, documentation and information is confirmed, processed and the appropriate persons notified as per established procedures</w:t>
            </w:r>
          </w:p>
        </w:tc>
      </w:tr>
    </w:tbl>
    <w:p w:rsidR="00000000" w:rsidRPr="00C605C0" w:rsidP="00C605C0">
      <w:pPr>
        <w:pStyle w:val="BodyText"/>
      </w:pPr>
    </w:p>
    <w:p w:rsidR="00000000" w:rsidRPr="00C605C0" w:rsidP="00C605C0">
      <w:pPr>
        <w:pStyle w:val="AllowPageBreak"/>
      </w:pPr>
    </w:p>
    <w:p w:rsidR="00000000" w:rsidRPr="00C605C0" w:rsidP="00C605C0">
      <w:pPr>
        <w:pStyle w:val="Heading1"/>
      </w:pPr>
      <w:bookmarkStart w:id="9" w:name="O_625688"/>
      <w:bookmarkEnd w:id="9"/>
      <w:r w:rsidRPr="00C605C0">
        <w:t>Required Skills and Knowledge</w:t>
      </w:r>
    </w:p>
    <w:tbl>
      <w:tblPr>
        <w:tblW w:w="0" w:type="auto"/>
        <w:tblLayout w:type="fixed"/>
        <w:tblCellMar>
          <w:left w:w="62" w:type="dxa"/>
          <w:right w:w="62" w:type="dxa"/>
        </w:tblCellMar>
        <w:tblLook w:val="0000"/>
      </w:tblPr>
      <w:tblGrid>
        <w:gridCol w:w="8460"/>
      </w:tblGrid>
      <w:tr w:rsidTr="00630FF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rPr>
                <w:rStyle w:val="SpecialBold"/>
              </w:rPr>
              <w:t>REQUIRED SKILLS AND KNOWLEDGE</w:t>
            </w:r>
          </w:p>
        </w:tc>
      </w:tr>
      <w:tr w:rsidTr="00630F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rPr>
                <w:rStyle w:val="SpecialBold"/>
              </w:rPr>
              <w:t>8)</w:t>
            </w:r>
            <w:r w:rsidRPr="00C605C0">
              <w:t xml:space="preserve"> </w:t>
            </w:r>
            <w:r w:rsidRPr="00C605C0">
              <w:rPr>
                <w:rStyle w:val="Emphasis"/>
              </w:rPr>
              <w:t>This describes the essential skills and knowledge and their level, required for this unit.</w:t>
            </w:r>
          </w:p>
        </w:tc>
      </w:tr>
      <w:tr w:rsidTr="00630F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Evidence shall show that knowledge has been acquired of safe working practices for a</w:t>
            </w:r>
            <w:r w:rsidRPr="00C605C0">
              <w:t>ssessing and responding to anticipated demand.</w:t>
            </w:r>
          </w:p>
        </w:tc>
      </w:tr>
      <w:tr w:rsidTr="00630FFD">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t>All knowledge and skills detailed in this unit should be contextualised to current industry practices and technologies.</w:t>
            </w:r>
          </w:p>
        </w:tc>
      </w:tr>
    </w:tbl>
    <w:p w:rsidR="00000000" w:rsidRPr="00C605C0" w:rsidP="00C605C0">
      <w:pPr>
        <w:pStyle w:val="BodyText"/>
      </w:pPr>
    </w:p>
    <w:tbl>
      <w:tblPr>
        <w:tblW w:w="0" w:type="auto"/>
        <w:tblLayout w:type="fixed"/>
        <w:tblCellMar>
          <w:left w:w="62" w:type="dxa"/>
          <w:right w:w="62" w:type="dxa"/>
        </w:tblCellMar>
        <w:tblLook w:val="0000"/>
      </w:tblPr>
      <w:tblGrid>
        <w:gridCol w:w="1440"/>
        <w:gridCol w:w="990"/>
        <w:gridCol w:w="6030"/>
      </w:tblGrid>
      <w:tr w:rsidTr="00630FFD">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rPr>
                <w:rStyle w:val="SpecialBold"/>
              </w:rPr>
              <w:t>KS01-G501B</w:t>
            </w:r>
          </w:p>
        </w:tc>
        <w:tc>
          <w:tcPr>
            <w:tcW w:w="7020" w:type="dxa"/>
            <w:gridSpan w:val="2"/>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rPr>
                <w:rStyle w:val="SpecialBold"/>
              </w:rPr>
              <w:t>Meeting nominated demand</w:t>
            </w:r>
          </w:p>
        </w:tc>
      </w:tr>
      <w:tr w:rsidTr="00630FF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G 4.1.2</w:t>
            </w:r>
          </w:p>
        </w:tc>
        <w:tc>
          <w:tcPr>
            <w:tcW w:w="603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t>Understand the effective operation of Gas Industry plant, equipment and materials</w:t>
            </w:r>
          </w:p>
          <w:p w:rsidR="00000000" w:rsidRPr="00C605C0" w:rsidP="00C605C0">
            <w:pPr>
              <w:pStyle w:val="BodyText"/>
            </w:pPr>
            <w:r w:rsidRPr="00C605C0">
              <w:t>Evidence shall show an understanding of the effective operation of Gas Industry plant, equipment and materials, indicated by the following:</w:t>
            </w:r>
          </w:p>
          <w:p w:rsidR="00000000" w:rsidRPr="00C605C0" w:rsidP="00C605C0">
            <w:pPr>
              <w:pStyle w:val="ListBullet"/>
            </w:pPr>
            <w:r w:rsidRPr="00C605C0">
              <w:t xml:space="preserve">understand and apply of relevant </w:t>
            </w:r>
            <w:r w:rsidRPr="00C605C0">
              <w:t>industry engineering terminology and units</w:t>
            </w:r>
          </w:p>
          <w:p w:rsidR="00000000" w:rsidRPr="00C605C0" w:rsidP="00C605C0">
            <w:pPr>
              <w:pStyle w:val="ListBullet"/>
            </w:pPr>
            <w:r w:rsidRPr="00C605C0">
              <w:t>understanding of pipeline system operating parameters</w:t>
            </w:r>
          </w:p>
          <w:p w:rsidR="00000000" w:rsidRPr="00C605C0" w:rsidP="00C605C0">
            <w:pPr>
              <w:pStyle w:val="ListBullet"/>
            </w:pPr>
            <w:r w:rsidRPr="00C605C0">
              <w:t xml:space="preserve">demonstrate operational knowledge of systems such as pumps, compressors, regulation, shutdown equipment, measurement systems by on-site or remote operation as </w:t>
            </w:r>
            <w:r w:rsidRPr="00C605C0">
              <w:t>applicable.</w:t>
            </w:r>
          </w:p>
          <w:p w:rsidR="00000000" w:rsidRPr="00C605C0" w:rsidP="00C605C0">
            <w:pPr>
              <w:pStyle w:val="ListBullet"/>
            </w:pPr>
            <w:r w:rsidRPr="00C605C0">
              <w:t>understanding of relevant inspection and testing procedures for applicable plant and equipment</w:t>
            </w:r>
          </w:p>
          <w:p w:rsidR="00000000" w:rsidRPr="00C605C0" w:rsidP="00C605C0">
            <w:pPr>
              <w:pStyle w:val="ListBullet"/>
            </w:pPr>
            <w:r w:rsidRPr="00C605C0">
              <w:t>understanding the process of commissioning and decommissioning of relevant equipment such as pipework, vessels and compressors, including on-site and</w:t>
            </w:r>
            <w:r w:rsidRPr="00C605C0">
              <w:t xml:space="preserve"> remote operation as applicable.</w:t>
            </w:r>
          </w:p>
          <w:p w:rsidR="00000000" w:rsidRPr="00C605C0" w:rsidP="00C605C0">
            <w:pPr>
              <w:pStyle w:val="ListBullet"/>
            </w:pPr>
            <w:r w:rsidRPr="00C605C0">
              <w:t>Understanding the characteristics of gas flows including compressed and non-compressed operations</w:t>
            </w:r>
          </w:p>
          <w:p w:rsidR="00000000" w:rsidRPr="00C605C0" w:rsidP="00C605C0">
            <w:pPr>
              <w:pStyle w:val="ListBullet"/>
            </w:pPr>
            <w:r w:rsidRPr="00C605C0">
              <w:t xml:space="preserve">Understanding the characteristics, operation, capabilities and limitations of applicable tools and equipment including prime </w:t>
            </w:r>
            <w:r w:rsidRPr="00C605C0">
              <w:t>movers, compression and control systems, pipeline facilities and associated equipment</w:t>
            </w:r>
          </w:p>
          <w:p w:rsidR="00000000" w:rsidP="00C605C0">
            <w:pPr>
              <w:pStyle w:val="ListBullet"/>
              <w:rPr>
                <w:lang w:val="en-NZ"/>
              </w:rPr>
            </w:pPr>
            <w:r w:rsidRPr="00C605C0">
              <w:t>understanding the operation of gas analysis and measuring equipment</w:t>
            </w:r>
          </w:p>
        </w:tc>
      </w:tr>
      <w:tr w:rsidTr="00630FF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G 4.1.3</w:t>
            </w:r>
          </w:p>
        </w:tc>
        <w:tc>
          <w:tcPr>
            <w:tcW w:w="603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t>Communicate effectively in the Gas Industry at a supervisory level</w:t>
            </w:r>
          </w:p>
          <w:p w:rsidR="00000000" w:rsidRPr="00C605C0" w:rsidP="00C605C0">
            <w:pPr>
              <w:pStyle w:val="BodyText"/>
            </w:pPr>
            <w:r w:rsidRPr="00C605C0">
              <w:t>Evidence shall show an understanding of communication techniques required in supervisory roles in the Gas Industry, indicated by the following:</w:t>
            </w:r>
          </w:p>
          <w:p w:rsidR="00000000" w:rsidRPr="00C605C0" w:rsidP="00C605C0">
            <w:pPr>
              <w:pStyle w:val="ListBullet"/>
            </w:pPr>
            <w:r w:rsidRPr="00C605C0">
              <w:t>communicate effectively with a variety of Gas Industry stakeholders, using strategies for dealing with difficul</w:t>
            </w:r>
            <w:r w:rsidRPr="00C605C0">
              <w:t>t situations. The communication  includes oral, written or electronic communications, : with various stakeholders including:</w:t>
            </w:r>
          </w:p>
          <w:p w:rsidR="00000000" w:rsidRPr="00C605C0" w:rsidP="00C605C0">
            <w:pPr>
              <w:pStyle w:val="ListBullet2"/>
            </w:pPr>
            <w:r w:rsidRPr="00C605C0">
              <w:t>workplace colleagues</w:t>
            </w:r>
          </w:p>
          <w:p w:rsidR="00000000" w:rsidRPr="00C605C0" w:rsidP="00C605C0">
            <w:pPr>
              <w:pStyle w:val="ListBullet2"/>
            </w:pPr>
            <w:r w:rsidRPr="00C605C0">
              <w:t>workplace managers</w:t>
            </w:r>
          </w:p>
          <w:p w:rsidR="00000000" w:rsidRPr="00C605C0" w:rsidP="00C605C0">
            <w:pPr>
              <w:pStyle w:val="ListBullet2"/>
            </w:pPr>
            <w:r w:rsidRPr="00C605C0">
              <w:t>relevant customers and suppliers</w:t>
            </w:r>
          </w:p>
          <w:p w:rsidR="00000000" w:rsidRPr="00C605C0" w:rsidP="00C605C0">
            <w:pPr>
              <w:pStyle w:val="ListBullet2"/>
            </w:pPr>
            <w:r w:rsidRPr="00C605C0">
              <w:t>regulatory bodies</w:t>
            </w:r>
          </w:p>
          <w:p w:rsidR="00000000" w:rsidRPr="00C605C0" w:rsidP="00C605C0">
            <w:pPr>
              <w:pStyle w:val="ListBullet2"/>
            </w:pPr>
            <w:r w:rsidRPr="00C605C0">
              <w:t>property/land owners (including traditional land owners) and tenants</w:t>
            </w:r>
          </w:p>
          <w:p w:rsidR="00000000" w:rsidP="00C605C0">
            <w:pPr>
              <w:pStyle w:val="ListBullet2"/>
              <w:rPr>
                <w:lang w:val="en-NZ"/>
              </w:rPr>
            </w:pPr>
            <w:r w:rsidRPr="00C605C0">
              <w:t>emergency response organisations</w:t>
            </w:r>
          </w:p>
        </w:tc>
      </w:tr>
      <w:tr w:rsidTr="00630FF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G 4.1.4</w:t>
            </w:r>
          </w:p>
        </w:tc>
        <w:tc>
          <w:tcPr>
            <w:tcW w:w="603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t>Understand Gas Industry products, processes and characteristics</w:t>
            </w:r>
          </w:p>
          <w:p w:rsidR="00000000" w:rsidRPr="00C605C0" w:rsidP="00C605C0">
            <w:pPr>
              <w:pStyle w:val="BodyText"/>
            </w:pPr>
            <w:r w:rsidRPr="00C605C0">
              <w:t>Evidence shall show a comprehensive understanding of Gas Industry products and c</w:t>
            </w:r>
            <w:r w:rsidRPr="00C605C0">
              <w:t>haracteristics, indicated by the following:</w:t>
            </w:r>
          </w:p>
          <w:p w:rsidR="00000000" w:rsidRPr="00C605C0" w:rsidP="00C605C0">
            <w:pPr>
              <w:pStyle w:val="ListBullet"/>
            </w:pPr>
            <w:r w:rsidRPr="00C605C0">
              <w:t>understand the Gas Industry products and the characteristics and tolerances of the product including:</w:t>
            </w:r>
          </w:p>
          <w:p w:rsidR="00000000" w:rsidRPr="00C605C0" w:rsidP="00C605C0">
            <w:pPr>
              <w:pStyle w:val="ListBullet2"/>
            </w:pPr>
            <w:r w:rsidRPr="00C605C0">
              <w:t>principles of applicable gas laws</w:t>
            </w:r>
          </w:p>
          <w:p w:rsidR="00000000" w:rsidRPr="00C605C0" w:rsidP="00C605C0">
            <w:pPr>
              <w:pStyle w:val="ListBullet3"/>
            </w:pPr>
            <w:r w:rsidRPr="00C605C0">
              <w:t>gas pressure</w:t>
            </w:r>
          </w:p>
          <w:p w:rsidR="00000000" w:rsidRPr="00C605C0" w:rsidP="00C605C0">
            <w:pPr>
              <w:pStyle w:val="ListBullet3"/>
            </w:pPr>
            <w:r w:rsidRPr="00C605C0">
              <w:t>gas temperature</w:t>
            </w:r>
          </w:p>
          <w:p w:rsidR="00000000" w:rsidRPr="00C605C0" w:rsidP="00C605C0">
            <w:pPr>
              <w:pStyle w:val="ListBullet3"/>
            </w:pPr>
            <w:r w:rsidRPr="00C605C0">
              <w:t>compressibility</w:t>
            </w:r>
          </w:p>
          <w:p w:rsidR="00000000" w:rsidRPr="00C605C0" w:rsidP="00C605C0">
            <w:pPr>
              <w:pStyle w:val="ListBullet2"/>
            </w:pPr>
            <w:r w:rsidRPr="00C605C0">
              <w:t>relative density –</w:t>
            </w:r>
            <w:r w:rsidRPr="00C605C0">
              <w:t xml:space="preserve"> specific gravity </w:t>
            </w:r>
          </w:p>
          <w:p w:rsidR="00000000" w:rsidRPr="00C605C0" w:rsidP="00C605C0">
            <w:pPr>
              <w:pStyle w:val="ListBullet2"/>
            </w:pPr>
            <w:r w:rsidRPr="00C605C0">
              <w:t>hydrocarbon and water dew points</w:t>
            </w:r>
          </w:p>
          <w:p w:rsidR="00000000" w:rsidRPr="00C605C0" w:rsidP="00C605C0">
            <w:pPr>
              <w:pStyle w:val="ListBullet2"/>
            </w:pPr>
            <w:r w:rsidRPr="00C605C0">
              <w:t>components of applicable natural gases including LPG</w:t>
            </w:r>
          </w:p>
          <w:p w:rsidR="00000000" w:rsidRPr="00C605C0" w:rsidP="00C605C0">
            <w:pPr>
              <w:pStyle w:val="ListBullet2"/>
            </w:pPr>
            <w:r w:rsidRPr="00C605C0">
              <w:t>standard gas conditions</w:t>
            </w:r>
          </w:p>
          <w:p w:rsidR="00000000" w:rsidRPr="00C605C0" w:rsidP="00C605C0">
            <w:pPr>
              <w:pStyle w:val="ListBullet2"/>
            </w:pPr>
            <w:r w:rsidRPr="00C605C0">
              <w:t>combustion</w:t>
            </w:r>
          </w:p>
          <w:p w:rsidR="00000000" w:rsidRPr="00C605C0" w:rsidP="00C605C0">
            <w:pPr>
              <w:pStyle w:val="ListBullet2"/>
            </w:pPr>
            <w:r w:rsidRPr="00C605C0">
              <w:t>venting and purging principles</w:t>
            </w:r>
          </w:p>
          <w:p w:rsidR="00000000" w:rsidP="00C605C0">
            <w:pPr>
              <w:pStyle w:val="ListBullet2"/>
              <w:rPr>
                <w:lang w:val="en-NZ"/>
              </w:rPr>
            </w:pPr>
            <w:r w:rsidRPr="00C605C0">
              <w:t>Effects of temperature and pressure on infrastructure</w:t>
            </w:r>
          </w:p>
        </w:tc>
      </w:tr>
      <w:tr w:rsidTr="00630FF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G 4.1.7</w:t>
            </w:r>
          </w:p>
        </w:tc>
        <w:tc>
          <w:tcPr>
            <w:tcW w:w="603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t>Complete Gas Industry reports and documentation</w:t>
            </w:r>
          </w:p>
          <w:p w:rsidR="00000000" w:rsidRPr="00C605C0" w:rsidP="00C605C0">
            <w:pPr>
              <w:pStyle w:val="BodyText"/>
            </w:pPr>
            <w:r w:rsidRPr="00C605C0">
              <w:t>Evidence shall show an understanding and application of completing and interpreting enterprise-specific supervisory level Gas Industry reports including ,but not limited to:</w:t>
            </w:r>
          </w:p>
          <w:p w:rsidR="00000000" w:rsidRPr="00C605C0" w:rsidP="00C605C0">
            <w:pPr>
              <w:pStyle w:val="ListBullet"/>
            </w:pPr>
            <w:r w:rsidRPr="00C605C0">
              <w:t>periodic operational reports</w:t>
            </w:r>
          </w:p>
          <w:p w:rsidR="00000000" w:rsidRPr="00C605C0" w:rsidP="00C605C0">
            <w:pPr>
              <w:pStyle w:val="ListBullet"/>
            </w:pPr>
            <w:r w:rsidRPr="00C605C0">
              <w:t>budg</w:t>
            </w:r>
            <w:r w:rsidRPr="00C605C0">
              <w:t>et reports and summaries</w:t>
            </w:r>
          </w:p>
          <w:p w:rsidR="00000000" w:rsidP="00C605C0">
            <w:pPr>
              <w:pStyle w:val="ListBullet"/>
              <w:rPr>
                <w:lang w:val="en-NZ"/>
              </w:rPr>
            </w:pPr>
            <w:r w:rsidRPr="00C605C0">
              <w:t>regulatory reporting requirements</w:t>
            </w:r>
          </w:p>
        </w:tc>
      </w:tr>
      <w:tr w:rsidTr="00630FF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G 4.1.8</w:t>
            </w:r>
          </w:p>
        </w:tc>
        <w:tc>
          <w:tcPr>
            <w:tcW w:w="603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t>Use a personal computer</w:t>
            </w:r>
          </w:p>
          <w:p w:rsidR="00000000" w:rsidRPr="00C605C0" w:rsidP="00C605C0">
            <w:pPr>
              <w:pStyle w:val="BodyText"/>
            </w:pPr>
            <w:r w:rsidRPr="00C605C0">
              <w:t>Evidence shall demonstrate requirements to use personal computer and undertake fundamental tasks, indicated by the following:</w:t>
            </w:r>
          </w:p>
          <w:p w:rsidR="00000000" w:rsidRPr="00C605C0" w:rsidP="00C605C0">
            <w:pPr>
              <w:pStyle w:val="ListBullet"/>
            </w:pPr>
            <w:r w:rsidRPr="00C605C0">
              <w:t xml:space="preserve">send, answer and manage emails </w:t>
            </w:r>
          </w:p>
          <w:p w:rsidR="00000000" w:rsidRPr="00C605C0" w:rsidP="00C605C0">
            <w:pPr>
              <w:pStyle w:val="ListBullet"/>
            </w:pPr>
            <w:r w:rsidRPr="00C605C0">
              <w:t>acce</w:t>
            </w:r>
            <w:r w:rsidRPr="00C605C0">
              <w:t>ss the Internet for research purposes</w:t>
            </w:r>
          </w:p>
          <w:p w:rsidR="00000000" w:rsidRPr="00C605C0" w:rsidP="00C605C0">
            <w:pPr>
              <w:pStyle w:val="ListBullet"/>
            </w:pPr>
            <w:r w:rsidRPr="00C605C0">
              <w:t>write documents using a word processing program</w:t>
            </w:r>
          </w:p>
          <w:p w:rsidR="00000000" w:rsidRPr="00C605C0" w:rsidP="00C605C0">
            <w:pPr>
              <w:pStyle w:val="ListBullet"/>
            </w:pPr>
            <w:r w:rsidRPr="00C605C0">
              <w:t>develop a basic spreadsheet using a spreadsheet program</w:t>
            </w:r>
          </w:p>
          <w:p w:rsidR="00000000" w:rsidP="00C605C0">
            <w:pPr>
              <w:pStyle w:val="ListBullet"/>
              <w:rPr>
                <w:lang w:val="en-NZ"/>
              </w:rPr>
            </w:pPr>
            <w:r w:rsidRPr="00C605C0">
              <w:t>apply formatting including cutting and pasting across a variety of computer applications (eg from excel to word)</w:t>
            </w:r>
          </w:p>
        </w:tc>
      </w:tr>
      <w:tr w:rsidTr="00630FF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G 4.1.9</w:t>
            </w:r>
          </w:p>
        </w:tc>
        <w:tc>
          <w:tcPr>
            <w:tcW w:w="603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t>Supervise transmission pipeline operations</w:t>
            </w:r>
          </w:p>
          <w:p w:rsidR="00000000" w:rsidRPr="00C605C0" w:rsidP="00C605C0">
            <w:pPr>
              <w:pStyle w:val="BodyText"/>
            </w:pPr>
            <w:r w:rsidRPr="00C605C0">
              <w:t>Evidence shall show an understanding, applicable at a supervisory level, of gas transmission pipelines, indicated by the following:</w:t>
            </w:r>
          </w:p>
          <w:p w:rsidR="00000000" w:rsidRPr="00C605C0" w:rsidP="00C605C0">
            <w:pPr>
              <w:pStyle w:val="ListBullet"/>
            </w:pPr>
            <w:r w:rsidRPr="00C605C0">
              <w:t>pipeline threats, identification and control</w:t>
            </w:r>
          </w:p>
          <w:p w:rsidR="00000000" w:rsidRPr="00C605C0" w:rsidP="00C605C0">
            <w:pPr>
              <w:pStyle w:val="ListBullet"/>
            </w:pPr>
            <w:r w:rsidRPr="00C605C0">
              <w:t>pinpointing pipeline locat</w:t>
            </w:r>
            <w:r w:rsidRPr="00C605C0">
              <w:t>ions</w:t>
            </w:r>
          </w:p>
          <w:p w:rsidR="00000000" w:rsidRPr="00C605C0" w:rsidP="00C605C0">
            <w:pPr>
              <w:pStyle w:val="ListBullet"/>
            </w:pPr>
            <w:r w:rsidRPr="00C605C0">
              <w:t>excavation machinery and their effects used near pipelines</w:t>
            </w:r>
          </w:p>
          <w:p w:rsidR="00000000" w:rsidRPr="00C605C0" w:rsidP="00C605C0">
            <w:pPr>
              <w:pStyle w:val="ListBullet"/>
            </w:pPr>
            <w:r w:rsidRPr="00C605C0">
              <w:t>pipeline specifications</w:t>
            </w:r>
          </w:p>
          <w:p w:rsidR="00000000" w:rsidRPr="00C605C0" w:rsidP="00C605C0">
            <w:pPr>
              <w:pStyle w:val="ListBullet"/>
            </w:pPr>
            <w:r w:rsidRPr="00C605C0">
              <w:t>coatings for corrosion protection</w:t>
            </w:r>
          </w:p>
          <w:p w:rsidR="00000000" w:rsidRPr="00C605C0" w:rsidP="00C605C0">
            <w:pPr>
              <w:pStyle w:val="ListBullet"/>
            </w:pPr>
            <w:r w:rsidRPr="00C605C0">
              <w:t>HB105 Guide to Pipeline Risk Assessment in accordance with AS2885 Part 1 and Part 3</w:t>
            </w:r>
          </w:p>
          <w:p w:rsidR="00000000" w:rsidP="00C605C0">
            <w:pPr>
              <w:pStyle w:val="ListBullet"/>
              <w:rPr>
                <w:lang w:val="en-NZ"/>
              </w:rPr>
            </w:pPr>
            <w:r w:rsidRPr="00C605C0">
              <w:t>applicable pipeline legislation, regulatory and advisory standards and codes of practice.</w:t>
            </w:r>
          </w:p>
        </w:tc>
      </w:tr>
      <w:tr w:rsidTr="00630FF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G 4.1.16</w:t>
            </w:r>
          </w:p>
        </w:tc>
        <w:tc>
          <w:tcPr>
            <w:tcW w:w="603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t>Demonstrate operational understanding of Gas Industry facilities and infrastructure</w:t>
            </w:r>
          </w:p>
          <w:p w:rsidR="00000000" w:rsidRPr="00C605C0" w:rsidP="00C605C0">
            <w:pPr>
              <w:pStyle w:val="BodyText"/>
            </w:pPr>
            <w:r w:rsidRPr="00C605C0">
              <w:t>Evidence shall show an operational understanding required at a supervis</w:t>
            </w:r>
            <w:r w:rsidRPr="00C605C0">
              <w:t>ory level for applicable Gas Industry facilities and infrastructure, including, but not limited to:</w:t>
            </w:r>
          </w:p>
          <w:p w:rsidR="00000000" w:rsidRPr="00C605C0" w:rsidP="00C605C0">
            <w:pPr>
              <w:pStyle w:val="ListBullet"/>
            </w:pPr>
            <w:r w:rsidRPr="00C605C0">
              <w:t>regulation and metering facilities</w:t>
            </w:r>
          </w:p>
          <w:p w:rsidR="00000000" w:rsidRPr="00C605C0" w:rsidP="00C605C0">
            <w:pPr>
              <w:pStyle w:val="ListBullet"/>
            </w:pPr>
            <w:r w:rsidRPr="00C605C0">
              <w:t>compression facilities</w:t>
            </w:r>
          </w:p>
          <w:p w:rsidR="00000000" w:rsidRPr="00C605C0" w:rsidP="00C605C0">
            <w:pPr>
              <w:pStyle w:val="ListBullet"/>
            </w:pPr>
            <w:r w:rsidRPr="00C605C0">
              <w:t>gas processing facilities such as coal seam methane plants</w:t>
            </w:r>
          </w:p>
          <w:p w:rsidR="00000000" w:rsidRPr="00C605C0" w:rsidP="00C605C0">
            <w:pPr>
              <w:pStyle w:val="ListBullet"/>
            </w:pPr>
            <w:r w:rsidRPr="00C605C0">
              <w:t>LPG processing facilities</w:t>
            </w:r>
          </w:p>
          <w:p w:rsidR="00000000" w:rsidRPr="00C605C0" w:rsidP="00C605C0">
            <w:pPr>
              <w:pStyle w:val="ListBullet"/>
            </w:pPr>
            <w:r w:rsidRPr="00C605C0">
              <w:t>scraper stat</w:t>
            </w:r>
            <w:r w:rsidRPr="00C605C0">
              <w:t>ions and pigging facilities</w:t>
            </w:r>
          </w:p>
          <w:p w:rsidR="00000000" w:rsidRPr="00C605C0" w:rsidP="00C605C0">
            <w:pPr>
              <w:pStyle w:val="ListBullet"/>
            </w:pPr>
            <w:r w:rsidRPr="00C605C0">
              <w:t>odourisation facilities</w:t>
            </w:r>
          </w:p>
          <w:p w:rsidR="00000000" w:rsidP="00C605C0">
            <w:pPr>
              <w:pStyle w:val="ListBullet"/>
              <w:rPr>
                <w:lang w:val="en-NZ"/>
              </w:rPr>
            </w:pPr>
            <w:r w:rsidRPr="00C605C0">
              <w:t>reference to relevant operating policies and procedures</w:t>
            </w:r>
          </w:p>
        </w:tc>
      </w:tr>
      <w:tr w:rsidTr="00630FF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G 4.1.17</w:t>
            </w:r>
          </w:p>
        </w:tc>
        <w:tc>
          <w:tcPr>
            <w:tcW w:w="603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t>Demonstrate knowledge of pipeline systems</w:t>
            </w:r>
          </w:p>
          <w:p w:rsidR="00000000" w:rsidRPr="00C605C0" w:rsidP="00C605C0">
            <w:pPr>
              <w:pStyle w:val="BodyText"/>
            </w:pPr>
            <w:r w:rsidRPr="00C605C0">
              <w:t>Evidence shall show an understanding required at a Gas Industry supervisory level</w:t>
            </w:r>
            <w:r w:rsidRPr="00C605C0">
              <w:t xml:space="preserve"> of general principles associated with pipelines and other gas infrastructure, indicated by the following:</w:t>
            </w:r>
          </w:p>
          <w:p w:rsidR="00000000" w:rsidRPr="00C605C0" w:rsidP="00C605C0">
            <w:pPr>
              <w:pStyle w:val="ListBullet"/>
            </w:pPr>
            <w:r w:rsidRPr="00C605C0">
              <w:t>identification, control and management of relevant threats against pipeline infrastructure and facilities</w:t>
            </w:r>
          </w:p>
          <w:p w:rsidR="00000000" w:rsidRPr="00C605C0" w:rsidP="00C605C0">
            <w:pPr>
              <w:pStyle w:val="ListBullet"/>
            </w:pPr>
            <w:r w:rsidRPr="00C605C0">
              <w:t>identification of pipeline locations</w:t>
            </w:r>
          </w:p>
          <w:p w:rsidR="00000000" w:rsidRPr="00C605C0" w:rsidP="00C605C0">
            <w:pPr>
              <w:pStyle w:val="ListBullet"/>
            </w:pPr>
            <w:r w:rsidRPr="00C605C0">
              <w:t>appli</w:t>
            </w:r>
            <w:r w:rsidRPr="00C605C0">
              <w:t xml:space="preserve">cation of guidelines for the use of excavation machinery near pipelines and infrastructure and damage </w:t>
            </w:r>
          </w:p>
          <w:p w:rsidR="00000000" w:rsidRPr="00C605C0" w:rsidP="00C605C0">
            <w:pPr>
              <w:pStyle w:val="ListBullet"/>
            </w:pPr>
            <w:r w:rsidRPr="00C605C0">
              <w:t>operational specifications and safe working limitations of pipelines and infrastructure</w:t>
            </w:r>
          </w:p>
          <w:p w:rsidR="00000000" w:rsidRPr="00C605C0" w:rsidP="00C605C0">
            <w:pPr>
              <w:pStyle w:val="ListBullet"/>
            </w:pPr>
            <w:r w:rsidRPr="00C605C0">
              <w:t xml:space="preserve">principles of cathodic protection and corrosion mitigation </w:t>
            </w:r>
          </w:p>
          <w:p w:rsidR="00000000" w:rsidRPr="00C605C0" w:rsidP="00C605C0">
            <w:pPr>
              <w:pStyle w:val="ListBullet"/>
            </w:pPr>
            <w:r w:rsidRPr="00C605C0">
              <w:t>HB105</w:t>
            </w:r>
            <w:r w:rsidRPr="00C605C0">
              <w:t xml:space="preserve"> Guide to pipeline risk assessment in accordance with AS2885.1, AS2885 Part 3</w:t>
            </w:r>
          </w:p>
          <w:p w:rsidR="00000000" w:rsidP="00C605C0">
            <w:pPr>
              <w:pStyle w:val="ListBullet"/>
              <w:rPr>
                <w:lang w:val="en-NZ"/>
              </w:rPr>
            </w:pPr>
            <w:r w:rsidRPr="00C605C0">
              <w:t>applicable pipeline legislation, regulations, advisory standards and codes of practice.</w:t>
            </w:r>
          </w:p>
        </w:tc>
      </w:tr>
      <w:tr w:rsidTr="00630FF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G 4.1.19</w:t>
            </w:r>
          </w:p>
        </w:tc>
        <w:tc>
          <w:tcPr>
            <w:tcW w:w="603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t>Understand and apply commercial agreements in a Gas Industry environment</w:t>
            </w:r>
          </w:p>
          <w:p w:rsidR="00000000" w:rsidRPr="00C605C0" w:rsidP="00C605C0">
            <w:pPr>
              <w:pStyle w:val="BodyText"/>
            </w:pPr>
            <w:r w:rsidRPr="00C605C0">
              <w:t>Evidence shall show an understanding of the knowledge of gas industry commercial agreements, indicated by the following:</w:t>
            </w:r>
          </w:p>
          <w:p w:rsidR="00000000" w:rsidRPr="00C605C0" w:rsidP="00C605C0">
            <w:pPr>
              <w:pStyle w:val="ListBullet"/>
            </w:pPr>
            <w:r w:rsidRPr="00C605C0">
              <w:t>understanding the application of applicable commercial agreements and contractual requirements including, but not limited to:</w:t>
            </w:r>
          </w:p>
          <w:p w:rsidR="00000000" w:rsidRPr="00C605C0" w:rsidP="00C605C0">
            <w:pPr>
              <w:pStyle w:val="ListBullet2"/>
            </w:pPr>
            <w:r w:rsidRPr="00C605C0">
              <w:t>Gas Sup</w:t>
            </w:r>
            <w:r w:rsidRPr="00C605C0">
              <w:t>ply Agreements (GSA)</w:t>
            </w:r>
          </w:p>
          <w:p w:rsidR="00000000" w:rsidRPr="00C605C0" w:rsidP="00C605C0">
            <w:pPr>
              <w:pStyle w:val="ListBullet2"/>
            </w:pPr>
            <w:r w:rsidRPr="00C605C0">
              <w:t>Gas Transportation Agreements (GTA)</w:t>
            </w:r>
          </w:p>
          <w:p w:rsidR="00000000" w:rsidRPr="00C605C0" w:rsidP="00C605C0">
            <w:pPr>
              <w:pStyle w:val="ListBullet2"/>
            </w:pPr>
            <w:r w:rsidRPr="00C605C0">
              <w:t>Gas Processing Agreements (GPA)</w:t>
            </w:r>
          </w:p>
          <w:p w:rsidR="00000000" w:rsidRPr="00C605C0" w:rsidP="00C605C0">
            <w:pPr>
              <w:pStyle w:val="ListBullet2"/>
            </w:pPr>
            <w:r w:rsidRPr="00C605C0">
              <w:t>Gas Imbalance Trading procedures</w:t>
            </w:r>
          </w:p>
          <w:p w:rsidR="00000000" w:rsidRPr="00C605C0" w:rsidP="00C605C0">
            <w:pPr>
              <w:pStyle w:val="ListBullet2"/>
            </w:pPr>
            <w:r w:rsidRPr="00C605C0">
              <w:t>Spot market contracts</w:t>
            </w:r>
          </w:p>
        </w:tc>
      </w:tr>
    </w:tbl>
    <w:p w:rsidR="00630FFD" w:rsidP="00C605C0">
      <w:pPr>
        <w:pStyle w:val="BodyText"/>
      </w:pPr>
    </w:p>
    <w:p w:rsidR="00630FFD" w:rsidP="00C605C0">
      <w:pPr>
        <w:pStyle w:val="BodyText"/>
      </w:pPr>
    </w:p>
    <w:p w:rsidR="00000000" w:rsidRPr="00C605C0" w:rsidP="00C605C0">
      <w:pPr>
        <w:pStyle w:val="Heading1"/>
      </w:pPr>
      <w:bookmarkStart w:id="10" w:name="O_625689"/>
      <w:bookmarkEnd w:id="10"/>
      <w:r w:rsidRPr="00C605C0">
        <w:t>Evidence Guide</w:t>
      </w:r>
    </w:p>
    <w:tbl>
      <w:tblPr>
        <w:tblW w:w="0" w:type="auto"/>
        <w:tblLayout w:type="fixed"/>
        <w:tblCellMar>
          <w:left w:w="62" w:type="dxa"/>
          <w:right w:w="62" w:type="dxa"/>
        </w:tblCellMar>
        <w:tblLook w:val="0000"/>
      </w:tblPr>
      <w:tblGrid>
        <w:gridCol w:w="8460"/>
      </w:tblGrid>
      <w:tr w:rsidTr="00630FF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rPr>
                <w:rStyle w:val="SpecialBold"/>
              </w:rPr>
              <w:t>EVIDENCE GUIDE</w:t>
            </w:r>
          </w:p>
        </w:tc>
      </w:tr>
      <w:tr w:rsidTr="00630FFD">
        <w:tblPrEx>
          <w:tblW w:w="0" w:type="auto"/>
          <w:tblLayout w:type="fixed"/>
          <w:tblCellMar>
            <w:left w:w="62" w:type="dxa"/>
            <w:right w:w="62" w:type="dxa"/>
          </w:tblCellMar>
          <w:tblLook w:val="0000"/>
        </w:tblPrEx>
        <w:trPr>
          <w:trHeight w:val="980"/>
        </w:trPr>
        <w:tc>
          <w:tcPr>
            <w:tcW w:w="846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rPr>
                <w:rStyle w:val="SpecialBold"/>
              </w:rPr>
              <w:t>9)</w:t>
            </w:r>
            <w:r w:rsidRPr="00C605C0">
              <w:t xml:space="preserve"> 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C605C0" w:rsidP="00C605C0">
      <w:pPr>
        <w:pStyle w:val="BodyText"/>
      </w:pPr>
    </w:p>
    <w:tbl>
      <w:tblPr>
        <w:tblW w:w="0" w:type="auto"/>
        <w:tblLayout w:type="fixed"/>
        <w:tblCellMar>
          <w:left w:w="62" w:type="dxa"/>
          <w:right w:w="62" w:type="dxa"/>
        </w:tblCellMar>
        <w:tblLook w:val="0000"/>
      </w:tblPr>
      <w:tblGrid>
        <w:gridCol w:w="1890"/>
        <w:gridCol w:w="6570"/>
      </w:tblGrid>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rPr>
                <w:rStyle w:val="SpecialBold"/>
              </w:rPr>
              <w:t>9.1)</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Longitudinal competency development approaches to assessment, such as Profiling, require data to be reliably gathered in a form that can be consistently interpreted over time. This approach is best utilised in Apprenticeship p</w:t>
            </w:r>
            <w:r w:rsidRPr="00C605C0">
              <w:t>rograms and reduces assessment intervention. It is the Industry’s preferred model for apprenticeships. However, where summative (or final) assessment is used it is to include the application of the competency in the normal work environment or, at a minimum</w:t>
            </w:r>
            <w:r w:rsidRPr="00C605C0">
              <w:t xml:space="preserve">, the application of the competency in a realistically simulated work environment. It is recognised that, in some circumstances, assessment in part or full can occur outside the workplace. However, it must be in accord with Industry and, Regulatory policy </w:t>
            </w:r>
            <w:r w:rsidRPr="00C605C0">
              <w:t>in this regard.</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Methods chosen for a particular assessment will be influenced by various factors. These include the extent of the assessment, the most effective locations for the assessment activities to take place, access to physical resources, addition</w:t>
            </w:r>
            <w:r w:rsidRPr="00C605C0">
              <w:t>al safety measures that may be required and the critical nature of the competencies being assessed.</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The critical safety nature of working with electricity, electrical equipment, gas or any other hazardous substance/material carries risk in deeming a pers</w:t>
            </w:r>
            <w:r w:rsidRPr="00C605C0">
              <w:t>on competent. Hence, sources of evidence need to be ‘rich’ in nature so as to minimise error in judgment.</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t>Activities associated with normal every day work have a bearing on the decision as to how much and how detailed the data gathered will contribute to</w:t>
            </w:r>
            <w:r w:rsidRPr="00C605C0">
              <w:t xml:space="preserve"> its ‘richness’. Some skills are more critical to safety and operational requirements while the same skills may be more or less frequently practiced. These points are raised for the assessors to consider when choosing an assessment method and developing as</w:t>
            </w:r>
            <w:r w:rsidRPr="00C605C0">
              <w:t>sessment instruments. Sample instruments are included for Assessors in the Assessment Guidelines of this Training Package.</w:t>
            </w:r>
          </w:p>
        </w:tc>
      </w:tr>
    </w:tbl>
    <w:p w:rsidR="00000000" w:rsidRPr="00C605C0" w:rsidP="00C605C0">
      <w:pPr>
        <w:pStyle w:val="BodyText"/>
      </w:pPr>
    </w:p>
    <w:tbl>
      <w:tblPr>
        <w:tblW w:w="0" w:type="auto"/>
        <w:tblLayout w:type="fixed"/>
        <w:tblCellMar>
          <w:left w:w="62" w:type="dxa"/>
          <w:right w:w="62" w:type="dxa"/>
        </w:tblCellMar>
        <w:tblLook w:val="0000"/>
      </w:tblPr>
      <w:tblGrid>
        <w:gridCol w:w="1890"/>
        <w:gridCol w:w="6570"/>
      </w:tblGrid>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rPr>
                <w:rStyle w:val="SpecialBold"/>
              </w:rPr>
              <w:t>9.2)</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Before the critical aspects of evidence are con</w:t>
            </w:r>
            <w:r w:rsidRPr="00C605C0">
              <w:t>sidered all prerequisites shall be met.</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 xml:space="preserve">Evidence for competence in this unit shall be considered holistically. Each element and associated performance criteria shall be demonstrated on at least two occasions in accordance with the ‘Assessment Guidelines </w:t>
            </w:r>
            <w:r w:rsidRPr="00C605C0">
              <w:t>— UEG11’. Evidence shall also comprise:</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605C0">
            <w:pPr>
              <w:pStyle w:val="ListBullet"/>
              <w:rPr>
                <w:lang w:val="en-NZ"/>
              </w:rPr>
            </w:pPr>
            <w:r w:rsidRPr="00C605C0">
              <w:t>A representative body of work performance demonstrated within the timeframes typically expected of the discipline, work function and industrial environment. In particular this shall incorporate evidence that shows</w:t>
            </w:r>
            <w:r w:rsidRPr="00C605C0">
              <w:t xml:space="preserve"> a candidate is able to:</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605C0">
            <w:pPr>
              <w:pStyle w:val="ListBullet2"/>
              <w:rPr>
                <w:lang w:val="en-NZ"/>
              </w:rPr>
            </w:pPr>
            <w:r w:rsidRPr="00C605C0">
              <w:t>Implement Occupational Health and Safety workplace procedures and practices including the use of risk control measures as specified in the performance criteria and range</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605C0">
            <w:pPr>
              <w:pStyle w:val="ListBullet2"/>
              <w:rPr>
                <w:lang w:val="en-NZ"/>
              </w:rPr>
            </w:pPr>
            <w:r w:rsidRPr="00C605C0">
              <w:t>Apply susta</w:t>
            </w:r>
            <w:r w:rsidRPr="00C605C0">
              <w:t>inable energy principles and practices as specified in the performance criteria and range</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605C0">
            <w:pPr>
              <w:pStyle w:val="ListBullet2"/>
              <w:rPr>
                <w:lang w:val="en-NZ"/>
              </w:rPr>
            </w:pPr>
            <w:r w:rsidRPr="00C605C0">
              <w:t>Demonstrate an understanding of the essential knowledge and associated skills as described in this unit to such an extent that the learner’s performance outcome is</w:t>
            </w:r>
            <w:r w:rsidRPr="00C605C0">
              <w:t xml:space="preserve"> reported in accordance with the preferred approach; namely a percentile graded result, where required by the regulated environment</w:t>
            </w:r>
          </w:p>
        </w:tc>
      </w:tr>
      <w:tr w:rsidTr="00630FFD">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605C0">
            <w:pPr>
              <w:pStyle w:val="ListBullet2"/>
              <w:rPr>
                <w:lang w:val="en-NZ"/>
              </w:rPr>
            </w:pPr>
            <w:r w:rsidRPr="00C605C0">
              <w:t>Demonstrate an appropriate level of employability skills</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605C0">
            <w:pPr>
              <w:pStyle w:val="ListBullet"/>
              <w:rPr>
                <w:lang w:val="en-NZ"/>
              </w:rPr>
            </w:pPr>
            <w:r w:rsidRPr="00C605C0">
              <w:t>Conduct work observing the relevant anti discrimination legislation, regulations, polices and workplace procedures</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C605C0" w:rsidP="00C605C0">
            <w:pPr>
              <w:pStyle w:val="ListBullet2"/>
            </w:pPr>
            <w:r w:rsidRPr="00C605C0">
              <w:t>Demonstrate performance across a representative range of contexts from the prescribed items below.</w:t>
            </w:r>
          </w:p>
        </w:tc>
      </w:tr>
    </w:tbl>
    <w:p w:rsidR="00000000" w:rsidRPr="00C605C0" w:rsidP="00C605C0">
      <w:pPr>
        <w:pStyle w:val="BodyText"/>
      </w:pPr>
    </w:p>
    <w:tbl>
      <w:tblPr>
        <w:tblW w:w="0" w:type="auto"/>
        <w:tblLayout w:type="fixed"/>
        <w:tblCellMar>
          <w:left w:w="62" w:type="dxa"/>
          <w:right w:w="62" w:type="dxa"/>
        </w:tblCellMar>
        <w:tblLook w:val="0000"/>
      </w:tblPr>
      <w:tblGrid>
        <w:gridCol w:w="1890"/>
        <w:gridCol w:w="810"/>
        <w:gridCol w:w="810"/>
        <w:gridCol w:w="2160"/>
        <w:gridCol w:w="2790"/>
      </w:tblGrid>
      <w:tr w:rsidTr="00630FFD">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C605C0">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5C0">
            <w:pPr>
              <w:pStyle w:val="BodyText"/>
              <w:rPr>
                <w:lang w:val="en-NZ"/>
              </w:rPr>
            </w:pPr>
            <w:r w:rsidRPr="00C605C0">
              <w:rPr>
                <w:rStyle w:val="SpecialBold"/>
              </w:rPr>
              <w:t>Range of tools/equipment/procedures/workplace</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C605C0">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5C0" w:rsidP="00C605C0">
            <w:pPr>
              <w:pStyle w:val="BodyText"/>
            </w:pPr>
            <w:r w:rsidRPr="00C605C0">
              <w:rPr>
                <w:rStyle w:val="SpecialBold"/>
              </w:rPr>
              <w:t>Group No</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5C0" w:rsidP="00C605C0">
            <w:pPr>
              <w:pStyle w:val="BodyText"/>
            </w:pPr>
            <w:r w:rsidRPr="00C605C0">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5C0">
            <w:pPr>
              <w:pStyle w:val="BodyText"/>
              <w:rPr>
                <w:lang w:val="en-NZ"/>
              </w:rPr>
            </w:pPr>
            <w:r w:rsidRPr="00C605C0">
              <w:rPr>
                <w:rStyle w:val="SpecialBold"/>
              </w:rPr>
              <w:t>Item List</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C605C0">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5C0">
            <w:pPr>
              <w:pStyle w:val="BodyText"/>
              <w:rPr>
                <w:lang w:val="en-NZ"/>
              </w:rPr>
            </w:pPr>
            <w:r w:rsidRPr="00C605C0">
              <w:rPr>
                <w:rStyle w:val="SpecialBold"/>
              </w:rPr>
              <w:t>A</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5C0">
            <w:pPr>
              <w:pStyle w:val="BodyText"/>
              <w:rPr>
                <w:lang w:val="en-NZ"/>
              </w:rPr>
            </w:pPr>
            <w:r w:rsidRPr="00C605C0">
              <w:t>At least 1</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5C0" w:rsidP="00C605C0">
            <w:pPr>
              <w:pStyle w:val="BodyText"/>
            </w:pPr>
            <w:r w:rsidRPr="00C605C0">
              <w:t>Work site context:</w:t>
            </w:r>
          </w:p>
          <w:p w:rsidR="00000000" w:rsidRPr="00C605C0" w:rsidP="00C605C0">
            <w:pPr>
              <w:pStyle w:val="ListBullet"/>
            </w:pPr>
            <w:r w:rsidRPr="00C605C0">
              <w:t>Gas Industry production, transmission and distribution areas</w:t>
            </w:r>
          </w:p>
          <w:p w:rsidR="00000000" w:rsidP="00C605C0">
            <w:pPr>
              <w:pStyle w:val="ListBullet"/>
              <w:rPr>
                <w:lang w:val="en-NZ"/>
              </w:rPr>
            </w:pPr>
            <w:r w:rsidRPr="00C605C0">
              <w:t>Location —</w:t>
            </w:r>
            <w:r w:rsidRPr="00C605C0">
              <w:t xml:space="preserve"> control centres or other places where communication processes occur</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C605C0">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5C0">
            <w:pPr>
              <w:pStyle w:val="BodyText"/>
              <w:rPr>
                <w:lang w:val="en-NZ"/>
              </w:rPr>
            </w:pPr>
            <w:r w:rsidRPr="00C605C0">
              <w:rPr>
                <w:rStyle w:val="SpecialBold"/>
              </w:rPr>
              <w:t>B</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5C0">
            <w:pPr>
              <w:pStyle w:val="BodyText"/>
              <w:rPr>
                <w:lang w:val="en-NZ"/>
              </w:rPr>
            </w:pPr>
            <w:r w:rsidRPr="00C605C0">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5C0" w:rsidP="00C605C0">
            <w:pPr>
              <w:pStyle w:val="ListBullet"/>
            </w:pPr>
            <w:r w:rsidRPr="00C605C0">
              <w:t xml:space="preserve">Use of relevant computer systems </w:t>
            </w:r>
          </w:p>
          <w:p w:rsidR="00000000" w:rsidRPr="00C605C0" w:rsidP="00C605C0">
            <w:pPr>
              <w:pStyle w:val="ListBullet"/>
            </w:pPr>
            <w:r w:rsidRPr="00C605C0">
              <w:t>Work requests from other parties</w:t>
            </w:r>
          </w:p>
          <w:p w:rsidR="00000000" w:rsidRPr="00C605C0" w:rsidP="00C605C0">
            <w:pPr>
              <w:pStyle w:val="ListBullet"/>
            </w:pPr>
            <w:r w:rsidRPr="00C605C0">
              <w:t>Relevant procedures for equipment use</w:t>
            </w:r>
          </w:p>
          <w:p w:rsidR="00000000" w:rsidRPr="00C605C0" w:rsidP="00C605C0">
            <w:pPr>
              <w:pStyle w:val="ListBullet"/>
            </w:pPr>
            <w:r w:rsidRPr="00C605C0">
              <w:t>Perform work under or without supervision</w:t>
            </w:r>
          </w:p>
          <w:p w:rsidR="00000000" w:rsidRPr="00C605C0" w:rsidP="00C605C0">
            <w:pPr>
              <w:pStyle w:val="ListBullet"/>
            </w:pPr>
            <w:r w:rsidRPr="00C605C0">
              <w:t>Work carried out in regular or specified timeframe</w:t>
            </w:r>
          </w:p>
          <w:p w:rsidR="00000000" w:rsidP="00C605C0">
            <w:pPr>
              <w:pStyle w:val="ListBullet"/>
              <w:rPr>
                <w:lang w:val="en-NZ"/>
              </w:rPr>
            </w:pPr>
            <w:r w:rsidRPr="00C605C0">
              <w:t xml:space="preserve">Written requests and reports </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C605C0">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5C0">
            <w:pPr>
              <w:pStyle w:val="BodyText"/>
              <w:rPr>
                <w:lang w:val="en-NZ"/>
              </w:rPr>
            </w:pPr>
            <w:r w:rsidRPr="00C605C0">
              <w:rPr>
                <w:rStyle w:val="SpecialBold"/>
              </w:rPr>
              <w:t>C</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5C0">
            <w:pPr>
              <w:pStyle w:val="BodyText"/>
              <w:rPr>
                <w:lang w:val="en-NZ"/>
              </w:rPr>
            </w:pPr>
            <w:r w:rsidRPr="00C605C0">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5C0" w:rsidP="00C605C0">
            <w:pPr>
              <w:pStyle w:val="ListBullet"/>
            </w:pPr>
            <w:r w:rsidRPr="00C605C0">
              <w:t>Locate, interpret and apply relevant information</w:t>
            </w:r>
          </w:p>
          <w:p w:rsidR="00000000" w:rsidRPr="00C605C0" w:rsidP="00C605C0">
            <w:pPr>
              <w:pStyle w:val="ListBullet"/>
            </w:pPr>
            <w:r w:rsidRPr="00C605C0">
              <w:t>Analyse process functions and problems</w:t>
            </w:r>
          </w:p>
          <w:p w:rsidR="00000000" w:rsidRPr="00C605C0" w:rsidP="00C605C0">
            <w:pPr>
              <w:pStyle w:val="ListBullet"/>
            </w:pPr>
            <w:r w:rsidRPr="00C605C0">
              <w:t>Apply relevant customer service policies and procedures</w:t>
            </w:r>
          </w:p>
          <w:p w:rsidR="00000000" w:rsidRPr="00C605C0" w:rsidP="00C605C0">
            <w:pPr>
              <w:pStyle w:val="ListBullet"/>
            </w:pPr>
            <w:r w:rsidRPr="00C605C0">
              <w:t>Use appropriate workp</w:t>
            </w:r>
            <w:r w:rsidRPr="00C605C0">
              <w:t>lace language and communication technologies and techniques</w:t>
            </w:r>
          </w:p>
          <w:p w:rsidR="00000000" w:rsidRPr="00C605C0" w:rsidP="00C605C0">
            <w:pPr>
              <w:pStyle w:val="ListBullet"/>
            </w:pPr>
            <w:r w:rsidRPr="00C605C0">
              <w:t>Maintain relevant workplace records</w:t>
            </w:r>
          </w:p>
          <w:p w:rsidR="00000000" w:rsidRPr="00C605C0" w:rsidP="00C605C0">
            <w:pPr>
              <w:pStyle w:val="ListBullet"/>
            </w:pPr>
            <w:r w:rsidRPr="00C605C0">
              <w:t>Demonstrate understanding of the essential knowledge and associated skills associated with this competency standard</w:t>
            </w:r>
          </w:p>
          <w:p w:rsidR="00000000" w:rsidP="00C605C0">
            <w:pPr>
              <w:pStyle w:val="ListBullet"/>
              <w:rPr>
                <w:lang w:val="en-NZ"/>
              </w:rPr>
            </w:pPr>
            <w:r w:rsidRPr="00C605C0">
              <w:t>Demonstration of each element on several occasions</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C605C0">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5C0">
            <w:pPr>
              <w:pStyle w:val="BodyText"/>
              <w:rPr>
                <w:lang w:val="en-NZ"/>
              </w:rPr>
            </w:pPr>
            <w:r w:rsidRPr="00C605C0">
              <w:rPr>
                <w:rStyle w:val="SpecialBold"/>
              </w:rPr>
              <w:t>D</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5C0">
            <w:pPr>
              <w:pStyle w:val="BodyText"/>
              <w:rPr>
                <w:lang w:val="en-NZ"/>
              </w:rPr>
            </w:pPr>
            <w:r w:rsidRPr="00C605C0">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5C0" w:rsidP="00C605C0">
            <w:pPr>
              <w:pStyle w:val="BodyText"/>
            </w:pPr>
            <w:r w:rsidRPr="00C605C0">
              <w:t xml:space="preserve">Deal with unplanned event by drawing on essential knowledge and associated skills to provide appropriate solutions incorporated in holistic assessment with above listed items </w:t>
            </w:r>
          </w:p>
        </w:tc>
      </w:tr>
    </w:tbl>
    <w:p w:rsidR="00000000" w:rsidRPr="00C605C0" w:rsidP="00C605C0">
      <w:pPr>
        <w:pStyle w:val="BodyText"/>
      </w:pPr>
    </w:p>
    <w:tbl>
      <w:tblPr>
        <w:tblW w:w="0" w:type="auto"/>
        <w:tblLayout w:type="fixed"/>
        <w:tblCellMar>
          <w:left w:w="62" w:type="dxa"/>
          <w:right w:w="62" w:type="dxa"/>
        </w:tblCellMar>
        <w:tblLook w:val="0000"/>
      </w:tblPr>
      <w:tblGrid>
        <w:gridCol w:w="1890"/>
        <w:gridCol w:w="6570"/>
      </w:tblGrid>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rPr>
                <w:rStyle w:val="SpecialBold"/>
              </w:rPr>
              <w:t>9.3)</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This unit should be assessed as it relates to normal work practice using procedures, information and resources typical of a workplace. This should include:</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605C0">
            <w:pPr>
              <w:pStyle w:val="ListBullet"/>
              <w:rPr>
                <w:lang w:val="en-NZ"/>
              </w:rPr>
            </w:pPr>
            <w:r w:rsidRPr="00C605C0">
              <w:t>OHS policy and work procedures and instructions.</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605C0">
            <w:pPr>
              <w:pStyle w:val="ListBullet"/>
              <w:rPr>
                <w:lang w:val="en-NZ"/>
              </w:rPr>
            </w:pPr>
            <w:r w:rsidRPr="00C605C0">
              <w:t>Suitable work environment, facilities, equipment and materials to undertake actual work as prescribed by this Competency Standard Unit.</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605C0">
            <w:pPr>
              <w:pStyle w:val="ListBullet"/>
              <w:rPr>
                <w:lang w:val="en-NZ"/>
              </w:rPr>
            </w:pPr>
            <w:r w:rsidRPr="00C605C0">
              <w:t>Appropriate environmental regulation and work practices.</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605C0">
            <w:pPr>
              <w:pStyle w:val="ListBullet"/>
              <w:rPr>
                <w:lang w:val="en-NZ"/>
              </w:rPr>
            </w:pPr>
            <w:r w:rsidRPr="00C605C0">
              <w:t>Appropriate organisational requirements.</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605C0">
            <w:pPr>
              <w:pStyle w:val="ListBullet"/>
              <w:rPr>
                <w:lang w:val="en-NZ"/>
              </w:rPr>
            </w:pPr>
            <w:r w:rsidRPr="00C605C0">
              <w:t>Appropriate work environment, equipment and tools.</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In addition to the resources listed above, in Context of and specific resources for assessment, evidence should show demonstrated competency in operating gas i</w:t>
            </w:r>
            <w:r w:rsidRPr="00C605C0">
              <w:t>nfrastructure to meet nominated demand.</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t>Assessment of this competency must also be undertaken in either an actual workplace or under a simulated work environment. Assessment must also integrate the employability skills.</w:t>
            </w:r>
          </w:p>
        </w:tc>
      </w:tr>
    </w:tbl>
    <w:p w:rsidR="00000000" w:rsidRPr="00C605C0" w:rsidP="00C605C0">
      <w:pPr>
        <w:pStyle w:val="BodyText"/>
      </w:pPr>
    </w:p>
    <w:tbl>
      <w:tblPr>
        <w:tblW w:w="0" w:type="auto"/>
        <w:tblLayout w:type="fixed"/>
        <w:tblCellMar>
          <w:left w:w="62" w:type="dxa"/>
          <w:right w:w="62" w:type="dxa"/>
        </w:tblCellMar>
        <w:tblLook w:val="0000"/>
      </w:tblPr>
      <w:tblGrid>
        <w:gridCol w:w="1890"/>
        <w:gridCol w:w="6570"/>
      </w:tblGrid>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rPr>
                <w:rStyle w:val="SpecialBold"/>
              </w:rPr>
              <w:t>9.4)</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This Competency Standard Unit shall be assessed by methods given in Volume 1, Part 3 ‘Assessment Guidelines’.</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t>Note: Competent performance with inherent safe working practices is expected in the Industry to which this Competency Standard Unit applies. Thi</w:t>
            </w:r>
            <w:r w:rsidRPr="00C605C0">
              <w:t>s requires that the specified Essential Knowledge and Associated Skills are assessed in a structured environment which is primarily intended for learning/assessment and incorporates all necessary equipment and facilities for learners to develop and demonst</w:t>
            </w:r>
            <w:r w:rsidRPr="00C605C0">
              <w:t>rate the essential knowledge and associated skills described in this unit.</w:t>
            </w:r>
          </w:p>
        </w:tc>
      </w:tr>
    </w:tbl>
    <w:p w:rsidR="00000000" w:rsidRPr="00C605C0" w:rsidP="00C605C0">
      <w:pPr>
        <w:pStyle w:val="BodyText"/>
      </w:pPr>
    </w:p>
    <w:tbl>
      <w:tblPr>
        <w:tblW w:w="0" w:type="auto"/>
        <w:tblLayout w:type="fixed"/>
        <w:tblCellMar>
          <w:left w:w="62" w:type="dxa"/>
          <w:right w:w="62" w:type="dxa"/>
        </w:tblCellMar>
        <w:tblLook w:val="0000"/>
      </w:tblPr>
      <w:tblGrid>
        <w:gridCol w:w="1890"/>
        <w:gridCol w:w="6570"/>
      </w:tblGrid>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rPr>
                <w:rStyle w:val="SpecialBold"/>
              </w:rPr>
              <w:t>9.5)</w:t>
            </w:r>
          </w:p>
        </w:tc>
      </w:tr>
      <w:tr w:rsidTr="00630F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t>There are no recommended concurrent assessments with this unit.</w:t>
            </w:r>
          </w:p>
        </w:tc>
      </w:tr>
    </w:tbl>
    <w:p w:rsidR="00630FFD" w:rsidP="00C605C0">
      <w:pPr>
        <w:pStyle w:val="BodyText"/>
      </w:pPr>
    </w:p>
    <w:p w:rsidR="00630FFD" w:rsidP="00C605C0">
      <w:pPr>
        <w:pStyle w:val="BodyText"/>
      </w:pPr>
    </w:p>
    <w:p w:rsidR="00000000" w:rsidRPr="00C605C0" w:rsidP="00C605C0">
      <w:pPr>
        <w:pStyle w:val="Heading1"/>
      </w:pPr>
      <w:bookmarkStart w:id="11" w:name="O_625690"/>
      <w:bookmarkEnd w:id="11"/>
      <w:r w:rsidRPr="00C605C0">
        <w:t>Range Statement</w:t>
      </w:r>
    </w:p>
    <w:tbl>
      <w:tblPr>
        <w:tblW w:w="0" w:type="auto"/>
        <w:tblLayout w:type="fixed"/>
        <w:tblCellMar>
          <w:left w:w="62" w:type="dxa"/>
          <w:right w:w="62" w:type="dxa"/>
        </w:tblCellMar>
        <w:tblLook w:val="0000"/>
      </w:tblPr>
      <w:tblGrid>
        <w:gridCol w:w="8460"/>
      </w:tblGrid>
      <w:tr w:rsidTr="00630FF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rPr>
                <w:rStyle w:val="SpecialBold"/>
              </w:rPr>
              <w:t>RANGE STATEMENT</w:t>
            </w:r>
          </w:p>
        </w:tc>
      </w:tr>
      <w:tr w:rsidTr="00630F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rPr>
                <w:rStyle w:val="SpecialBold"/>
              </w:rPr>
              <w:t>10)</w:t>
            </w:r>
            <w:r w:rsidRPr="00C605C0">
              <w:t xml:space="preserve"> </w:t>
            </w:r>
            <w:r w:rsidRPr="00C605C0">
              <w:rPr>
                <w:rStyle w:val="Emphasis"/>
              </w:rPr>
              <w:t>This relates to the competency standard unit as a whole providing the range of contexts and conditions to which the performance criteria apply. It allows for different work environments and situations that will affect performance.</w:t>
            </w:r>
          </w:p>
        </w:tc>
      </w:tr>
      <w:tr w:rsidTr="00630F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This Competency Standard Unit shall be demonstrated in relation to assessing and responding to anticipated demand.</w:t>
            </w:r>
          </w:p>
        </w:tc>
      </w:tr>
      <w:tr w:rsidTr="00630F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t>The following constants and variables included in the element/performance criteria in this unit are fully described in the Definitions Secti</w:t>
            </w:r>
            <w:r w:rsidRPr="00C605C0">
              <w:t>on of this volume and form an integral part of the Range Statement of this unit:</w:t>
            </w:r>
          </w:p>
        </w:tc>
      </w:tr>
      <w:tr w:rsidTr="00630F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605C0">
            <w:pPr>
              <w:pStyle w:val="ListBullet"/>
              <w:rPr>
                <w:lang w:val="en-NZ"/>
              </w:rPr>
            </w:pPr>
            <w:r w:rsidRPr="00C605C0">
              <w:t>Areas to control</w:t>
            </w:r>
          </w:p>
        </w:tc>
      </w:tr>
      <w:tr w:rsidTr="00630F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605C0">
            <w:pPr>
              <w:pStyle w:val="ListBullet"/>
              <w:rPr>
                <w:lang w:val="en-NZ"/>
              </w:rPr>
            </w:pPr>
            <w:r w:rsidRPr="00C605C0">
              <w:t>Gas infrastructure</w:t>
            </w:r>
          </w:p>
        </w:tc>
      </w:tr>
      <w:tr w:rsidTr="00630F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605C0">
            <w:pPr>
              <w:pStyle w:val="ListBullet"/>
              <w:rPr>
                <w:lang w:val="en-NZ"/>
              </w:rPr>
            </w:pPr>
            <w:r w:rsidRPr="00C605C0">
              <w:t>Records/reports</w:t>
            </w:r>
          </w:p>
        </w:tc>
      </w:tr>
      <w:tr w:rsidTr="00630F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605C0">
            <w:pPr>
              <w:pStyle w:val="ListBullet"/>
              <w:rPr>
                <w:lang w:val="en-NZ"/>
              </w:rPr>
            </w:pPr>
            <w:r w:rsidRPr="00C605C0">
              <w:t>Information systems</w:t>
            </w:r>
          </w:p>
        </w:tc>
      </w:tr>
      <w:tr w:rsidTr="00630F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605C0">
            <w:pPr>
              <w:pStyle w:val="ListBullet"/>
              <w:rPr>
                <w:lang w:val="en-NZ"/>
              </w:rPr>
            </w:pPr>
            <w:r w:rsidRPr="00C605C0">
              <w:t>Industry products and services</w:t>
            </w:r>
          </w:p>
        </w:tc>
      </w:tr>
      <w:tr w:rsidTr="00630F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605C0">
            <w:pPr>
              <w:pStyle w:val="ListBullet"/>
              <w:rPr>
                <w:lang w:val="en-NZ"/>
              </w:rPr>
            </w:pPr>
            <w:r w:rsidRPr="00C605C0">
              <w:t>Authoritative sources</w:t>
            </w:r>
          </w:p>
        </w:tc>
      </w:tr>
      <w:tr w:rsidTr="00630F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605C0">
            <w:pPr>
              <w:pStyle w:val="ListBullet"/>
              <w:rPr>
                <w:lang w:val="en-NZ"/>
              </w:rPr>
            </w:pPr>
            <w:r w:rsidRPr="00C605C0">
              <w:t>Product information</w:t>
            </w:r>
          </w:p>
        </w:tc>
      </w:tr>
      <w:tr w:rsidTr="00630F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605C0">
            <w:pPr>
              <w:pStyle w:val="ListBullet"/>
              <w:rPr>
                <w:lang w:val="en-NZ"/>
              </w:rPr>
            </w:pPr>
            <w:r w:rsidRPr="00C605C0">
              <w:t>Stakeholders</w:t>
            </w:r>
          </w:p>
        </w:tc>
      </w:tr>
      <w:tr w:rsidTr="00630F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605C0">
            <w:pPr>
              <w:pStyle w:val="ListBullet"/>
              <w:rPr>
                <w:lang w:val="en-NZ"/>
              </w:rPr>
            </w:pPr>
            <w:r w:rsidRPr="00C605C0">
              <w:t>Organisational requirements</w:t>
            </w:r>
          </w:p>
        </w:tc>
      </w:tr>
      <w:tr w:rsidTr="00630F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605C0">
            <w:pPr>
              <w:pStyle w:val="ListBullet"/>
              <w:rPr>
                <w:lang w:val="en-NZ"/>
              </w:rPr>
            </w:pPr>
            <w:r w:rsidRPr="00C605C0">
              <w:t>Interpersonal skills</w:t>
            </w:r>
          </w:p>
        </w:tc>
      </w:tr>
      <w:tr w:rsidTr="00630F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605C0">
            <w:pPr>
              <w:pStyle w:val="ListBullet"/>
              <w:rPr>
                <w:lang w:val="en-NZ"/>
              </w:rPr>
            </w:pPr>
            <w:r w:rsidRPr="00C605C0">
              <w:t>Nominated person(s)</w:t>
            </w:r>
          </w:p>
        </w:tc>
      </w:tr>
      <w:tr w:rsidTr="00630F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605C0" w:rsidP="00C605C0">
            <w:pPr>
              <w:pStyle w:val="ListBullet"/>
            </w:pPr>
            <w:r w:rsidRPr="00C605C0">
              <w:t>Product and service issues</w:t>
            </w:r>
          </w:p>
        </w:tc>
      </w:tr>
    </w:tbl>
    <w:p w:rsidR="00000000" w:rsidRPr="00C605C0" w:rsidP="00C605C0">
      <w:pPr>
        <w:pStyle w:val="BodyText"/>
      </w:pPr>
    </w:p>
    <w:p w:rsidR="00000000" w:rsidRPr="00C605C0" w:rsidP="00C605C0">
      <w:pPr>
        <w:pStyle w:val="AllowPageBreak"/>
      </w:pPr>
    </w:p>
    <w:p w:rsidR="00000000" w:rsidRPr="00C605C0" w:rsidP="00C605C0">
      <w:pPr>
        <w:pStyle w:val="Heading1"/>
      </w:pPr>
      <w:bookmarkStart w:id="12" w:name="O_625691"/>
      <w:bookmarkEnd w:id="12"/>
      <w:r w:rsidRPr="00C605C0">
        <w:t>Unit Sector(s)</w:t>
      </w:r>
    </w:p>
    <w:p w:rsidR="00000000" w:rsidRPr="00C605C0" w:rsidP="00C605C0">
      <w:pPr>
        <w:pStyle w:val="BodyText"/>
      </w:pPr>
      <w:r w:rsidRPr="00C605C0">
        <w:t>Not applicable.</w:t>
      </w:r>
    </w:p>
    <w:p w:rsidR="00000000" w:rsidRPr="00C605C0" w:rsidP="00C605C0">
      <w:pPr>
        <w:pStyle w:val="AllowPageBreak"/>
      </w:pPr>
    </w:p>
    <w:p w:rsidR="00000000" w:rsidRPr="00C605C0" w:rsidP="00C605C0">
      <w:pPr>
        <w:pStyle w:val="Heading1"/>
      </w:pPr>
      <w:bookmarkStart w:id="13" w:name="O_625692"/>
      <w:bookmarkEnd w:id="13"/>
      <w:r w:rsidRPr="00C605C0">
        <w:t>Competency Field</w:t>
      </w:r>
    </w:p>
    <w:tbl>
      <w:tblPr>
        <w:tblW w:w="0" w:type="auto"/>
        <w:tblLayout w:type="fixed"/>
        <w:tblCellMar>
          <w:left w:w="62" w:type="dxa"/>
          <w:right w:w="62" w:type="dxa"/>
        </w:tblCellMar>
        <w:tblLook w:val="0000"/>
      </w:tblPr>
      <w:tblGrid>
        <w:gridCol w:w="2700"/>
        <w:gridCol w:w="5760"/>
      </w:tblGrid>
      <w:tr w:rsidTr="00630F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605C0">
            <w:pPr>
              <w:pStyle w:val="BodyText"/>
              <w:rPr>
                <w:lang w:val="en-NZ"/>
              </w:rPr>
            </w:pPr>
            <w:r w:rsidRPr="00C605C0">
              <w:rPr>
                <w:rStyle w:val="SpecialBold"/>
              </w:rPr>
              <w:t xml:space="preserve">11) </w:t>
            </w:r>
          </w:p>
        </w:tc>
      </w:tr>
      <w:tr w:rsidTr="00630F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05C0" w:rsidP="00C605C0">
            <w:pPr>
              <w:pStyle w:val="BodyText"/>
            </w:pPr>
            <w:r w:rsidRPr="00C605C0">
              <w:t>Control centre.</w:t>
            </w:r>
          </w:p>
        </w:tc>
      </w:tr>
    </w:tbl>
    <w:p w:rsidR="00000000" w:rsidRPr="00C605C0" w:rsidP="00C605C0">
      <w:pPr>
        <w:pStyle w:val="BodyText"/>
      </w:pPr>
    </w:p>
    <w:p w:rsidR="00000000" w:rsidRPr="00C605C0" w:rsidP="00C605C0"/>
    <w:sectPr w:rsidSect="00C605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5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5C0" w:rsidRPr="00630FFD" w:rsidP="00630F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5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FFD" w:rsidP="00C605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630FFD" w:rsidP="00C605C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630FFD" w:rsidP="00C605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5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5C0" w:rsidRPr="00630FFD" w:rsidP="00630F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5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FFD" w:rsidRPr="002D2AF8" w:rsidP="00C605C0">
    <w:pPr>
      <w:pStyle w:val="Header"/>
      <w:framePr w:wrap="around"/>
    </w:pPr>
    <w:r>
      <w:fldChar w:fldCharType="begin"/>
    </w:r>
    <w:r>
      <w:instrText xml:space="preserve"> TITLE   \* MERGEFORMAT </w:instrText>
    </w:r>
    <w:r>
      <w:fldChar w:fldCharType="separate"/>
    </w:r>
    <w:r>
      <w:t>UEGNSG511A Operate gas infrastructure to meet nominated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630FFD" w:rsidP="00C605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CE7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162C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0AF8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5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05C0"/>
    <w:pPr>
      <w:spacing w:before="360" w:after="60"/>
      <w:outlineLvl w:val="0"/>
    </w:pPr>
    <w:rPr>
      <w:sz w:val="32"/>
    </w:rPr>
  </w:style>
  <w:style w:type="paragraph" w:styleId="Heading2">
    <w:name w:val="heading 2"/>
    <w:basedOn w:val="HeadingBase"/>
    <w:next w:val="BodyText"/>
    <w:link w:val="Heading2Char"/>
    <w:qFormat/>
    <w:rsid w:val="00C605C0"/>
    <w:pPr>
      <w:keepLines/>
      <w:spacing w:before="240" w:after="120"/>
      <w:outlineLvl w:val="1"/>
    </w:pPr>
    <w:rPr>
      <w:sz w:val="28"/>
      <w:szCs w:val="40"/>
    </w:rPr>
  </w:style>
  <w:style w:type="paragraph" w:styleId="Heading3">
    <w:name w:val="heading 3"/>
    <w:basedOn w:val="HeadingBase"/>
    <w:next w:val="BodyText"/>
    <w:link w:val="Heading3Char"/>
    <w:qFormat/>
    <w:rsid w:val="00C605C0"/>
    <w:pPr>
      <w:spacing w:before="180" w:after="120"/>
      <w:outlineLvl w:val="2"/>
    </w:pPr>
    <w:rPr>
      <w:spacing w:val="-10"/>
      <w:kern w:val="32"/>
    </w:rPr>
  </w:style>
  <w:style w:type="paragraph" w:styleId="Heading4">
    <w:name w:val="heading 4"/>
    <w:basedOn w:val="HeadingBase"/>
    <w:next w:val="BodyText"/>
    <w:link w:val="Heading4Char"/>
    <w:qFormat/>
    <w:rsid w:val="00C605C0"/>
    <w:pPr>
      <w:spacing w:before="160" w:after="120"/>
      <w:outlineLvl w:val="3"/>
    </w:pPr>
    <w:rPr>
      <w:sz w:val="22"/>
    </w:rPr>
  </w:style>
  <w:style w:type="paragraph" w:styleId="Heading5">
    <w:name w:val="heading 5"/>
    <w:basedOn w:val="HeadingBase"/>
    <w:next w:val="Normal"/>
    <w:link w:val="Heading5Char"/>
    <w:qFormat/>
    <w:rsid w:val="00C605C0"/>
    <w:pPr>
      <w:spacing w:before="80"/>
      <w:outlineLvl w:val="4"/>
    </w:pPr>
    <w:rPr>
      <w:color w:val="918585"/>
      <w:sz w:val="20"/>
    </w:rPr>
  </w:style>
  <w:style w:type="paragraph" w:styleId="Heading6">
    <w:name w:val="heading 6"/>
    <w:basedOn w:val="HeadingBase"/>
    <w:next w:val="Normal"/>
    <w:link w:val="Heading6Char"/>
    <w:qFormat/>
    <w:rsid w:val="00C605C0"/>
    <w:pPr>
      <w:spacing w:before="60"/>
      <w:outlineLvl w:val="5"/>
    </w:pPr>
    <w:rPr>
      <w:color w:val="918585"/>
      <w:sz w:val="20"/>
    </w:rPr>
  </w:style>
  <w:style w:type="paragraph" w:styleId="Heading7">
    <w:name w:val="heading 7"/>
    <w:basedOn w:val="Normal"/>
    <w:next w:val="Normal"/>
    <w:link w:val="Heading7Char"/>
    <w:qFormat/>
    <w:rsid w:val="00C605C0"/>
    <w:pPr>
      <w:ind w:left="720"/>
      <w:outlineLvl w:val="6"/>
    </w:pPr>
    <w:rPr>
      <w:i/>
    </w:rPr>
  </w:style>
  <w:style w:type="paragraph" w:styleId="Heading8">
    <w:name w:val="heading 8"/>
    <w:basedOn w:val="Normal"/>
    <w:next w:val="Normal"/>
    <w:link w:val="Heading8Char"/>
    <w:qFormat/>
    <w:rsid w:val="00C605C0"/>
    <w:pPr>
      <w:ind w:left="720"/>
      <w:outlineLvl w:val="7"/>
    </w:pPr>
    <w:rPr>
      <w:i/>
    </w:rPr>
  </w:style>
  <w:style w:type="paragraph" w:styleId="Heading9">
    <w:name w:val="heading 9"/>
    <w:basedOn w:val="Normal"/>
    <w:next w:val="Normal"/>
    <w:link w:val="Heading9Char"/>
    <w:qFormat/>
    <w:rsid w:val="00C605C0"/>
    <w:pPr>
      <w:ind w:left="720"/>
      <w:outlineLvl w:val="8"/>
    </w:pPr>
    <w:rPr>
      <w:i/>
    </w:rPr>
  </w:style>
  <w:style w:type="character" w:default="1" w:styleId="DefaultParagraphFont">
    <w:name w:val="Default Paragraph Font"/>
    <w:uiPriority w:val="1"/>
    <w:unhideWhenUsed/>
    <w:rsid w:val="00C605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5C0"/>
  </w:style>
  <w:style w:type="character" w:customStyle="1" w:styleId="Heading1Char">
    <w:name w:val="Heading 1 Char"/>
    <w:basedOn w:val="DefaultParagraphFont"/>
    <w:link w:val="Heading1"/>
    <w:rsid w:val="00C605C0"/>
    <w:rPr>
      <w:rFonts w:ascii="Times New Roman" w:eastAsia="Times New Roman" w:hAnsi="Times New Roman" w:cs="Times New Roman"/>
      <w:b/>
      <w:sz w:val="32"/>
      <w:szCs w:val="20"/>
      <w:lang w:eastAsia="en-US"/>
    </w:rPr>
  </w:style>
  <w:style w:type="paragraph" w:styleId="BodyText">
    <w:name w:val="Body Text"/>
    <w:basedOn w:val="Normal"/>
    <w:link w:val="BodyTextChar"/>
    <w:rsid w:val="00C605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05C0"/>
    <w:rPr>
      <w:rFonts w:ascii="Times New Roman" w:eastAsia="Times New Roman" w:hAnsi="Times New Roman" w:cs="Times New Roman"/>
      <w:sz w:val="24"/>
      <w:lang w:eastAsia="en-US"/>
    </w:rPr>
  </w:style>
  <w:style w:type="paragraph" w:styleId="ListBullet">
    <w:name w:val="List Bullet"/>
    <w:basedOn w:val="List"/>
    <w:rsid w:val="00C605C0"/>
    <w:pPr>
      <w:numPr>
        <w:numId w:val="14"/>
      </w:numPr>
      <w:tabs>
        <w:tab w:val="clear" w:pos="340"/>
      </w:tabs>
      <w:spacing w:before="40" w:after="40"/>
    </w:pPr>
  </w:style>
  <w:style w:type="character" w:customStyle="1" w:styleId="SpecialBold">
    <w:name w:val="Special Bold"/>
    <w:basedOn w:val="DefaultParagraphFont"/>
    <w:rsid w:val="00C605C0"/>
    <w:rPr>
      <w:b/>
      <w:spacing w:val="0"/>
    </w:rPr>
  </w:style>
  <w:style w:type="paragraph" w:styleId="ListBullet2">
    <w:name w:val="List Bullet 2"/>
    <w:basedOn w:val="List2"/>
    <w:rsid w:val="00C605C0"/>
    <w:pPr>
      <w:numPr>
        <w:numId w:val="15"/>
      </w:numPr>
      <w:tabs>
        <w:tab w:val="clear" w:pos="680"/>
      </w:tabs>
    </w:pPr>
  </w:style>
  <w:style w:type="character" w:styleId="Emphasis">
    <w:name w:val="Emphasis"/>
    <w:basedOn w:val="DefaultParagraphFont"/>
    <w:qFormat/>
    <w:rsid w:val="00C605C0"/>
    <w:rPr>
      <w:i/>
    </w:rPr>
  </w:style>
  <w:style w:type="paragraph" w:customStyle="1" w:styleId="SuperHeading">
    <w:name w:val="SuperHeading"/>
    <w:basedOn w:val="Normal"/>
    <w:rsid w:val="00C605C0"/>
    <w:pPr>
      <w:spacing w:before="240" w:after="120"/>
      <w:outlineLvl w:val="0"/>
    </w:pPr>
    <w:rPr>
      <w:rFonts w:ascii="Times New Roman" w:hAnsi="Times New Roman"/>
      <w:b/>
      <w:sz w:val="32"/>
    </w:rPr>
  </w:style>
  <w:style w:type="paragraph" w:customStyle="1" w:styleId="AllowPageBreak">
    <w:name w:val="AllowPageBreak"/>
    <w:rsid w:val="00C605C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605C0"/>
    <w:pPr>
      <w:numPr>
        <w:numId w:val="3"/>
      </w:numPr>
      <w:tabs>
        <w:tab w:val="clear" w:pos="1021"/>
      </w:tabs>
      <w:ind w:left="1037" w:hanging="357"/>
    </w:pPr>
  </w:style>
  <w:style w:type="character" w:customStyle="1" w:styleId="Heading2Char">
    <w:name w:val="Heading 2 Char"/>
    <w:basedOn w:val="DefaultParagraphFont"/>
    <w:link w:val="Heading2"/>
    <w:rsid w:val="00C605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5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5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5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5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5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05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05C0"/>
    <w:rPr>
      <w:rFonts w:ascii="Courier New" w:eastAsia="Times New Roman" w:hAnsi="Courier New" w:cs="Times New Roman"/>
      <w:i/>
      <w:szCs w:val="20"/>
      <w:lang w:eastAsia="en-US"/>
    </w:rPr>
  </w:style>
  <w:style w:type="paragraph" w:customStyle="1" w:styleId="HeadingBase">
    <w:name w:val="Heading Base"/>
    <w:rsid w:val="00C605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5C0"/>
    <w:pPr>
      <w:tabs>
        <w:tab w:val="right" w:leader="dot" w:pos="9072"/>
      </w:tabs>
      <w:ind w:left="567"/>
    </w:pPr>
    <w:rPr>
      <w:szCs w:val="22"/>
    </w:rPr>
  </w:style>
  <w:style w:type="paragraph" w:customStyle="1" w:styleId="TOCBase">
    <w:name w:val="TOC Base"/>
    <w:rsid w:val="00C605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5C0"/>
    <w:pPr>
      <w:tabs>
        <w:tab w:val="right" w:leader="dot" w:pos="9072"/>
      </w:tabs>
      <w:spacing w:before="40" w:after="40"/>
      <w:ind w:left="284"/>
    </w:pPr>
    <w:rPr>
      <w:rFonts w:ascii="Times New Roman" w:hAnsi="Times New Roman"/>
    </w:rPr>
  </w:style>
  <w:style w:type="paragraph" w:styleId="TOC1">
    <w:name w:val="toc 1"/>
    <w:basedOn w:val="TOCBase"/>
    <w:next w:val="Normal"/>
    <w:rsid w:val="00C605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05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5C0"/>
    <w:rPr>
      <w:rFonts w:ascii="Times New Roman" w:eastAsia="Times New Roman" w:hAnsi="Times New Roman" w:cs="Times New Roman"/>
      <w:sz w:val="16"/>
      <w:lang w:eastAsia="en-US"/>
    </w:rPr>
  </w:style>
  <w:style w:type="paragraph" w:styleId="Title">
    <w:name w:val="Title"/>
    <w:basedOn w:val="HeadingBase"/>
    <w:link w:val="TitleChar"/>
    <w:qFormat/>
    <w:rsid w:val="00C605C0"/>
    <w:pPr>
      <w:spacing w:before="5040"/>
      <w:jc w:val="center"/>
    </w:pPr>
    <w:rPr>
      <w:sz w:val="48"/>
      <w:szCs w:val="72"/>
      <w:lang w:val="en-US"/>
    </w:rPr>
  </w:style>
  <w:style w:type="character" w:customStyle="1" w:styleId="TitleChar">
    <w:name w:val="Title Char"/>
    <w:basedOn w:val="DefaultParagraphFont"/>
    <w:link w:val="Title"/>
    <w:rsid w:val="00C605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5C0"/>
    <w:pPr>
      <w:tabs>
        <w:tab w:val="left" w:pos="3600"/>
        <w:tab w:val="left" w:pos="3958"/>
      </w:tabs>
    </w:pPr>
  </w:style>
  <w:style w:type="paragraph" w:styleId="List">
    <w:name w:val="List"/>
    <w:basedOn w:val="BodyText"/>
    <w:next w:val="BodyText"/>
    <w:rsid w:val="00C605C0"/>
    <w:pPr>
      <w:tabs>
        <w:tab w:val="left" w:pos="340"/>
      </w:tabs>
      <w:spacing w:before="60" w:after="60"/>
      <w:ind w:left="340" w:hanging="340"/>
    </w:pPr>
  </w:style>
  <w:style w:type="paragraph" w:customStyle="1" w:styleId="Note">
    <w:name w:val="Note"/>
    <w:basedOn w:val="BodyText"/>
    <w:rsid w:val="00C605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05C0"/>
    <w:pPr>
      <w:framePr w:wrap="auto" w:hAnchor="text" w:y="6049"/>
    </w:pPr>
    <w:rPr>
      <w:color w:val="000000"/>
      <w:sz w:val="40"/>
    </w:rPr>
  </w:style>
  <w:style w:type="paragraph" w:customStyle="1" w:styleId="TOCTitle">
    <w:name w:val="TOCTitle"/>
    <w:basedOn w:val="Heading1"/>
    <w:rsid w:val="00C605C0"/>
    <w:pPr>
      <w:spacing w:after="240"/>
      <w:jc w:val="center"/>
      <w:outlineLvl w:val="9"/>
    </w:pPr>
    <w:rPr>
      <w:caps/>
    </w:rPr>
  </w:style>
  <w:style w:type="paragraph" w:customStyle="1" w:styleId="Version">
    <w:name w:val="Version"/>
    <w:rsid w:val="00C605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05C0"/>
    <w:pPr>
      <w:keepNext w:val="0"/>
      <w:tabs>
        <w:tab w:val="right" w:pos="4176"/>
      </w:tabs>
      <w:ind w:left="198" w:hanging="198"/>
    </w:pPr>
    <w:rPr>
      <w:rFonts w:ascii="Garamond" w:hAnsi="Garamond"/>
    </w:rPr>
  </w:style>
  <w:style w:type="paragraph" w:styleId="IndexHeading">
    <w:name w:val="index heading"/>
    <w:basedOn w:val="Normal"/>
    <w:next w:val="Index1"/>
    <w:semiHidden/>
    <w:rsid w:val="00C605C0"/>
    <w:pPr>
      <w:spacing w:before="120" w:after="120"/>
    </w:pPr>
    <w:rPr>
      <w:rFonts w:ascii="Arial" w:hAnsi="Arial"/>
      <w:b/>
      <w:color w:val="918585"/>
      <w:sz w:val="24"/>
    </w:rPr>
  </w:style>
  <w:style w:type="paragraph" w:styleId="Header">
    <w:name w:val="header"/>
    <w:basedOn w:val="Normal"/>
    <w:link w:val="HeaderChar"/>
    <w:rsid w:val="00C605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5C0"/>
    <w:rPr>
      <w:rFonts w:ascii="Times New Roman" w:eastAsia="Times New Roman" w:hAnsi="Times New Roman" w:cs="Times New Roman"/>
      <w:sz w:val="16"/>
      <w:szCs w:val="20"/>
      <w:lang w:val="en-GB" w:eastAsia="en-US"/>
    </w:rPr>
  </w:style>
  <w:style w:type="paragraph" w:customStyle="1" w:styleId="Chapter">
    <w:name w:val="Chapter"/>
    <w:basedOn w:val="Normal"/>
    <w:rsid w:val="00C605C0"/>
    <w:pPr>
      <w:spacing w:before="240"/>
    </w:pPr>
    <w:rPr>
      <w:rFonts w:ascii="Times New Roman" w:hAnsi="Times New Roman"/>
      <w:smallCaps/>
      <w:spacing w:val="80"/>
      <w:sz w:val="28"/>
    </w:rPr>
  </w:style>
  <w:style w:type="paragraph" w:customStyle="1" w:styleId="InChapter">
    <w:name w:val="InChapter"/>
    <w:basedOn w:val="Heading3"/>
    <w:rsid w:val="00C605C0"/>
    <w:pPr>
      <w:spacing w:after="240"/>
      <w:outlineLvl w:val="9"/>
    </w:pPr>
    <w:rPr>
      <w:noProof/>
    </w:rPr>
  </w:style>
  <w:style w:type="paragraph" w:styleId="Index2">
    <w:name w:val="index 2"/>
    <w:basedOn w:val="Normal"/>
    <w:next w:val="Normal"/>
    <w:semiHidden/>
    <w:rsid w:val="00C605C0"/>
    <w:pPr>
      <w:tabs>
        <w:tab w:val="right" w:pos="4176"/>
      </w:tabs>
      <w:ind w:left="568" w:hanging="284"/>
    </w:pPr>
    <w:rPr>
      <w:rFonts w:ascii="Garamond" w:hAnsi="Garamond"/>
    </w:rPr>
  </w:style>
  <w:style w:type="paragraph" w:customStyle="1" w:styleId="Byline">
    <w:name w:val="Byline"/>
    <w:rsid w:val="00C605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5C0"/>
    <w:pPr>
      <w:tabs>
        <w:tab w:val="clear" w:pos="3600"/>
        <w:tab w:val="clear" w:pos="3958"/>
      </w:tabs>
      <w:jc w:val="right"/>
    </w:pPr>
  </w:style>
  <w:style w:type="paragraph" w:styleId="Caption">
    <w:name w:val="caption"/>
    <w:basedOn w:val="BodyText"/>
    <w:next w:val="Normal"/>
    <w:qFormat/>
    <w:rsid w:val="00C605C0"/>
    <w:pPr>
      <w:framePr w:w="2268" w:hSpace="181" w:vSpace="181" w:wrap="around" w:vAnchor="text" w:hAnchor="page" w:x="1135" w:y="285" w:anchorLock="1"/>
    </w:pPr>
    <w:rPr>
      <w:i/>
    </w:rPr>
  </w:style>
  <w:style w:type="paragraph" w:customStyle="1" w:styleId="MiniTOCTitle">
    <w:name w:val="MiniTOCTitle"/>
    <w:basedOn w:val="Heading4"/>
    <w:rsid w:val="00C605C0"/>
    <w:pPr>
      <w:spacing w:before="240"/>
      <w:outlineLvl w:val="9"/>
    </w:pPr>
    <w:rPr>
      <w:noProof/>
      <w:sz w:val="24"/>
    </w:rPr>
  </w:style>
  <w:style w:type="paragraph" w:customStyle="1" w:styleId="MiniTOCItem">
    <w:name w:val="MiniTOCItem"/>
    <w:basedOn w:val="ListBullet"/>
    <w:rsid w:val="00C605C0"/>
    <w:pPr>
      <w:numPr>
        <w:numId w:val="0"/>
      </w:numPr>
      <w:tabs>
        <w:tab w:val="right" w:leader="dot" w:pos="6521"/>
      </w:tabs>
      <w:spacing w:before="0" w:after="0"/>
    </w:pPr>
  </w:style>
  <w:style w:type="paragraph" w:customStyle="1" w:styleId="TOFTitle">
    <w:name w:val="TOFTitle"/>
    <w:basedOn w:val="TOCTitle"/>
    <w:rsid w:val="00C605C0"/>
  </w:style>
  <w:style w:type="paragraph" w:styleId="TableofFigures">
    <w:name w:val="table of figures"/>
    <w:basedOn w:val="Normal"/>
    <w:next w:val="Normal"/>
    <w:semiHidden/>
    <w:rsid w:val="00C605C0"/>
    <w:pPr>
      <w:tabs>
        <w:tab w:val="right" w:leader="dot" w:pos="9072"/>
      </w:tabs>
      <w:ind w:left="970" w:hanging="403"/>
    </w:pPr>
    <w:rPr>
      <w:rFonts w:ascii="Times New Roman" w:hAnsi="Times New Roman"/>
      <w:b/>
    </w:rPr>
  </w:style>
  <w:style w:type="paragraph" w:styleId="ListNumber">
    <w:name w:val="List Number"/>
    <w:basedOn w:val="List"/>
    <w:rsid w:val="00C605C0"/>
    <w:pPr>
      <w:numPr>
        <w:numId w:val="12"/>
      </w:numPr>
    </w:pPr>
  </w:style>
  <w:style w:type="character" w:customStyle="1" w:styleId="WingdingSymbols">
    <w:name w:val="Wingding Symbols"/>
    <w:rsid w:val="00C605C0"/>
    <w:rPr>
      <w:rFonts w:ascii="Wingdings" w:hAnsi="Wingdings"/>
    </w:rPr>
  </w:style>
  <w:style w:type="paragraph" w:customStyle="1" w:styleId="TableHeading">
    <w:name w:val="Table Heading"/>
    <w:basedOn w:val="HeadingBase"/>
    <w:rsid w:val="00C605C0"/>
    <w:pPr>
      <w:keepLines/>
      <w:pBdr>
        <w:bottom w:val="single" w:sz="6" w:space="1" w:color="918585"/>
      </w:pBdr>
      <w:spacing w:before="240"/>
    </w:pPr>
  </w:style>
  <w:style w:type="character" w:customStyle="1" w:styleId="HotSpot">
    <w:name w:val="HotSpot"/>
    <w:rsid w:val="00C605C0"/>
    <w:rPr>
      <w:color w:val="0033CC"/>
      <w:u w:val="none"/>
    </w:rPr>
  </w:style>
  <w:style w:type="paragraph" w:customStyle="1" w:styleId="BodyTextRight">
    <w:name w:val="Body Text Right"/>
    <w:basedOn w:val="BodyText"/>
    <w:rsid w:val="00C605C0"/>
    <w:pPr>
      <w:spacing w:before="0" w:after="0"/>
      <w:jc w:val="right"/>
    </w:pPr>
  </w:style>
  <w:style w:type="paragraph" w:styleId="Index3">
    <w:name w:val="index 3"/>
    <w:basedOn w:val="ListNumber2"/>
    <w:next w:val="Normal"/>
    <w:semiHidden/>
    <w:rsid w:val="00C605C0"/>
    <w:pPr>
      <w:numPr>
        <w:numId w:val="0"/>
      </w:numPr>
      <w:tabs>
        <w:tab w:val="right" w:leader="dot" w:pos="4176"/>
      </w:tabs>
    </w:pPr>
  </w:style>
  <w:style w:type="paragraph" w:styleId="ListNumber2">
    <w:name w:val="List Number 2"/>
    <w:basedOn w:val="List2"/>
    <w:rsid w:val="00C605C0"/>
    <w:pPr>
      <w:numPr>
        <w:numId w:val="11"/>
      </w:numPr>
      <w:tabs>
        <w:tab w:val="clear" w:pos="1060"/>
      </w:tabs>
    </w:pPr>
  </w:style>
  <w:style w:type="paragraph" w:customStyle="1" w:styleId="MarginNote">
    <w:name w:val="Margin Note"/>
    <w:basedOn w:val="BodyText"/>
    <w:rsid w:val="00C605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5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5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05C0"/>
    <w:rPr>
      <w:sz w:val="32"/>
    </w:rPr>
  </w:style>
  <w:style w:type="paragraph" w:customStyle="1" w:styleId="HeadingProcedure">
    <w:name w:val="Heading Procedure"/>
    <w:basedOn w:val="HeadingBase"/>
    <w:next w:val="Normal"/>
    <w:rsid w:val="00C605C0"/>
    <w:pPr>
      <w:tabs>
        <w:tab w:val="left" w:pos="0"/>
      </w:tabs>
      <w:spacing w:before="120" w:after="60"/>
    </w:pPr>
    <w:rPr>
      <w:i/>
      <w:color w:val="918585"/>
      <w:sz w:val="22"/>
    </w:rPr>
  </w:style>
  <w:style w:type="paragraph" w:customStyle="1" w:styleId="TableBodyText">
    <w:name w:val="Table Body Text"/>
    <w:basedOn w:val="BodyText"/>
    <w:rsid w:val="00C605C0"/>
    <w:pPr>
      <w:spacing w:before="60" w:after="60"/>
    </w:pPr>
  </w:style>
  <w:style w:type="paragraph" w:styleId="ListContinue">
    <w:name w:val="List Continue"/>
    <w:basedOn w:val="List"/>
    <w:rsid w:val="00C605C0"/>
    <w:pPr>
      <w:ind w:firstLine="0"/>
    </w:pPr>
  </w:style>
  <w:style w:type="paragraph" w:customStyle="1" w:styleId="ListNote">
    <w:name w:val="List Note"/>
    <w:basedOn w:val="List"/>
    <w:rsid w:val="00C605C0"/>
    <w:pPr>
      <w:pBdr>
        <w:top w:val="single" w:sz="6" w:space="2" w:color="918585"/>
        <w:bottom w:val="single" w:sz="6" w:space="2" w:color="918585"/>
      </w:pBdr>
      <w:tabs>
        <w:tab w:val="left" w:pos="1021"/>
      </w:tabs>
      <w:ind w:firstLine="0"/>
    </w:pPr>
  </w:style>
  <w:style w:type="paragraph" w:customStyle="1" w:styleId="Warning">
    <w:name w:val="Warning"/>
    <w:basedOn w:val="BodyText"/>
    <w:rsid w:val="00C605C0"/>
    <w:pPr>
      <w:shd w:val="clear" w:color="auto" w:fill="D9D9D9"/>
      <w:tabs>
        <w:tab w:val="left" w:pos="992"/>
      </w:tabs>
      <w:ind w:left="119" w:right="119"/>
    </w:pPr>
    <w:rPr>
      <w:sz w:val="20"/>
    </w:rPr>
  </w:style>
  <w:style w:type="paragraph" w:customStyle="1" w:styleId="MarginIcons">
    <w:name w:val="Margin Icons"/>
    <w:basedOn w:val="BodyText"/>
    <w:rsid w:val="00C605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5C0"/>
    <w:rPr>
      <w:rFonts w:ascii="Courier New" w:hAnsi="Courier New"/>
    </w:rPr>
  </w:style>
  <w:style w:type="paragraph" w:customStyle="1" w:styleId="NoteBullet">
    <w:name w:val="Note Bullet"/>
    <w:basedOn w:val="Note"/>
    <w:rsid w:val="00C605C0"/>
    <w:pPr>
      <w:tabs>
        <w:tab w:val="clear" w:pos="680"/>
      </w:tabs>
      <w:spacing w:before="60" w:after="60"/>
    </w:pPr>
  </w:style>
  <w:style w:type="paragraph" w:customStyle="1" w:styleId="SubHeading2">
    <w:name w:val="SubHeading2"/>
    <w:basedOn w:val="HeadingBase"/>
    <w:rsid w:val="00C605C0"/>
    <w:pPr>
      <w:spacing w:before="240" w:after="60"/>
    </w:pPr>
    <w:rPr>
      <w:sz w:val="20"/>
    </w:rPr>
  </w:style>
  <w:style w:type="paragraph" w:customStyle="1" w:styleId="SubHeading1">
    <w:name w:val="SubHeading1"/>
    <w:basedOn w:val="HeadingBase"/>
    <w:rsid w:val="00C605C0"/>
    <w:pPr>
      <w:spacing w:before="240" w:after="60"/>
    </w:pPr>
    <w:rPr>
      <w:color w:val="918585"/>
      <w:sz w:val="22"/>
    </w:rPr>
  </w:style>
  <w:style w:type="paragraph" w:customStyle="1" w:styleId="SideHeading">
    <w:name w:val="Side Heading"/>
    <w:basedOn w:val="HeadingBase"/>
    <w:rsid w:val="00C605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5C0"/>
    <w:pPr>
      <w:numPr>
        <w:numId w:val="13"/>
      </w:numPr>
    </w:pPr>
  </w:style>
  <w:style w:type="paragraph" w:styleId="PlainText">
    <w:name w:val="Plain Text"/>
    <w:basedOn w:val="Normal"/>
    <w:link w:val="PlainTextChar"/>
    <w:rsid w:val="00C605C0"/>
    <w:rPr>
      <w:sz w:val="20"/>
    </w:rPr>
  </w:style>
  <w:style w:type="character" w:customStyle="1" w:styleId="PlainTextChar">
    <w:name w:val="Plain Text Char"/>
    <w:basedOn w:val="DefaultParagraphFont"/>
    <w:link w:val="PlainText"/>
    <w:rsid w:val="00C605C0"/>
    <w:rPr>
      <w:rFonts w:ascii="Courier New" w:eastAsia="Times New Roman" w:hAnsi="Courier New" w:cs="Times New Roman"/>
      <w:sz w:val="20"/>
      <w:szCs w:val="20"/>
      <w:lang w:eastAsia="en-US"/>
    </w:rPr>
  </w:style>
  <w:style w:type="character" w:customStyle="1" w:styleId="MenuOption">
    <w:name w:val="Menu Option"/>
    <w:basedOn w:val="DefaultParagraphFont"/>
    <w:rsid w:val="00C605C0"/>
    <w:rPr>
      <w:b/>
      <w:smallCaps/>
    </w:rPr>
  </w:style>
  <w:style w:type="paragraph" w:customStyle="1" w:styleId="TableListNumber">
    <w:name w:val="Table List Number"/>
    <w:basedOn w:val="ListNumber"/>
    <w:rsid w:val="00C605C0"/>
    <w:pPr>
      <w:numPr>
        <w:numId w:val="0"/>
      </w:numPr>
    </w:pPr>
  </w:style>
  <w:style w:type="paragraph" w:styleId="TOC4">
    <w:name w:val="toc 4"/>
    <w:basedOn w:val="TOCBase"/>
    <w:next w:val="Normal"/>
    <w:semiHidden/>
    <w:rsid w:val="00C605C0"/>
    <w:pPr>
      <w:tabs>
        <w:tab w:val="right" w:leader="dot" w:pos="9071"/>
      </w:tabs>
      <w:ind w:left="1701"/>
    </w:pPr>
  </w:style>
  <w:style w:type="paragraph" w:customStyle="1" w:styleId="ListAlpha">
    <w:name w:val="List Alpha"/>
    <w:basedOn w:val="List"/>
    <w:rsid w:val="00C605C0"/>
    <w:pPr>
      <w:numPr>
        <w:numId w:val="10"/>
      </w:numPr>
    </w:pPr>
  </w:style>
  <w:style w:type="paragraph" w:customStyle="1" w:styleId="ListAlpha2">
    <w:name w:val="List Alpha 2"/>
    <w:basedOn w:val="List2"/>
    <w:rsid w:val="00C605C0"/>
    <w:pPr>
      <w:numPr>
        <w:numId w:val="9"/>
      </w:numPr>
    </w:pPr>
  </w:style>
  <w:style w:type="paragraph" w:styleId="List2">
    <w:name w:val="List 2"/>
    <w:basedOn w:val="BodyText"/>
    <w:rsid w:val="00C605C0"/>
    <w:pPr>
      <w:tabs>
        <w:tab w:val="left" w:pos="680"/>
      </w:tabs>
      <w:spacing w:before="60" w:after="60"/>
      <w:ind w:left="680" w:hanging="340"/>
    </w:pPr>
  </w:style>
  <w:style w:type="paragraph" w:styleId="List3">
    <w:name w:val="List 3"/>
    <w:basedOn w:val="BodyText"/>
    <w:rsid w:val="00C605C0"/>
    <w:pPr>
      <w:tabs>
        <w:tab w:val="left" w:pos="1021"/>
      </w:tabs>
      <w:spacing w:before="60" w:after="60"/>
      <w:ind w:left="1020" w:hanging="340"/>
    </w:pPr>
  </w:style>
  <w:style w:type="paragraph" w:styleId="List4">
    <w:name w:val="List 4"/>
    <w:basedOn w:val="BodyText"/>
    <w:rsid w:val="00C605C0"/>
    <w:pPr>
      <w:tabs>
        <w:tab w:val="left" w:pos="1361"/>
      </w:tabs>
      <w:spacing w:before="60" w:after="60"/>
      <w:ind w:left="1361" w:hanging="340"/>
    </w:pPr>
  </w:style>
  <w:style w:type="paragraph" w:styleId="List5">
    <w:name w:val="List 5"/>
    <w:basedOn w:val="BodyText"/>
    <w:rsid w:val="00C605C0"/>
    <w:pPr>
      <w:tabs>
        <w:tab w:val="left" w:pos="1701"/>
      </w:tabs>
      <w:spacing w:before="60" w:after="60"/>
      <w:ind w:left="1701" w:hanging="340"/>
    </w:pPr>
  </w:style>
  <w:style w:type="paragraph" w:styleId="ListBullet4">
    <w:name w:val="List Bullet 4"/>
    <w:basedOn w:val="List4"/>
    <w:rsid w:val="00C605C0"/>
    <w:pPr>
      <w:numPr>
        <w:numId w:val="4"/>
      </w:numPr>
    </w:pPr>
  </w:style>
  <w:style w:type="paragraph" w:styleId="ListBullet5">
    <w:name w:val="List Bullet 5"/>
    <w:basedOn w:val="List5"/>
    <w:rsid w:val="00C605C0"/>
    <w:pPr>
      <w:numPr>
        <w:numId w:val="5"/>
      </w:numPr>
    </w:pPr>
  </w:style>
  <w:style w:type="paragraph" w:styleId="ListContinue2">
    <w:name w:val="List Continue 2"/>
    <w:basedOn w:val="List2"/>
    <w:rsid w:val="00C605C0"/>
    <w:pPr>
      <w:ind w:firstLine="0"/>
    </w:pPr>
  </w:style>
  <w:style w:type="paragraph" w:styleId="ListContinue3">
    <w:name w:val="List Continue 3"/>
    <w:basedOn w:val="List3"/>
    <w:rsid w:val="00C605C0"/>
    <w:pPr>
      <w:ind w:left="1021" w:firstLine="0"/>
    </w:pPr>
  </w:style>
  <w:style w:type="paragraph" w:styleId="ListContinue4">
    <w:name w:val="List Continue 4"/>
    <w:basedOn w:val="List4"/>
    <w:rsid w:val="00C605C0"/>
    <w:pPr>
      <w:ind w:firstLine="0"/>
    </w:pPr>
  </w:style>
  <w:style w:type="paragraph" w:styleId="ListContinue5">
    <w:name w:val="List Continue 5"/>
    <w:basedOn w:val="List5"/>
    <w:rsid w:val="00C605C0"/>
    <w:pPr>
      <w:ind w:firstLine="0"/>
    </w:pPr>
  </w:style>
  <w:style w:type="paragraph" w:styleId="ListNumber3">
    <w:name w:val="List Number 3"/>
    <w:basedOn w:val="List3"/>
    <w:rsid w:val="00C605C0"/>
    <w:pPr>
      <w:numPr>
        <w:numId w:val="6"/>
      </w:numPr>
    </w:pPr>
  </w:style>
  <w:style w:type="paragraph" w:styleId="ListNumber4">
    <w:name w:val="List Number 4"/>
    <w:basedOn w:val="List4"/>
    <w:rsid w:val="00C605C0"/>
    <w:pPr>
      <w:numPr>
        <w:numId w:val="7"/>
      </w:numPr>
    </w:pPr>
  </w:style>
  <w:style w:type="paragraph" w:styleId="ListNumber5">
    <w:name w:val="List Number 5"/>
    <w:basedOn w:val="List5"/>
    <w:rsid w:val="00C605C0"/>
    <w:pPr>
      <w:numPr>
        <w:numId w:val="8"/>
      </w:numPr>
    </w:pPr>
  </w:style>
  <w:style w:type="paragraph" w:styleId="BlockText">
    <w:name w:val="Block Text"/>
    <w:basedOn w:val="Normal"/>
    <w:rsid w:val="00C605C0"/>
    <w:pPr>
      <w:spacing w:after="120"/>
      <w:ind w:left="1440" w:right="1440"/>
    </w:pPr>
  </w:style>
  <w:style w:type="character" w:customStyle="1" w:styleId="Subscript">
    <w:name w:val="Subscript"/>
    <w:basedOn w:val="DefaultParagraphFont"/>
    <w:rsid w:val="00C605C0"/>
    <w:rPr>
      <w:sz w:val="16"/>
      <w:vertAlign w:val="subscript"/>
    </w:rPr>
  </w:style>
  <w:style w:type="character" w:customStyle="1" w:styleId="Superscript">
    <w:name w:val="Superscript"/>
    <w:basedOn w:val="DefaultParagraphFont"/>
    <w:rsid w:val="00C605C0"/>
    <w:rPr>
      <w:sz w:val="16"/>
      <w:vertAlign w:val="superscript"/>
    </w:rPr>
  </w:style>
  <w:style w:type="character" w:customStyle="1" w:styleId="Symbols">
    <w:name w:val="Symbols"/>
    <w:basedOn w:val="DefaultParagraphFont"/>
    <w:rsid w:val="00C605C0"/>
    <w:rPr>
      <w:rFonts w:ascii="Symbol" w:hAnsi="Symbol"/>
    </w:rPr>
  </w:style>
  <w:style w:type="character" w:customStyle="1" w:styleId="MenuOptions">
    <w:name w:val="Menu Options"/>
    <w:basedOn w:val="DefaultParagraphFont"/>
    <w:rsid w:val="00C605C0"/>
    <w:rPr>
      <w:rFonts w:ascii="Arial Narrow" w:hAnsi="Arial Narrow"/>
      <w:smallCaps/>
    </w:rPr>
  </w:style>
  <w:style w:type="character" w:customStyle="1" w:styleId="Buttons">
    <w:name w:val="Buttons"/>
    <w:basedOn w:val="DefaultParagraphFont"/>
    <w:rsid w:val="00C605C0"/>
    <w:rPr>
      <w:b/>
    </w:rPr>
  </w:style>
  <w:style w:type="character" w:customStyle="1" w:styleId="Underlined">
    <w:name w:val="Underlined"/>
    <w:basedOn w:val="DefaultParagraphFont"/>
    <w:rsid w:val="00C605C0"/>
    <w:rPr>
      <w:u w:val="single"/>
    </w:rPr>
  </w:style>
  <w:style w:type="paragraph" w:customStyle="1" w:styleId="TableBodyTextRight">
    <w:name w:val="Table Body Text Right"/>
    <w:basedOn w:val="TableBodyText"/>
    <w:rsid w:val="00C605C0"/>
    <w:pPr>
      <w:widowControl w:val="0"/>
      <w:autoSpaceDE w:val="0"/>
      <w:autoSpaceDN w:val="0"/>
      <w:adjustRightInd w:val="0"/>
      <w:jc w:val="right"/>
    </w:pPr>
    <w:rPr>
      <w:rFonts w:cs="Arial"/>
      <w:szCs w:val="18"/>
    </w:rPr>
  </w:style>
  <w:style w:type="paragraph" w:customStyle="1" w:styleId="CopyrightText">
    <w:name w:val="Copyright Text"/>
    <w:basedOn w:val="BodyText"/>
    <w:rsid w:val="00C605C0"/>
    <w:rPr>
      <w:sz w:val="18"/>
    </w:rPr>
  </w:style>
  <w:style w:type="paragraph" w:customStyle="1" w:styleId="BodySmallRight">
    <w:name w:val="Body Small Right"/>
    <w:basedOn w:val="BodyTextRight"/>
    <w:rsid w:val="00C605C0"/>
    <w:rPr>
      <w:sz w:val="18"/>
      <w:szCs w:val="18"/>
    </w:rPr>
  </w:style>
  <w:style w:type="paragraph" w:customStyle="1" w:styleId="MarginEdition">
    <w:name w:val="Margin Edition"/>
    <w:basedOn w:val="MarginNote"/>
    <w:rsid w:val="00C605C0"/>
    <w:pPr>
      <w:spacing w:before="0" w:after="0"/>
    </w:pPr>
    <w:rPr>
      <w:rFonts w:ascii="Times New Roman" w:hAnsi="Times New Roman"/>
      <w:color w:val="999999"/>
    </w:rPr>
  </w:style>
  <w:style w:type="paragraph" w:customStyle="1" w:styleId="Spacer">
    <w:name w:val="Spacer"/>
    <w:basedOn w:val="Normal"/>
    <w:rsid w:val="00C605C0"/>
    <w:rPr>
      <w:sz w:val="2"/>
      <w:szCs w:val="2"/>
    </w:rPr>
  </w:style>
  <w:style w:type="character" w:customStyle="1" w:styleId="Small">
    <w:name w:val="Small"/>
    <w:basedOn w:val="DefaultParagraphFont"/>
    <w:rsid w:val="00C605C0"/>
    <w:rPr>
      <w:sz w:val="16"/>
    </w:rPr>
  </w:style>
  <w:style w:type="paragraph" w:customStyle="1" w:styleId="WideTable">
    <w:name w:val="Wide Table"/>
    <w:basedOn w:val="Normal"/>
    <w:rsid w:val="00C605C0"/>
    <w:pPr>
      <w:ind w:left="-1418"/>
    </w:pPr>
    <w:rPr>
      <w:sz w:val="2"/>
      <w:szCs w:val="2"/>
    </w:rPr>
  </w:style>
  <w:style w:type="character" w:styleId="PageNumber">
    <w:name w:val="page number"/>
    <w:basedOn w:val="DefaultParagraphFont"/>
    <w:rsid w:val="00C605C0"/>
  </w:style>
  <w:style w:type="paragraph" w:styleId="Quote">
    <w:name w:val="Quote"/>
    <w:basedOn w:val="Heading1"/>
    <w:link w:val="QuoteChar"/>
    <w:qFormat/>
    <w:rsid w:val="00C605C0"/>
    <w:rPr>
      <w:b w:val="0"/>
      <w:sz w:val="72"/>
      <w:szCs w:val="72"/>
      <w:lang w:val="en-NZ"/>
    </w:rPr>
  </w:style>
  <w:style w:type="character" w:customStyle="1" w:styleId="QuoteChar">
    <w:name w:val="Quote Char"/>
    <w:basedOn w:val="DefaultParagraphFont"/>
    <w:link w:val="Quote"/>
    <w:rsid w:val="00C605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5C0"/>
    <w:pPr>
      <w:pageBreakBefore/>
    </w:pPr>
  </w:style>
  <w:style w:type="paragraph" w:customStyle="1" w:styleId="Border">
    <w:name w:val="Border"/>
    <w:basedOn w:val="Normal"/>
    <w:qFormat/>
    <w:rsid w:val="00C605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5C0"/>
    <w:rPr>
      <w:b/>
      <w:bCs/>
      <w:i/>
      <w:iCs/>
      <w:color w:val="auto"/>
    </w:rPr>
  </w:style>
  <w:style w:type="paragraph" w:styleId="IntenseQuote">
    <w:name w:val="Intense Quote"/>
    <w:basedOn w:val="Normal"/>
    <w:next w:val="Normal"/>
    <w:link w:val="IntenseQuoteChar"/>
    <w:uiPriority w:val="30"/>
    <w:qFormat/>
    <w:rsid w:val="00C605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5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05C0"/>
    <w:rPr>
      <w:smallCaps/>
      <w:color w:val="auto"/>
      <w:u w:val="single"/>
    </w:rPr>
  </w:style>
  <w:style w:type="character" w:styleId="IntenseReference">
    <w:name w:val="Intense Reference"/>
    <w:basedOn w:val="DefaultParagraphFont"/>
    <w:uiPriority w:val="32"/>
    <w:qFormat/>
    <w:rsid w:val="00C605C0"/>
    <w:rPr>
      <w:b/>
      <w:bCs/>
      <w:smallCaps/>
      <w:color w:val="auto"/>
      <w:spacing w:val="5"/>
      <w:u w:val="single"/>
    </w:rPr>
  </w:style>
  <w:style w:type="paragraph" w:customStyle="1" w:styleId="2ColumnHeading">
    <w:name w:val="2Column Heading"/>
    <w:basedOn w:val="BodyText"/>
    <w:qFormat/>
    <w:rsid w:val="00C605C0"/>
    <w:pPr>
      <w:spacing w:after="60"/>
      <w:ind w:left="-2268"/>
    </w:pPr>
    <w:rPr>
      <w:b/>
    </w:rPr>
  </w:style>
  <w:style w:type="paragraph" w:customStyle="1" w:styleId="Heading1TOC">
    <w:name w:val="Heading1 TOC"/>
    <w:basedOn w:val="Normal"/>
    <w:qFormat/>
    <w:rsid w:val="00C605C0"/>
    <w:pPr>
      <w:spacing w:before="240" w:after="120"/>
    </w:pPr>
    <w:rPr>
      <w:rFonts w:ascii="Times New Roman" w:hAnsi="Times New Roman"/>
      <w:b/>
      <w:sz w:val="32"/>
    </w:rPr>
  </w:style>
  <w:style w:type="paragraph" w:customStyle="1" w:styleId="Heading2TOC">
    <w:name w:val="Heading2 TOC"/>
    <w:basedOn w:val="Normal"/>
    <w:qFormat/>
    <w:rsid w:val="00C605C0"/>
    <w:pPr>
      <w:spacing w:before="240" w:after="60"/>
    </w:pPr>
    <w:rPr>
      <w:rFonts w:ascii="Times New Roman" w:hAnsi="Times New Roman"/>
      <w:b/>
      <w:sz w:val="28"/>
    </w:rPr>
  </w:style>
  <w:style w:type="character" w:customStyle="1" w:styleId="Underline">
    <w:name w:val="Underline"/>
    <w:basedOn w:val="DefaultParagraphFont"/>
    <w:qFormat/>
    <w:rsid w:val="00C605C0"/>
    <w:rPr>
      <w:u w:val="single"/>
    </w:rPr>
  </w:style>
  <w:style w:type="character" w:customStyle="1" w:styleId="BoldandItalics">
    <w:name w:val="Bold and Italics"/>
    <w:qFormat/>
    <w:rsid w:val="00C605C0"/>
    <w:rPr>
      <w:b/>
      <w:i/>
      <w:u w:val="none"/>
    </w:rPr>
  </w:style>
  <w:style w:type="paragraph" w:styleId="BalloonText">
    <w:name w:val="Balloon Text"/>
    <w:basedOn w:val="Normal"/>
    <w:link w:val="BalloonTextChar"/>
    <w:rsid w:val="00C605C0"/>
    <w:rPr>
      <w:rFonts w:ascii="Tahoma" w:hAnsi="Tahoma" w:cs="Tahoma"/>
      <w:sz w:val="16"/>
      <w:szCs w:val="16"/>
    </w:rPr>
  </w:style>
  <w:style w:type="character" w:customStyle="1" w:styleId="BalloonTextChar">
    <w:name w:val="Balloon Text Char"/>
    <w:basedOn w:val="DefaultParagraphFont"/>
    <w:link w:val="BalloonText"/>
    <w:rsid w:val="00C605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05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05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05C0"/>
    <w:rPr>
      <w:b/>
      <w:color w:val="660033"/>
      <w:spacing w:val="0"/>
    </w:rPr>
  </w:style>
  <w:style w:type="paragraph" w:customStyle="1" w:styleId="Nameditemlist">
    <w:name w:val="Named item list"/>
    <w:basedOn w:val="BodyText"/>
    <w:qFormat/>
    <w:rsid w:val="00C605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2744</Words>
  <Characters>17434</Characters>
  <Application>Microsoft Office Word</Application>
  <DocSecurity>0</DocSecurity>
  <Lines>724</Lines>
  <Paragraphs>303</Paragraphs>
  <ScaleCrop>false</ScaleCrop>
  <Company>Author-it Software Corporation Ltd.</Company>
  <LinksUpToDate>false</LinksUpToDate>
  <CharactersWithSpaces>20042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UEGNSG511A Operate gas infrastructure to meet nominated demand</dc:title>
  <dc:subject>Approved</dc:subject>
  <dc:creator>E-Oz Training Standards</dc:creator>
  <cp:keywords>Release 1</cp:keywords>
  <dc:description>Review Date: 12 April 2008</dc:description>
  <cp:lastModifiedBy>HSD_TPCMSd.prod</cp:lastModifiedBy>
  <cp:revision>3</cp:revision>
  <dcterms:created xsi:type="dcterms:W3CDTF">2014-03-13T15:19:14Z</dcterms:created>
  <dcterms:modified xsi:type="dcterms:W3CDTF">2014-03-13T03:50:00Z</dcterms:modified>
</cp:coreProperties>
</file>