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901" w:rsidP="00457901">
      <w:pPr>
        <w:pStyle w:val="Title"/>
      </w:pPr>
      <w:r>
        <w:fldChar w:fldCharType="begin"/>
      </w:r>
      <w:r>
        <w:instrText xml:space="preserve"> TITLE   \* MERGEFORMAT </w:instrText>
      </w:r>
      <w:r>
        <w:fldChar w:fldCharType="separate"/>
      </w:r>
      <w:r>
        <w:t>UEGNSG508A Remotely check and report on gas station conditions</w:t>
      </w:r>
      <w:r>
        <w:fldChar w:fldCharType="end"/>
      </w:r>
    </w:p>
    <w:p w:rsidR="00457901" w:rsidP="00457901">
      <w:pPr>
        <w:pStyle w:val="Version"/>
        <w:sectPr w:rsidSect="006311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138" w:rsidP="00631138">
      <w:pPr>
        <w:pStyle w:val="SuperHeading"/>
      </w:pPr>
      <w:r w:rsidRPr="00631138">
        <w:t>UEGNSG508A Remotely check and report on gas station conditions</w:t>
      </w:r>
    </w:p>
    <w:p w:rsidR="00000000" w:rsidRPr="00631138" w:rsidP="00631138">
      <w:pPr>
        <w:pStyle w:val="Heading1"/>
      </w:pPr>
      <w:bookmarkStart w:id="1" w:name="O_625655"/>
      <w:bookmarkEnd w:id="1"/>
      <w:r w:rsidRPr="00631138">
        <w:t>Modification History</w:t>
      </w:r>
    </w:p>
    <w:p w:rsidR="00000000" w:rsidRPr="00631138" w:rsidP="00631138">
      <w:pPr>
        <w:pStyle w:val="BodyText"/>
      </w:pPr>
      <w:r w:rsidRPr="00631138">
        <w:t>Not applicable.</w:t>
      </w:r>
    </w:p>
    <w:p w:rsidR="00000000" w:rsidRPr="00631138" w:rsidP="00631138">
      <w:pPr>
        <w:pStyle w:val="AllowPageBreak"/>
      </w:pPr>
    </w:p>
    <w:p w:rsidR="00000000" w:rsidRPr="00631138" w:rsidP="00631138">
      <w:pPr>
        <w:pStyle w:val="Heading1"/>
      </w:pPr>
      <w:bookmarkStart w:id="2" w:name="O_625657"/>
      <w:bookmarkEnd w:id="2"/>
      <w:r w:rsidRPr="00631138">
        <w:t>Unit Descriptor</w:t>
      </w:r>
    </w:p>
    <w:tbl>
      <w:tblPr>
        <w:tblW w:w="0" w:type="auto"/>
        <w:tblLayout w:type="fixed"/>
        <w:tblCellMar>
          <w:left w:w="62" w:type="dxa"/>
          <w:right w:w="62" w:type="dxa"/>
        </w:tblCellMar>
        <w:tblLook w:val="0000"/>
      </w:tblPr>
      <w:tblGrid>
        <w:gridCol w:w="2638"/>
        <w:gridCol w:w="5760"/>
      </w:tblGrid>
      <w:tr w:rsidTr="0063113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1) Scope:</w:t>
            </w:r>
          </w:p>
        </w:tc>
      </w:tr>
      <w:tr w:rsidTr="006311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63113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1.1) Descriptor</w:t>
            </w:r>
          </w:p>
        </w:tc>
      </w:tr>
      <w:tr w:rsidTr="006311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t xml:space="preserve">This unit covers remotely checking gas station conditions, performing minor changes and reporting the status in accordance with relevant legislation, code, regulations and established procedures. </w:t>
            </w:r>
          </w:p>
          <w:p w:rsidR="00000000" w:rsidRPr="00631138" w:rsidP="00631138">
            <w:pPr>
              <w:pStyle w:val="BodyText"/>
            </w:pPr>
            <w:r w:rsidRPr="00631138">
              <w:t>Gas stations could include metering, compressors, valves, r</w:t>
            </w:r>
            <w:r w:rsidRPr="00631138">
              <w:t xml:space="preserve">egulators, heaters, scraper, telemetry and odourisation facilities. </w:t>
            </w:r>
          </w:p>
          <w:p w:rsidR="00000000" w:rsidRPr="00631138" w:rsidP="00631138">
            <w:pPr>
              <w:pStyle w:val="BodyText"/>
            </w:pPr>
            <w:r w:rsidRPr="00631138">
              <w:t xml:space="preserve">The competency standard is applied against the procedures found under the latest edition of Australian and New Zealand Standard. AS 2885.3. </w:t>
            </w:r>
          </w:p>
        </w:tc>
      </w:tr>
    </w:tbl>
    <w:p w:rsidR="00000000" w:rsidRPr="00631138" w:rsidP="00631138">
      <w:pPr>
        <w:pStyle w:val="BodyText"/>
      </w:pPr>
    </w:p>
    <w:p w:rsidR="00000000" w:rsidRPr="00631138" w:rsidP="00631138">
      <w:pPr>
        <w:pStyle w:val="AllowPageBreak"/>
      </w:pPr>
    </w:p>
    <w:p w:rsidR="00000000" w:rsidRPr="00631138" w:rsidP="00631138">
      <w:pPr>
        <w:pStyle w:val="Heading1"/>
      </w:pPr>
      <w:bookmarkStart w:id="3" w:name="O_625658"/>
      <w:bookmarkEnd w:id="3"/>
      <w:r w:rsidRPr="00631138">
        <w:t>Application of the Unit</w:t>
      </w:r>
    </w:p>
    <w:tbl>
      <w:tblPr>
        <w:tblW w:w="0" w:type="auto"/>
        <w:tblLayout w:type="fixed"/>
        <w:tblCellMar>
          <w:left w:w="62" w:type="dxa"/>
          <w:right w:w="62" w:type="dxa"/>
        </w:tblCellMar>
        <w:tblLook w:val="0000"/>
      </w:tblPr>
      <w:tblGrid>
        <w:gridCol w:w="2610"/>
        <w:gridCol w:w="5699"/>
      </w:tblGrid>
      <w:tr w:rsidTr="00631138">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2)</w:t>
            </w:r>
          </w:p>
        </w:tc>
      </w:tr>
      <w:tr w:rsidTr="00631138">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t>This competency standard shall apply to gas stations, subject to all Workplace Health and Safety (WHS) /Occupational Health and Safety (OHS) and duty of care requirements being met for the workplace.</w:t>
            </w:r>
          </w:p>
          <w:p w:rsidR="00000000" w:rsidRPr="00631138" w:rsidP="00631138">
            <w:pPr>
              <w:pStyle w:val="BodyText"/>
            </w:pPr>
            <w:r w:rsidRPr="00631138">
              <w:t>This unit is intended as an</w:t>
            </w:r>
            <w:r w:rsidRPr="00631138">
              <w:t xml:space="preserve"> AQF 3 competency for new and existing workers in the gas industry. It is suitable for employment-based programs under an approved contract of training.</w:t>
            </w:r>
          </w:p>
        </w:tc>
      </w:tr>
    </w:tbl>
    <w:p w:rsidR="00000000" w:rsidRPr="00631138" w:rsidP="00631138">
      <w:pPr>
        <w:pStyle w:val="BodyText"/>
      </w:pPr>
    </w:p>
    <w:p w:rsidR="00000000" w:rsidRPr="00631138" w:rsidP="00631138">
      <w:pPr>
        <w:pStyle w:val="AllowPageBreak"/>
      </w:pPr>
    </w:p>
    <w:p w:rsidR="00000000" w:rsidRPr="00631138" w:rsidP="00631138">
      <w:pPr>
        <w:pStyle w:val="Heading1"/>
      </w:pPr>
      <w:bookmarkStart w:id="4" w:name="O_625659"/>
      <w:bookmarkEnd w:id="4"/>
      <w:r w:rsidRPr="00631138">
        <w:t>Licensing/Regulatory Information</w:t>
      </w:r>
    </w:p>
    <w:tbl>
      <w:tblPr>
        <w:tblW w:w="0" w:type="auto"/>
        <w:tblLayout w:type="fixed"/>
        <w:tblCellMar>
          <w:left w:w="62" w:type="dxa"/>
          <w:right w:w="62" w:type="dxa"/>
        </w:tblCellMar>
        <w:tblLook w:val="0000"/>
      </w:tblPr>
      <w:tblGrid>
        <w:gridCol w:w="2638"/>
        <w:gridCol w:w="5760"/>
      </w:tblGrid>
      <w:tr w:rsidTr="0063113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 xml:space="preserve">3) </w:t>
            </w:r>
          </w:p>
        </w:tc>
      </w:tr>
      <w:tr w:rsidTr="006311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63113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rPr>
                <w:rStyle w:val="SpecialBold"/>
              </w:rPr>
              <w:t>During Training:</w:t>
            </w:r>
            <w:r w:rsidRPr="00631138">
              <w:t xml:space="preserve"> </w:t>
            </w:r>
          </w:p>
          <w:p w:rsidR="00000000" w:rsidRPr="00631138" w:rsidP="00631138">
            <w:pPr>
              <w:pStyle w:val="BodyText"/>
            </w:pPr>
            <w:r w:rsidRPr="00631138">
              <w:t xml:space="preserve">Competency development activities are subject to regulations directly related to licensing, occupational health and safety, and where applicable contracts of training such as apprenticeships. </w:t>
            </w:r>
          </w:p>
          <w:p w:rsidR="00000000" w:rsidRPr="00631138" w:rsidP="00631138">
            <w:pPr>
              <w:pStyle w:val="BodyText"/>
            </w:pPr>
            <w:r w:rsidRPr="00631138">
              <w:rPr>
                <w:rStyle w:val="SpecialBold"/>
              </w:rPr>
              <w:t>In the workplace:</w:t>
            </w:r>
          </w:p>
          <w:p w:rsidR="00000000" w:rsidRPr="00631138" w:rsidP="00631138">
            <w:pPr>
              <w:pStyle w:val="BodyText"/>
            </w:pPr>
            <w:r w:rsidRPr="00631138">
              <w:t>The skills and knowledge described in this un</w:t>
            </w:r>
            <w:r w:rsidRPr="00631138">
              <w:t xml:space="preserve">it are not subject to licence regulation other than those directly related to WHS /Occupational Health and Safety (OHS), gas industry codes/guidelines, industrial relations, environmental protection, anti-discrimination and training laws. </w:t>
            </w:r>
          </w:p>
          <w:p w:rsidR="00000000" w:rsidRPr="00631138" w:rsidP="00631138">
            <w:pPr>
              <w:pStyle w:val="BodyText"/>
            </w:pPr>
            <w:r w:rsidRPr="00631138">
              <w:t>Commonwealth, St</w:t>
            </w:r>
            <w:r w:rsidRPr="00631138">
              <w:t>ate/Territory or Local Government legislation and regulations may limit the age at which a person can operate certain equipment. Other conditions may apply to this competency under State and Territory legislative and regulatory requirements.</w:t>
            </w:r>
          </w:p>
        </w:tc>
      </w:tr>
    </w:tbl>
    <w:p w:rsidR="00000000" w:rsidRPr="00631138" w:rsidP="00631138">
      <w:pPr>
        <w:pStyle w:val="BodyText"/>
      </w:pPr>
    </w:p>
    <w:p w:rsidR="00000000" w:rsidRPr="00631138" w:rsidP="00631138">
      <w:pPr>
        <w:pStyle w:val="AllowPageBreak"/>
      </w:pPr>
    </w:p>
    <w:p w:rsidR="00000000" w:rsidRPr="00631138" w:rsidP="00631138">
      <w:pPr>
        <w:pStyle w:val="Heading1"/>
      </w:pPr>
      <w:bookmarkStart w:id="5" w:name="O_625660"/>
      <w:bookmarkEnd w:id="5"/>
      <w:r w:rsidRPr="00631138">
        <w:t>Pre-Requisites</w:t>
      </w:r>
    </w:p>
    <w:tbl>
      <w:tblPr>
        <w:tblW w:w="0" w:type="auto"/>
        <w:tblLayout w:type="fixed"/>
        <w:tblCellMar>
          <w:left w:w="62" w:type="dxa"/>
          <w:right w:w="62" w:type="dxa"/>
        </w:tblCellMar>
        <w:tblLook w:val="0000"/>
      </w:tblPr>
      <w:tblGrid>
        <w:gridCol w:w="2638"/>
        <w:gridCol w:w="1800"/>
        <w:gridCol w:w="3960"/>
      </w:tblGrid>
      <w:tr w:rsidTr="0063113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 xml:space="preserve">4) </w:t>
            </w:r>
          </w:p>
        </w:tc>
      </w:tr>
      <w:tr w:rsidTr="006311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4.1)</w:t>
            </w:r>
          </w:p>
        </w:tc>
      </w:tr>
      <w:tr w:rsidTr="006311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Granting of competency in this unit shall be made only after competency in the following unit(s) has/have been confirmed:</w:t>
            </w:r>
          </w:p>
        </w:tc>
      </w:tr>
      <w:tr w:rsidTr="006311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MSS402061A</w:t>
            </w:r>
          </w:p>
        </w:tc>
        <w:tc>
          <w:tcPr>
            <w:tcW w:w="39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Use SCADA systems in operations</w:t>
            </w:r>
          </w:p>
        </w:tc>
      </w:tr>
      <w:tr w:rsidTr="006311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UEGNSG005A</w:t>
            </w:r>
          </w:p>
        </w:tc>
        <w:tc>
          <w:tcPr>
            <w:tcW w:w="39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Prepare to work in the gas industry</w:t>
            </w:r>
          </w:p>
        </w:tc>
      </w:tr>
      <w:tr w:rsidTr="006311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UEGNSG132A</w:t>
            </w:r>
          </w:p>
        </w:tc>
        <w:tc>
          <w:tcPr>
            <w:tcW w:w="39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Carry out basic work activities in a gas industry work environment</w:t>
            </w:r>
          </w:p>
        </w:tc>
      </w:tr>
      <w:tr w:rsidTr="006311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UEGNSG140A</w:t>
            </w:r>
          </w:p>
        </w:tc>
        <w:tc>
          <w:tcPr>
            <w:tcW w:w="39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 xml:space="preserve">Apply environmental policies and procedures in the utilities industry </w:t>
            </w:r>
          </w:p>
        </w:tc>
      </w:tr>
      <w:tr w:rsidTr="006311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UEGNSG141A</w:t>
            </w:r>
          </w:p>
        </w:tc>
        <w:tc>
          <w:tcPr>
            <w:tcW w:w="3960"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t>Apply Workplace Health and Safety regulatio</w:t>
            </w:r>
            <w:r w:rsidRPr="00631138">
              <w:t xml:space="preserve">ns, codes and practices in the </w:t>
            </w:r>
            <w:r w:rsidRPr="00631138">
              <w:t>gas industry</w:t>
            </w:r>
          </w:p>
        </w:tc>
      </w:tr>
    </w:tbl>
    <w:p w:rsidR="00000000" w:rsidRPr="00631138" w:rsidP="00631138">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631138">
        <w:tblPrEx>
          <w:tblW w:w="0" w:type="auto"/>
          <w:tblLayout w:type="fixed"/>
          <w:tblCellMar>
            <w:left w:w="62" w:type="dxa"/>
            <w:right w:w="62" w:type="dxa"/>
          </w:tblCellMar>
          <w:tblLook w:val="0000"/>
        </w:tblPrEx>
        <w:trPr>
          <w:trHeight w:val="1365"/>
        </w:trPr>
        <w:tc>
          <w:tcPr>
            <w:tcW w:w="2638"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rPr>
                <w:rStyle w:val="SpecialBold"/>
              </w:rPr>
              <w:t xml:space="preserve">4.2) </w:t>
            </w:r>
          </w:p>
          <w:p w:rsidR="00000000" w:rsidP="00631138">
            <w:pPr>
              <w:pStyle w:val="BodyText"/>
              <w:rPr>
                <w:lang w:val="en-NZ"/>
              </w:rPr>
            </w:pPr>
            <w:r w:rsidRPr="00631138">
              <w:t xml:space="preserve">Participants are best equipped to achieve this unit if they have reading, writing and numeracy skills indicated by the following scales. Description of each scale is given in </w:t>
            </w:r>
            <w:r w:rsidRPr="00631138">
              <w:t>Volume 2, Part 3 ‘Literacy and Numeracy’</w:t>
            </w:r>
          </w:p>
        </w:tc>
      </w:tr>
      <w:tr w:rsidTr="006311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Reading</w:t>
            </w:r>
          </w:p>
        </w:tc>
        <w:tc>
          <w:tcPr>
            <w:tcW w:w="81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3</w:t>
            </w:r>
          </w:p>
        </w:tc>
        <w:tc>
          <w:tcPr>
            <w:tcW w:w="99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Writing</w:t>
            </w:r>
          </w:p>
        </w:tc>
        <w:tc>
          <w:tcPr>
            <w:tcW w:w="9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3</w:t>
            </w:r>
          </w:p>
        </w:tc>
        <w:tc>
          <w:tcPr>
            <w:tcW w:w="12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Numeracy</w:t>
            </w:r>
          </w:p>
        </w:tc>
        <w:tc>
          <w:tcPr>
            <w:tcW w:w="720"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t>3</w:t>
            </w:r>
          </w:p>
        </w:tc>
      </w:tr>
    </w:tbl>
    <w:p w:rsidR="00000000" w:rsidRPr="00631138" w:rsidP="00631138">
      <w:pPr>
        <w:pStyle w:val="BodyText"/>
      </w:pPr>
    </w:p>
    <w:p w:rsidR="00000000" w:rsidRPr="00631138" w:rsidP="00631138">
      <w:pPr>
        <w:pStyle w:val="AllowPageBreak"/>
      </w:pPr>
    </w:p>
    <w:p w:rsidR="00000000" w:rsidRPr="00631138" w:rsidP="00631138">
      <w:pPr>
        <w:pStyle w:val="Heading1"/>
      </w:pPr>
      <w:bookmarkStart w:id="6" w:name="O_625661"/>
      <w:bookmarkEnd w:id="6"/>
      <w:r w:rsidRPr="00631138">
        <w:t>Employability Skills Information</w:t>
      </w:r>
    </w:p>
    <w:tbl>
      <w:tblPr>
        <w:tblW w:w="0" w:type="auto"/>
        <w:tblLayout w:type="fixed"/>
        <w:tblCellMar>
          <w:left w:w="62" w:type="dxa"/>
          <w:right w:w="62" w:type="dxa"/>
        </w:tblCellMar>
        <w:tblLook w:val="0000"/>
      </w:tblPr>
      <w:tblGrid>
        <w:gridCol w:w="2638"/>
        <w:gridCol w:w="5760"/>
      </w:tblGrid>
      <w:tr w:rsidTr="0063113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 xml:space="preserve">5) </w:t>
            </w:r>
          </w:p>
        </w:tc>
      </w:tr>
      <w:tr w:rsidTr="006311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This unit contains Employability Skills</w:t>
            </w:r>
          </w:p>
        </w:tc>
      </w:tr>
      <w:tr w:rsidTr="006311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31138">
              <w:t>requirements.</w:t>
            </w:r>
          </w:p>
        </w:tc>
      </w:tr>
    </w:tbl>
    <w:p w:rsidR="00000000" w:rsidRPr="00631138" w:rsidP="00631138">
      <w:pPr>
        <w:pStyle w:val="BodyText"/>
      </w:pPr>
    </w:p>
    <w:p w:rsidR="00000000" w:rsidRPr="00631138" w:rsidP="00631138">
      <w:pPr>
        <w:pStyle w:val="AllowPageBreak"/>
      </w:pPr>
    </w:p>
    <w:p w:rsidR="00000000" w:rsidRPr="00631138" w:rsidP="00631138">
      <w:pPr>
        <w:pStyle w:val="Heading1"/>
      </w:pPr>
      <w:bookmarkStart w:id="7" w:name="O_625662"/>
      <w:bookmarkEnd w:id="7"/>
      <w:r w:rsidRPr="00631138">
        <w:t>Elements and Performance Criteria Pre-Content</w:t>
      </w:r>
    </w:p>
    <w:tbl>
      <w:tblPr>
        <w:tblW w:w="0" w:type="auto"/>
        <w:tblLayout w:type="fixed"/>
        <w:tblCellMar>
          <w:left w:w="62" w:type="dxa"/>
          <w:right w:w="62" w:type="dxa"/>
        </w:tblCellMar>
        <w:tblLook w:val="0000"/>
      </w:tblPr>
      <w:tblGrid>
        <w:gridCol w:w="2638"/>
        <w:gridCol w:w="5760"/>
      </w:tblGrid>
      <w:tr w:rsidTr="006311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rPr>
                <w:rStyle w:val="SpecialBold"/>
              </w:rPr>
              <w:t xml:space="preserve">6) </w:t>
            </w:r>
            <w:r w:rsidRPr="00631138">
              <w:rPr>
                <w:rStyle w:val="Emphasis"/>
              </w:rPr>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rPr>
                <w:rStyle w:val="Emphasis"/>
              </w:rPr>
              <w:t>Performance Criteria describe the required performance needed to demonstrate achievement of the element. Assessment of performance is to be consistent with the Evidence Guide.</w:t>
            </w:r>
          </w:p>
        </w:tc>
      </w:tr>
    </w:tbl>
    <w:p w:rsidR="00000000" w:rsidRPr="00631138" w:rsidP="00631138">
      <w:pPr>
        <w:pStyle w:val="BodyText"/>
      </w:pPr>
    </w:p>
    <w:p w:rsidR="00000000" w:rsidRPr="00631138" w:rsidP="00631138">
      <w:pPr>
        <w:pStyle w:val="AllowPageBreak"/>
      </w:pPr>
    </w:p>
    <w:p w:rsidR="00000000" w:rsidRPr="00631138" w:rsidP="00631138">
      <w:pPr>
        <w:pStyle w:val="Heading1"/>
      </w:pPr>
      <w:bookmarkStart w:id="8" w:name="O_625663"/>
      <w:bookmarkEnd w:id="8"/>
      <w:r w:rsidRPr="00631138">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631138">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PERFORMANCE CRITERIA</w:t>
            </w:r>
          </w:p>
        </w:tc>
      </w:tr>
      <w:tr w:rsidTr="0063113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Plan to check and report on gas station conditions</w:t>
            </w:r>
          </w:p>
        </w:tc>
        <w:tc>
          <w:tcPr>
            <w:tcW w:w="9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1.1</w:t>
            </w:r>
          </w:p>
        </w:tc>
        <w:tc>
          <w:tcPr>
            <w:tcW w:w="48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 xml:space="preserve">Work schedules, specific requirements, drawings, plans, requirements, established procedures and material and equipment are examined and the extent of preparation for the work </w:t>
            </w:r>
            <w:r w:rsidRPr="00631138">
              <w:t>is assessed</w:t>
            </w:r>
          </w:p>
        </w:tc>
      </w:tr>
      <w:tr w:rsidTr="0063113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1.2</w:t>
            </w:r>
          </w:p>
        </w:tc>
        <w:tc>
          <w:tcPr>
            <w:tcW w:w="48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 xml:space="preserve">Work is prioritised and sequenced for the most efficient and effective outcome following consultation with others for completion within acceptable timeframes to a quality standard and in accordance with established procedures </w:t>
            </w:r>
          </w:p>
        </w:tc>
      </w:tr>
      <w:tr w:rsidTr="0063113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1.3</w:t>
            </w:r>
          </w:p>
        </w:tc>
        <w:tc>
          <w:tcPr>
            <w:tcW w:w="48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WHS/OHS and environmental risk control measures are identified, prioritised and evaluated against the work schedule</w:t>
            </w:r>
          </w:p>
        </w:tc>
      </w:tr>
      <w:tr w:rsidTr="0063113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1.4</w:t>
            </w:r>
          </w:p>
        </w:tc>
        <w:tc>
          <w:tcPr>
            <w:tcW w:w="48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 xml:space="preserve">Relevant requirements and established procedures for the work are communicated to all persons </w:t>
            </w:r>
          </w:p>
        </w:tc>
      </w:tr>
      <w:tr w:rsidTr="00631138">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1.5</w:t>
            </w:r>
          </w:p>
        </w:tc>
        <w:tc>
          <w:tcPr>
            <w:tcW w:w="48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WHS/OHS, environmental and sust</w:t>
            </w:r>
            <w:r w:rsidRPr="00631138">
              <w:t>ainable energy policies and procedures related to the work are identified to ensure safe systems of work are followed</w:t>
            </w:r>
          </w:p>
        </w:tc>
      </w:tr>
      <w:tr w:rsidTr="0063113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1.6</w:t>
            </w:r>
          </w:p>
        </w:tc>
        <w:tc>
          <w:tcPr>
            <w:tcW w:w="48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 xml:space="preserve">Relevant work authorisations and permits are secured as required to coordinate the performance of work according to requirements and established procedures </w:t>
            </w:r>
          </w:p>
        </w:tc>
      </w:tr>
      <w:tr w:rsidTr="0063113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1.7</w:t>
            </w:r>
          </w:p>
        </w:tc>
        <w:tc>
          <w:tcPr>
            <w:tcW w:w="48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Liaison and communication issues with authorised persons, authorities, clients and land owne</w:t>
            </w:r>
            <w:r w:rsidRPr="00631138">
              <w:t>rs are resolved and activities coordinated to carry out work</w:t>
            </w:r>
          </w:p>
        </w:tc>
      </w:tr>
      <w:tr w:rsidTr="00631138">
        <w:tblPrEx>
          <w:tblW w:w="0" w:type="auto"/>
          <w:tblLayout w:type="fixed"/>
          <w:tblCellMar>
            <w:left w:w="62" w:type="dxa"/>
            <w:right w:w="62" w:type="dxa"/>
          </w:tblCellMar>
          <w:tblLook w:val="0000"/>
        </w:tblPrEx>
        <w:trPr>
          <w:trHeight w:val="1138"/>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1.8</w:t>
            </w:r>
          </w:p>
        </w:tc>
        <w:tc>
          <w:tcPr>
            <w:tcW w:w="48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Persons participating in the work, including plant operators and contractors are fully briefed and respective responsibilities coordinated and authorised where applicable in accordance wit</w:t>
            </w:r>
            <w:r w:rsidRPr="00631138">
              <w:t>h establish procedures</w:t>
            </w:r>
          </w:p>
        </w:tc>
      </w:tr>
      <w:tr w:rsidTr="0063113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Check and report on gas station conditions</w:t>
            </w:r>
          </w:p>
        </w:tc>
        <w:tc>
          <w:tcPr>
            <w:tcW w:w="9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2.1</w:t>
            </w:r>
          </w:p>
        </w:tc>
        <w:tc>
          <w:tcPr>
            <w:tcW w:w="48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WHS/OHS policies and procedures and safe work practices are followed to eliminate or minimise incidents and hazards</w:t>
            </w:r>
          </w:p>
        </w:tc>
      </w:tr>
      <w:tr w:rsidTr="0063113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2.2</w:t>
            </w:r>
          </w:p>
        </w:tc>
        <w:tc>
          <w:tcPr>
            <w:tcW w:w="48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 xml:space="preserve">First Aid and other related work procedures are performed according to requirements and established procedures </w:t>
            </w:r>
          </w:p>
        </w:tc>
      </w:tr>
      <w:tr w:rsidTr="0063113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2.3</w:t>
            </w:r>
          </w:p>
        </w:tc>
        <w:tc>
          <w:tcPr>
            <w:tcW w:w="48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Equipment faults are identified through checking and testing of operational equipment in accordance with a work schedule and to requireme</w:t>
            </w:r>
            <w:r w:rsidRPr="00631138">
              <w:t>nts, including dispatching of relevant personnel to site as required</w:t>
            </w:r>
          </w:p>
        </w:tc>
      </w:tr>
      <w:tr w:rsidTr="0063113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2.4</w:t>
            </w:r>
          </w:p>
        </w:tc>
        <w:tc>
          <w:tcPr>
            <w:tcW w:w="48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 xml:space="preserve">Hazard warnings and safety signs are recognised and hazards are assessed and WHS/OHS risks are reported to the immediate authorised persons </w:t>
            </w:r>
            <w:r w:rsidRPr="00631138">
              <w:t>for directions according to established procedures</w:t>
            </w:r>
          </w:p>
        </w:tc>
      </w:tr>
      <w:tr w:rsidTr="0063113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2.5</w:t>
            </w:r>
          </w:p>
        </w:tc>
        <w:tc>
          <w:tcPr>
            <w:tcW w:w="48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Operating conditions of equipment are monitored such as, temperatures, flow and pressures in order to determine performance of equipment and pipeline.</w:t>
            </w:r>
          </w:p>
        </w:tc>
      </w:tr>
      <w:tr w:rsidTr="0063113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2.6</w:t>
            </w:r>
          </w:p>
        </w:tc>
        <w:tc>
          <w:tcPr>
            <w:tcW w:w="48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Fault finding and troubleshooting techni</w:t>
            </w:r>
            <w:r w:rsidRPr="00631138">
              <w:t>ques are applied to identify any repairs or maintenance that are required according to requirements and established procedures, including dispatching of relevant personnel to site as required</w:t>
            </w:r>
          </w:p>
        </w:tc>
      </w:tr>
      <w:tr w:rsidTr="0063113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2.7</w:t>
            </w:r>
          </w:p>
        </w:tc>
        <w:tc>
          <w:tcPr>
            <w:tcW w:w="48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Solutions to non-routine problems are identified and acti</w:t>
            </w:r>
            <w:r w:rsidRPr="00631138">
              <w:t>oned according to requirements</w:t>
            </w:r>
          </w:p>
        </w:tc>
      </w:tr>
      <w:tr w:rsidTr="0063113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2.8</w:t>
            </w:r>
          </w:p>
        </w:tc>
        <w:tc>
          <w:tcPr>
            <w:tcW w:w="48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 xml:space="preserve">Ongoing checks of quality of the work are undertaken in accordance with requirements and established procedures </w:t>
            </w:r>
          </w:p>
        </w:tc>
      </w:tr>
      <w:tr w:rsidTr="0063113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Complete work and relevant documentation</w:t>
            </w:r>
          </w:p>
        </w:tc>
        <w:tc>
          <w:tcPr>
            <w:tcW w:w="9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3.1</w:t>
            </w:r>
          </w:p>
        </w:tc>
        <w:tc>
          <w:tcPr>
            <w:tcW w:w="48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Work undertaken is checked against works schedule for conformance with requirements, anomalies are reported and solutions identified in accordance with established procedures</w:t>
            </w:r>
          </w:p>
        </w:tc>
      </w:tr>
      <w:tr w:rsidTr="0063113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3.2</w:t>
            </w:r>
          </w:p>
        </w:tc>
        <w:tc>
          <w:tcPr>
            <w:tcW w:w="48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Incidents and injuries are reported and followed up in accordance with req</w:t>
            </w:r>
            <w:r w:rsidRPr="00631138">
              <w:t xml:space="preserve">uirements and established procedures </w:t>
            </w:r>
          </w:p>
        </w:tc>
      </w:tr>
      <w:tr w:rsidTr="0063113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3.5</w:t>
            </w:r>
          </w:p>
        </w:tc>
        <w:tc>
          <w:tcPr>
            <w:tcW w:w="486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Relevant work authorisations and permit(s) are signed off in accordance with requirements</w:t>
            </w:r>
          </w:p>
        </w:tc>
      </w:tr>
      <w:tr w:rsidTr="0063113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3.6</w:t>
            </w:r>
          </w:p>
        </w:tc>
        <w:tc>
          <w:tcPr>
            <w:tcW w:w="4860"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t xml:space="preserve">Work completion records, reports as installed/modified drawing(s) and documentation and information is confirmed, </w:t>
            </w:r>
            <w:r w:rsidRPr="00631138">
              <w:t xml:space="preserve">processed and the appropriate persons notified </w:t>
            </w:r>
          </w:p>
        </w:tc>
      </w:tr>
    </w:tbl>
    <w:p w:rsidR="00000000" w:rsidRPr="00631138" w:rsidP="00631138">
      <w:pPr>
        <w:pStyle w:val="BodyText"/>
      </w:pPr>
    </w:p>
    <w:p w:rsidR="00000000" w:rsidRPr="00631138" w:rsidP="00631138">
      <w:pPr>
        <w:pStyle w:val="AllowPageBreak"/>
      </w:pPr>
    </w:p>
    <w:p w:rsidR="00000000" w:rsidRPr="00631138" w:rsidP="00631138">
      <w:pPr>
        <w:pStyle w:val="Heading1"/>
      </w:pPr>
      <w:bookmarkStart w:id="9" w:name="O_625664"/>
      <w:bookmarkEnd w:id="9"/>
      <w:r w:rsidRPr="00631138">
        <w:t>Required Skills and Knowledge</w:t>
      </w:r>
    </w:p>
    <w:tbl>
      <w:tblPr>
        <w:tblW w:w="0" w:type="auto"/>
        <w:tblLayout w:type="fixed"/>
        <w:tblCellMar>
          <w:left w:w="62" w:type="dxa"/>
          <w:right w:w="62" w:type="dxa"/>
        </w:tblCellMar>
        <w:tblLook w:val="0000"/>
      </w:tblPr>
      <w:tblGrid>
        <w:gridCol w:w="8370"/>
      </w:tblGrid>
      <w:tr w:rsidTr="00631138">
        <w:tblPrEx>
          <w:tblW w:w="0" w:type="auto"/>
          <w:tblLayout w:type="fixed"/>
          <w:tblCellMar>
            <w:left w:w="62" w:type="dxa"/>
            <w:right w:w="62" w:type="dxa"/>
          </w:tblCellMar>
          <w:tblLook w:val="0000"/>
        </w:tblPrEx>
        <w:trPr>
          <w:tblHeader/>
        </w:trPr>
        <w:tc>
          <w:tcPr>
            <w:tcW w:w="837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REQUIRED SKILLS AND KNOWLEDGE</w:t>
            </w:r>
          </w:p>
        </w:tc>
      </w:tr>
      <w:tr w:rsidTr="00631138">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7)</w:t>
            </w:r>
            <w:r w:rsidRPr="00631138">
              <w:t xml:space="preserve"> </w:t>
            </w:r>
            <w:r w:rsidRPr="00631138">
              <w:rPr>
                <w:rStyle w:val="Emphasis"/>
              </w:rPr>
              <w:t>This describes the skills and knowledge and their level, required for this unit.</w:t>
            </w:r>
          </w:p>
        </w:tc>
      </w:tr>
      <w:tr w:rsidTr="00631138">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 xml:space="preserve">Evidence shall show that knowledge has been acquired of safe working practices for checking and reporting on station conditions. </w:t>
            </w:r>
          </w:p>
        </w:tc>
      </w:tr>
      <w:tr w:rsidTr="00631138">
        <w:tblPrEx>
          <w:tblW w:w="0" w:type="auto"/>
          <w:tblLayout w:type="fixed"/>
          <w:tblCellMar>
            <w:left w:w="62" w:type="dxa"/>
            <w:right w:w="62" w:type="dxa"/>
          </w:tblCellMar>
          <w:tblLook w:val="0000"/>
        </w:tblPrEx>
        <w:trPr>
          <w:trHeight w:val="481"/>
        </w:trPr>
        <w:tc>
          <w:tcPr>
            <w:tcW w:w="8370"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t>All knowledge and skills detailed in this unit should be contextualised to current industry practices and technologies. The e</w:t>
            </w:r>
            <w:r w:rsidRPr="00631138">
              <w:t>xtent of the required skills and knowledge is provided below. It forms an integral part of this unit.</w:t>
            </w:r>
          </w:p>
        </w:tc>
      </w:tr>
    </w:tbl>
    <w:p w:rsidR="00000000" w:rsidRPr="00631138" w:rsidP="00631138">
      <w:pPr>
        <w:pStyle w:val="BodyText"/>
      </w:pPr>
    </w:p>
    <w:tbl>
      <w:tblPr>
        <w:tblW w:w="0" w:type="auto"/>
        <w:tblLayout w:type="fixed"/>
        <w:tblCellMar>
          <w:left w:w="62" w:type="dxa"/>
          <w:right w:w="62" w:type="dxa"/>
        </w:tblCellMar>
        <w:tblLook w:val="0000"/>
      </w:tblPr>
      <w:tblGrid>
        <w:gridCol w:w="2340"/>
        <w:gridCol w:w="6030"/>
      </w:tblGrid>
      <w:tr w:rsidTr="00631138">
        <w:tblPrEx>
          <w:tblW w:w="0" w:type="auto"/>
          <w:tblLayout w:type="fixed"/>
          <w:tblCellMar>
            <w:left w:w="62" w:type="dxa"/>
            <w:right w:w="62" w:type="dxa"/>
          </w:tblCellMar>
          <w:tblLook w:val="0000"/>
        </w:tblPrEx>
        <w:trPr>
          <w:trHeight w:val="346"/>
        </w:trPr>
        <w:tc>
          <w:tcPr>
            <w:tcW w:w="2340"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rPr>
                <w:rStyle w:val="SpecialBold"/>
              </w:rPr>
              <w:t>KS01-G508A</w:t>
            </w:r>
          </w:p>
        </w:tc>
        <w:tc>
          <w:tcPr>
            <w:tcW w:w="603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Gas station conditions and reporting</w:t>
            </w:r>
          </w:p>
        </w:tc>
      </w:tr>
      <w:tr w:rsidTr="00631138">
        <w:tblPrEx>
          <w:tblW w:w="0" w:type="auto"/>
          <w:tblLayout w:type="fixed"/>
          <w:tblCellMar>
            <w:left w:w="62" w:type="dxa"/>
            <w:right w:w="62" w:type="dxa"/>
          </w:tblCellMar>
          <w:tblLook w:val="0000"/>
        </w:tblPrEx>
        <w:trPr>
          <w:trHeight w:val="22632"/>
        </w:trPr>
        <w:tc>
          <w:tcPr>
            <w:tcW w:w="8370" w:type="dxa"/>
            <w:gridSpan w:val="2"/>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t>Evidence shall show an understandi</w:t>
            </w:r>
            <w:r w:rsidRPr="00631138">
              <w:t>ng of remotely checking and reporting of gas station conditions in accordance with relevant legislation, code, regulations and procedures. to an extent indicated by the following aspects:</w:t>
            </w:r>
          </w:p>
          <w:p w:rsidR="00000000" w:rsidRPr="00631138" w:rsidP="00631138">
            <w:pPr>
              <w:pStyle w:val="BodyText"/>
            </w:pPr>
          </w:p>
          <w:p w:rsidR="00000000" w:rsidRPr="00631138" w:rsidP="00631138">
            <w:pPr>
              <w:pStyle w:val="BodyText"/>
            </w:pPr>
            <w:r w:rsidRPr="00631138">
              <w:t xml:space="preserve">T1. Relevant legislation, Australian Standards, codes, regulations </w:t>
            </w:r>
            <w:r w:rsidRPr="00631138">
              <w:t>and procedure requirements</w:t>
            </w:r>
          </w:p>
          <w:p w:rsidR="00000000" w:rsidRPr="00631138" w:rsidP="00631138">
            <w:pPr>
              <w:pStyle w:val="BodyText"/>
            </w:pPr>
          </w:p>
          <w:p w:rsidR="00000000" w:rsidRPr="00631138" w:rsidP="00631138">
            <w:pPr>
              <w:pStyle w:val="BodyText"/>
            </w:pPr>
            <w:r w:rsidRPr="00631138">
              <w:t>T2. WHS/OHS safety requirements</w:t>
            </w:r>
          </w:p>
          <w:p w:rsidR="00000000" w:rsidRPr="00631138" w:rsidP="00631138">
            <w:pPr>
              <w:pStyle w:val="ListBullet"/>
            </w:pPr>
            <w:r w:rsidRPr="00631138">
              <w:t>hazards, risk assessment and control measures</w:t>
            </w:r>
          </w:p>
          <w:p w:rsidR="00000000" w:rsidRPr="00631138" w:rsidP="00631138">
            <w:pPr>
              <w:pStyle w:val="ListBullet"/>
            </w:pPr>
            <w:r w:rsidRPr="00631138">
              <w:t xml:space="preserve">identify environmental and safety hazards, assess risks and implement control measures </w:t>
            </w:r>
          </w:p>
          <w:p w:rsidR="00000000" w:rsidRPr="00631138" w:rsidP="00631138">
            <w:pPr>
              <w:pStyle w:val="ListBullet"/>
            </w:pPr>
            <w:r w:rsidRPr="00631138">
              <w:t>Hazardous materials</w:t>
            </w:r>
          </w:p>
          <w:p w:rsidR="00000000" w:rsidRPr="00631138" w:rsidP="00631138">
            <w:pPr>
              <w:pStyle w:val="ListBullet"/>
            </w:pPr>
            <w:r w:rsidRPr="00631138">
              <w:t>MSDS</w:t>
            </w:r>
          </w:p>
          <w:p w:rsidR="00000000" w:rsidRPr="00631138" w:rsidP="00631138">
            <w:pPr>
              <w:pStyle w:val="ListBullet"/>
            </w:pPr>
            <w:r w:rsidRPr="00631138">
              <w:t xml:space="preserve">PPE </w:t>
            </w:r>
          </w:p>
          <w:p w:rsidR="00000000" w:rsidRPr="00631138" w:rsidP="00631138">
            <w:pPr>
              <w:pStyle w:val="BodyText"/>
            </w:pPr>
            <w:r w:rsidRPr="00631138">
              <w:t>T3. Gas Industry facilities and infrastructure</w:t>
            </w:r>
          </w:p>
          <w:p w:rsidR="00000000" w:rsidRPr="00631138" w:rsidP="00631138">
            <w:pPr>
              <w:pStyle w:val="ListBullet"/>
            </w:pPr>
            <w:r w:rsidRPr="00631138">
              <w:t>regulation and metering facilities</w:t>
            </w:r>
          </w:p>
          <w:p w:rsidR="00000000" w:rsidRPr="00631138" w:rsidP="00631138">
            <w:pPr>
              <w:pStyle w:val="ListBullet"/>
            </w:pPr>
            <w:r w:rsidRPr="00631138">
              <w:t>compression facilities</w:t>
            </w:r>
          </w:p>
          <w:p w:rsidR="00000000" w:rsidRPr="00631138" w:rsidP="00631138">
            <w:pPr>
              <w:pStyle w:val="ListBullet"/>
            </w:pPr>
            <w:r w:rsidRPr="00631138">
              <w:t>gas processing facilities such as coal seam methane plants</w:t>
            </w:r>
          </w:p>
          <w:p w:rsidR="00000000" w:rsidRPr="00631138" w:rsidP="00631138">
            <w:pPr>
              <w:pStyle w:val="ListBullet"/>
            </w:pPr>
            <w:r w:rsidRPr="00631138">
              <w:t>LPG processing facilities</w:t>
            </w:r>
          </w:p>
          <w:p w:rsidR="00000000" w:rsidRPr="00631138" w:rsidP="00631138">
            <w:pPr>
              <w:pStyle w:val="ListBullet"/>
            </w:pPr>
            <w:r w:rsidRPr="00631138">
              <w:t>scraper stations and pigging facilities</w:t>
            </w:r>
          </w:p>
          <w:p w:rsidR="00000000" w:rsidRPr="00631138" w:rsidP="00631138">
            <w:pPr>
              <w:pStyle w:val="ListBullet"/>
            </w:pPr>
            <w:r w:rsidRPr="00631138">
              <w:t>odourisation facilities</w:t>
            </w:r>
          </w:p>
          <w:p w:rsidR="00000000" w:rsidRPr="00631138" w:rsidP="00631138">
            <w:pPr>
              <w:pStyle w:val="ListBullet"/>
            </w:pPr>
            <w:r w:rsidRPr="00631138">
              <w:t>r</w:t>
            </w:r>
            <w:r w:rsidRPr="00631138">
              <w:t>elevant operating policies and procedures</w:t>
            </w:r>
          </w:p>
          <w:p w:rsidR="00000000" w:rsidRPr="00631138" w:rsidP="00631138">
            <w:pPr>
              <w:pStyle w:val="BodyText"/>
            </w:pPr>
            <w:r w:rsidRPr="00631138">
              <w:t>T4. Operation of Gas Industry plant, equipment and materials</w:t>
            </w:r>
          </w:p>
          <w:p w:rsidR="00000000" w:rsidRPr="00631138" w:rsidP="00631138">
            <w:pPr>
              <w:pStyle w:val="ListBullet"/>
            </w:pPr>
            <w:r w:rsidRPr="00631138">
              <w:t>relevant industry engineering terminology and units</w:t>
            </w:r>
          </w:p>
          <w:p w:rsidR="00000000" w:rsidRPr="00631138" w:rsidP="00631138">
            <w:pPr>
              <w:pStyle w:val="ListBullet"/>
            </w:pPr>
            <w:r w:rsidRPr="00631138">
              <w:t>gas pipeline system operating parameters</w:t>
            </w:r>
          </w:p>
          <w:p w:rsidR="00000000" w:rsidRPr="00631138" w:rsidP="00631138">
            <w:pPr>
              <w:pStyle w:val="ListBullet"/>
            </w:pPr>
            <w:r w:rsidRPr="00631138">
              <w:t>gas pipeline systems such as pumps, compressors, regulation</w:t>
            </w:r>
            <w:r w:rsidRPr="00631138">
              <w:t>, shutdown equipment, measurement systems by on-site or remote operation as applicable</w:t>
            </w:r>
          </w:p>
          <w:p w:rsidR="00000000" w:rsidRPr="00631138" w:rsidP="00631138">
            <w:pPr>
              <w:pStyle w:val="ListBullet"/>
            </w:pPr>
            <w:r w:rsidRPr="00631138">
              <w:t>relevant inspection and testing procedures for applicable plant and equipment</w:t>
            </w:r>
          </w:p>
          <w:p w:rsidR="00000000" w:rsidRPr="00631138" w:rsidP="00631138">
            <w:pPr>
              <w:pStyle w:val="ListBullet"/>
            </w:pPr>
            <w:r w:rsidRPr="00631138">
              <w:t>commissioning and decommissioning processes of relevant equipment such as pipework, vessels</w:t>
            </w:r>
            <w:r w:rsidRPr="00631138">
              <w:t xml:space="preserve"> and compressors, including on-site and remote operation as applicable</w:t>
            </w:r>
          </w:p>
          <w:p w:rsidR="00000000" w:rsidRPr="00631138" w:rsidP="00631138">
            <w:pPr>
              <w:pStyle w:val="ListBullet"/>
            </w:pPr>
            <w:r w:rsidRPr="00631138">
              <w:t>characteristics of gas flows including compressed and non-compressed operations</w:t>
            </w:r>
          </w:p>
          <w:p w:rsidR="00000000" w:rsidRPr="00631138" w:rsidP="00631138">
            <w:pPr>
              <w:pStyle w:val="ListBullet"/>
            </w:pPr>
            <w:r w:rsidRPr="00631138">
              <w:t>characteristics, operation, capabilities and limitations of applicable tools and equipment including prim</w:t>
            </w:r>
            <w:r w:rsidRPr="00631138">
              <w:t>e movers, compression and control systems, pipeline facilities and associated equipment</w:t>
            </w:r>
          </w:p>
          <w:p w:rsidR="00000000" w:rsidRPr="00631138" w:rsidP="00631138">
            <w:pPr>
              <w:pStyle w:val="ListBullet"/>
            </w:pPr>
            <w:r w:rsidRPr="00631138">
              <w:t>operation of gas analysis and measuring equipment</w:t>
            </w:r>
          </w:p>
          <w:p w:rsidR="00000000" w:rsidRPr="00631138" w:rsidP="00631138">
            <w:pPr>
              <w:pStyle w:val="BodyText"/>
            </w:pPr>
            <w:r w:rsidRPr="00631138">
              <w:t>T5.  Gas Industry products, processes and characteristics</w:t>
            </w:r>
          </w:p>
          <w:p w:rsidR="00000000" w:rsidRPr="00631138" w:rsidP="00631138">
            <w:pPr>
              <w:pStyle w:val="ListBullet"/>
            </w:pPr>
            <w:r w:rsidRPr="00631138">
              <w:t>products, characteristics and tolerances including:</w:t>
            </w:r>
          </w:p>
          <w:p w:rsidR="00000000" w:rsidRPr="00631138" w:rsidP="00631138">
            <w:pPr>
              <w:pStyle w:val="ListBullet2"/>
            </w:pPr>
            <w:r w:rsidRPr="00631138">
              <w:t>principles of applicable gas laws</w:t>
            </w:r>
          </w:p>
          <w:p w:rsidR="00000000" w:rsidRPr="00631138" w:rsidP="00631138">
            <w:pPr>
              <w:pStyle w:val="ListBullet2"/>
            </w:pPr>
            <w:r w:rsidRPr="00631138">
              <w:t>gas pressure</w:t>
            </w:r>
          </w:p>
          <w:p w:rsidR="00000000" w:rsidRPr="00631138" w:rsidP="00631138">
            <w:pPr>
              <w:pStyle w:val="ListBullet2"/>
            </w:pPr>
            <w:r w:rsidRPr="00631138">
              <w:t>gas temperature</w:t>
            </w:r>
          </w:p>
          <w:p w:rsidR="00000000" w:rsidRPr="00631138" w:rsidP="00631138">
            <w:pPr>
              <w:pStyle w:val="ListBullet2"/>
            </w:pPr>
            <w:r w:rsidRPr="00631138">
              <w:t>compressibility</w:t>
            </w:r>
          </w:p>
          <w:p w:rsidR="00000000" w:rsidRPr="00631138" w:rsidP="00631138">
            <w:pPr>
              <w:pStyle w:val="ListBullet"/>
            </w:pPr>
            <w:r w:rsidRPr="00631138">
              <w:t xml:space="preserve">relative density – specific gravity </w:t>
            </w:r>
          </w:p>
          <w:p w:rsidR="00000000" w:rsidRPr="00631138" w:rsidP="00631138">
            <w:pPr>
              <w:pStyle w:val="ListBullet"/>
            </w:pPr>
            <w:r w:rsidRPr="00631138">
              <w:t>hydrocarbon and water dew points</w:t>
            </w:r>
          </w:p>
          <w:p w:rsidR="00000000" w:rsidRPr="00631138" w:rsidP="00631138">
            <w:pPr>
              <w:pStyle w:val="ListBullet"/>
            </w:pPr>
            <w:r w:rsidRPr="00631138">
              <w:t>components of applicable natural gases and including LPG</w:t>
            </w:r>
          </w:p>
          <w:p w:rsidR="00000000" w:rsidRPr="00631138" w:rsidP="00631138">
            <w:pPr>
              <w:pStyle w:val="ListBullet"/>
            </w:pPr>
            <w:r w:rsidRPr="00631138">
              <w:t>standard gas conditions</w:t>
            </w:r>
          </w:p>
          <w:p w:rsidR="00000000" w:rsidRPr="00631138" w:rsidP="00631138">
            <w:pPr>
              <w:pStyle w:val="ListBullet"/>
            </w:pPr>
            <w:r w:rsidRPr="00631138">
              <w:t>combustion</w:t>
            </w:r>
          </w:p>
          <w:p w:rsidR="00000000" w:rsidRPr="00631138" w:rsidP="00631138">
            <w:pPr>
              <w:pStyle w:val="ListBullet"/>
            </w:pPr>
            <w:r w:rsidRPr="00631138">
              <w:t>venting and purging principles</w:t>
            </w:r>
          </w:p>
          <w:p w:rsidR="00000000" w:rsidRPr="00631138" w:rsidP="00631138">
            <w:pPr>
              <w:pStyle w:val="ListBullet"/>
            </w:pPr>
            <w:r w:rsidRPr="00631138">
              <w:t>effects of temperature and pressure on infrastructure</w:t>
            </w:r>
          </w:p>
          <w:p w:rsidR="00000000" w:rsidRPr="00631138" w:rsidP="00631138">
            <w:pPr>
              <w:pStyle w:val="BodyText"/>
            </w:pPr>
            <w:r w:rsidRPr="00631138">
              <w:t>T6. Security breach procedures</w:t>
            </w:r>
          </w:p>
          <w:p w:rsidR="00000000" w:rsidRPr="00631138" w:rsidP="00631138">
            <w:pPr>
              <w:pStyle w:val="ListBullet"/>
            </w:pPr>
            <w:r w:rsidRPr="00631138">
              <w:t>identification of different types of security incidents including but not limited to:</w:t>
            </w:r>
          </w:p>
          <w:p w:rsidR="00000000" w:rsidRPr="00631138" w:rsidP="00631138">
            <w:pPr>
              <w:pStyle w:val="ListBullet2"/>
            </w:pPr>
            <w:r w:rsidRPr="00631138">
              <w:t>physical security breaches at gas infrastructure</w:t>
            </w:r>
          </w:p>
          <w:p w:rsidR="00000000" w:rsidRPr="00631138" w:rsidP="00631138">
            <w:pPr>
              <w:pStyle w:val="ListBullet2"/>
            </w:pPr>
            <w:r w:rsidRPr="00631138">
              <w:t>thr</w:t>
            </w:r>
            <w:r w:rsidRPr="00631138">
              <w:t>eat assessment and management</w:t>
            </w:r>
          </w:p>
          <w:p w:rsidR="00000000" w:rsidRPr="00631138" w:rsidP="00631138">
            <w:pPr>
              <w:pStyle w:val="ListBullet2"/>
            </w:pPr>
            <w:r w:rsidRPr="00631138">
              <w:t>confidential information security</w:t>
            </w:r>
          </w:p>
          <w:p w:rsidR="00000000" w:rsidRPr="00631138" w:rsidP="00631138">
            <w:pPr>
              <w:pStyle w:val="ListBullet"/>
            </w:pPr>
            <w:r w:rsidRPr="00631138">
              <w:t>communication with applicable emergency service and regulatory organisations</w:t>
            </w:r>
          </w:p>
          <w:p w:rsidR="00000000" w:rsidRPr="00631138" w:rsidP="00631138">
            <w:pPr>
              <w:pStyle w:val="ListBullet"/>
            </w:pPr>
            <w:r w:rsidRPr="00631138">
              <w:t>compliance with applicable enterprise security policies and procedures</w:t>
            </w:r>
          </w:p>
          <w:p w:rsidR="00000000" w:rsidRPr="00631138" w:rsidP="00631138">
            <w:pPr>
              <w:pStyle w:val="BodyText"/>
            </w:pPr>
            <w:r w:rsidRPr="00631138">
              <w:t>T7. Gas industry documents</w:t>
            </w:r>
          </w:p>
          <w:p w:rsidR="00000000" w:rsidRPr="00631138" w:rsidP="00631138">
            <w:pPr>
              <w:pStyle w:val="ListBullet"/>
            </w:pPr>
            <w:r w:rsidRPr="00631138">
              <w:t xml:space="preserve">signs, symbols </w:t>
            </w:r>
            <w:r w:rsidRPr="00631138">
              <w:t>terminology and legends as used in gas industry procedures and documents</w:t>
            </w:r>
          </w:p>
          <w:p w:rsidR="00000000" w:rsidRPr="00631138" w:rsidP="00631138">
            <w:pPr>
              <w:pStyle w:val="ListBullet"/>
            </w:pPr>
            <w:r w:rsidRPr="00631138">
              <w:t>gas industry standards, policies and procedures</w:t>
            </w:r>
          </w:p>
          <w:p w:rsidR="00000000" w:rsidRPr="00631138" w:rsidP="00631138">
            <w:pPr>
              <w:pStyle w:val="ListBullet"/>
            </w:pPr>
            <w:r w:rsidRPr="00631138">
              <w:t>basic drawings and diagrams</w:t>
            </w:r>
          </w:p>
          <w:p w:rsidR="00000000" w:rsidRPr="00631138" w:rsidP="00631138">
            <w:pPr>
              <w:pStyle w:val="ListBullet2"/>
            </w:pPr>
            <w:r w:rsidRPr="00631138">
              <w:t>Process and Instrumentation Diagrams (PID)</w:t>
            </w:r>
          </w:p>
          <w:p w:rsidR="00000000" w:rsidRPr="00631138" w:rsidP="00631138">
            <w:pPr>
              <w:pStyle w:val="ListBullet2"/>
            </w:pPr>
            <w:r w:rsidRPr="00631138">
              <w:t>Facility and pipeline construction and as-built drawings</w:t>
            </w:r>
          </w:p>
          <w:p w:rsidR="00000000" w:rsidRPr="00631138" w:rsidP="00631138">
            <w:pPr>
              <w:pStyle w:val="ListBullet2"/>
            </w:pPr>
            <w:r w:rsidRPr="00631138">
              <w:t>Geographical Information System (GIS) drawings and data</w:t>
            </w:r>
          </w:p>
          <w:p w:rsidR="00000000" w:rsidRPr="00631138" w:rsidP="00631138">
            <w:pPr>
              <w:pStyle w:val="ListBullet2"/>
            </w:pPr>
            <w:r w:rsidRPr="00631138">
              <w:t>Electrical drawings</w:t>
            </w:r>
          </w:p>
          <w:p w:rsidR="00000000" w:rsidRPr="00631138" w:rsidP="00631138">
            <w:pPr>
              <w:pStyle w:val="ListBullet2"/>
            </w:pPr>
            <w:r w:rsidRPr="00631138">
              <w:t>Survey maps</w:t>
            </w:r>
          </w:p>
          <w:p w:rsidR="00000000" w:rsidRPr="00631138" w:rsidP="00631138">
            <w:pPr>
              <w:pStyle w:val="ListBullet2"/>
            </w:pPr>
            <w:r w:rsidRPr="00631138">
              <w:t>Pipeline route maps and alignment sheets</w:t>
            </w:r>
          </w:p>
          <w:p w:rsidR="00000000" w:rsidRPr="00631138" w:rsidP="00631138">
            <w:pPr>
              <w:pStyle w:val="ListBullet"/>
            </w:pPr>
            <w:r w:rsidRPr="00631138">
              <w:t>topographical and geographical maps and information</w:t>
            </w:r>
          </w:p>
          <w:p w:rsidR="00000000" w:rsidRPr="00631138" w:rsidP="00631138">
            <w:pPr>
              <w:pStyle w:val="ListBullet"/>
            </w:pPr>
            <w:r w:rsidRPr="00631138">
              <w:t>workplace forms and reports</w:t>
            </w:r>
          </w:p>
          <w:p w:rsidR="00000000" w:rsidRPr="00631138" w:rsidP="00631138">
            <w:pPr>
              <w:pStyle w:val="BodyText"/>
            </w:pPr>
            <w:r w:rsidRPr="00631138">
              <w:t>T8. Corrosion</w:t>
            </w:r>
          </w:p>
          <w:p w:rsidR="00000000" w:rsidRPr="00631138" w:rsidP="00631138">
            <w:pPr>
              <w:pStyle w:val="ListBullet"/>
            </w:pPr>
            <w:r w:rsidRPr="00631138">
              <w:t>corrosion processes</w:t>
            </w:r>
          </w:p>
          <w:p w:rsidR="00000000" w:rsidRPr="00631138" w:rsidP="00631138">
            <w:pPr>
              <w:pStyle w:val="ListBullet"/>
            </w:pPr>
            <w:r w:rsidRPr="00631138">
              <w:t>cathodic pr</w:t>
            </w:r>
            <w:r w:rsidRPr="00631138">
              <w:t>otection on a Gas Industry pipeline</w:t>
            </w:r>
          </w:p>
          <w:p w:rsidR="00000000" w:rsidRPr="00631138" w:rsidP="00631138">
            <w:pPr>
              <w:pStyle w:val="BodyText"/>
            </w:pPr>
          </w:p>
          <w:p w:rsidR="00000000" w:rsidRPr="00631138" w:rsidP="00631138">
            <w:pPr>
              <w:pStyle w:val="BodyText"/>
            </w:pPr>
            <w:r w:rsidRPr="00631138">
              <w:t xml:space="preserve">T9. Problem solving and fault finding </w:t>
            </w:r>
          </w:p>
          <w:p w:rsidR="00000000" w:rsidRPr="00631138" w:rsidP="00631138">
            <w:pPr>
              <w:pStyle w:val="ListBullet"/>
            </w:pPr>
            <w:r w:rsidRPr="00631138">
              <w:t>methodology</w:t>
            </w:r>
          </w:p>
          <w:p w:rsidR="00000000" w:rsidRPr="00631138" w:rsidP="00631138">
            <w:pPr>
              <w:pStyle w:val="ListBullet"/>
            </w:pPr>
            <w:r w:rsidRPr="00631138">
              <w:t xml:space="preserve">possible solutions and probable solutions </w:t>
            </w:r>
          </w:p>
          <w:p w:rsidR="00000000" w:rsidRPr="00631138" w:rsidP="00631138">
            <w:pPr>
              <w:pStyle w:val="ListBullet"/>
            </w:pPr>
            <w:r w:rsidRPr="00631138">
              <w:t>basic problem solving and fault finding techniques</w:t>
            </w:r>
          </w:p>
        </w:tc>
      </w:tr>
    </w:tbl>
    <w:p w:rsidR="00000000" w:rsidRPr="00631138" w:rsidP="00631138">
      <w:pPr>
        <w:pStyle w:val="BodyText"/>
      </w:pPr>
    </w:p>
    <w:p w:rsidR="00000000" w:rsidRPr="00631138" w:rsidP="00631138">
      <w:pPr>
        <w:pStyle w:val="AllowPageBreak"/>
      </w:pPr>
    </w:p>
    <w:p w:rsidR="00000000" w:rsidRPr="00631138" w:rsidP="00631138">
      <w:pPr>
        <w:pStyle w:val="Heading1"/>
      </w:pPr>
      <w:bookmarkStart w:id="10" w:name="O_625665"/>
      <w:bookmarkEnd w:id="10"/>
      <w:r w:rsidRPr="00631138">
        <w:t>Evidence Guide</w:t>
      </w:r>
    </w:p>
    <w:tbl>
      <w:tblPr>
        <w:tblW w:w="0" w:type="auto"/>
        <w:tblLayout w:type="fixed"/>
        <w:tblCellMar>
          <w:left w:w="62" w:type="dxa"/>
          <w:right w:w="62" w:type="dxa"/>
        </w:tblCellMar>
        <w:tblLook w:val="0000"/>
      </w:tblPr>
      <w:tblGrid>
        <w:gridCol w:w="1828"/>
        <w:gridCol w:w="6570"/>
      </w:tblGrid>
      <w:tr w:rsidTr="00631138">
        <w:tblPrEx>
          <w:tblW w:w="0" w:type="auto"/>
          <w:tblLayout w:type="fixed"/>
          <w:tblCellMar>
            <w:left w:w="62" w:type="dxa"/>
            <w:right w:w="62" w:type="dxa"/>
          </w:tblCellMar>
          <w:tblLook w:val="0000"/>
        </w:tblPrEx>
        <w:trPr>
          <w:tblHeader/>
        </w:trPr>
        <w:tc>
          <w:tcPr>
            <w:tcW w:w="8398" w:type="dxa"/>
            <w:gridSpan w:val="2"/>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EVIDENCE GUIDE</w:t>
            </w:r>
          </w:p>
        </w:tc>
      </w:tr>
      <w:tr w:rsidTr="00631138">
        <w:tblPrEx>
          <w:tblW w:w="0" w:type="auto"/>
          <w:tblLayout w:type="fixed"/>
          <w:tblCellMar>
            <w:left w:w="62" w:type="dxa"/>
            <w:right w:w="62" w:type="dxa"/>
          </w:tblCellMar>
          <w:tblLook w:val="0000"/>
        </w:tblPrEx>
        <w:tc>
          <w:tcPr>
            <w:tcW w:w="8398" w:type="dxa"/>
            <w:gridSpan w:val="2"/>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8)</w:t>
            </w:r>
            <w:r w:rsidRPr="00631138">
              <w:t xml:space="preserve"> The Evidence Guide forms an integral part of this Competency Standard Unit and shall be used in conjunction with all components parts of this unit and performed in accordance with the Assessment Guidelines of this Training Package.</w:t>
            </w:r>
          </w:p>
        </w:tc>
      </w:tr>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rPr>
                <w:rStyle w:val="SpecialBold"/>
              </w:rPr>
              <w:t>Overview of Assessmen</w:t>
            </w:r>
            <w:r w:rsidRPr="00631138">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8.1)</w:t>
            </w:r>
          </w:p>
        </w:tc>
      </w:tr>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Longitudinal competency development approaches to assessment, such as Profiling, require data to be reliably gathered in a form that can be consistently interpreted over time. This approach is best utilised in Apprenticeship programs and reduces a</w:t>
            </w:r>
            <w:r w:rsidRPr="00631138">
              <w:t xml:space="preserve">ssessment intervention. It is the Industry’s preferred model for apprenticeships. However, where summative (or final) assessment is used it is to include the application of the competency in the normal work environment or, at a minimum, the application of </w:t>
            </w:r>
            <w:r w:rsidRPr="00631138">
              <w:t>the competency in a realistically simulated work environment. It is recognised that, in some circumstances, assessment in part or full can occur outside the workplace. However, it must be in accord with Industry regulatory policy in this regard.</w:t>
            </w:r>
          </w:p>
        </w:tc>
      </w:tr>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 xml:space="preserve">Methods </w:t>
            </w:r>
            <w:r w:rsidRPr="00631138">
              <w:t>chosen for a particular assessment will be influenced by various factors. These include the extent of the assessment, the most effective locations for the assessment activities to take place, access to physical resources, additional safety measures that ma</w:t>
            </w:r>
            <w:r w:rsidRPr="00631138">
              <w:t>y be required and the critical nature of the competencies being assessed.</w:t>
            </w:r>
          </w:p>
        </w:tc>
      </w:tr>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 xml:space="preserve">The critical safety nature of working with electricity, electrical equipment, gas or any other hazardous substance/material carries risk in </w:t>
            </w:r>
            <w:r w:rsidRPr="00631138">
              <w:t>deeming a person competent. Hence, sources of evidence need to be ‘rich’ in nature so as to minimise error in judgment.</w:t>
            </w:r>
          </w:p>
        </w:tc>
      </w:tr>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t>Activities associated with normal every day work have a bearing on the decision as to how much and how detailed the data gathered will</w:t>
            </w:r>
            <w:r w:rsidRPr="00631138">
              <w:t xml:space="preserve"> contribute to its ‘richness’. Some skills are more critical to safety and operational requirements while the same skills may be more or less frequently practiced. These points are raised for the assessors to consider when choosing an assessment method and</w:t>
            </w:r>
            <w:r w:rsidRPr="00631138">
              <w:t xml:space="preserve"> developing assessment instruments. Sample assessment instruments are included for Assessors in the Assessment Guidelines of this Training Package.</w:t>
            </w:r>
          </w:p>
        </w:tc>
      </w:tr>
    </w:tbl>
    <w:p w:rsidR="00000000" w:rsidRPr="00631138" w:rsidP="00631138">
      <w:pPr>
        <w:pStyle w:val="BodyText"/>
      </w:pPr>
    </w:p>
    <w:tbl>
      <w:tblPr>
        <w:tblW w:w="0" w:type="auto"/>
        <w:tblLayout w:type="fixed"/>
        <w:tblCellMar>
          <w:left w:w="62" w:type="dxa"/>
          <w:right w:w="62" w:type="dxa"/>
        </w:tblCellMar>
        <w:tblLook w:val="0000"/>
      </w:tblPr>
      <w:tblGrid>
        <w:gridCol w:w="1828"/>
        <w:gridCol w:w="6570"/>
      </w:tblGrid>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8.2)</w:t>
            </w:r>
          </w:p>
        </w:tc>
      </w:tr>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Before the critical as</w:t>
            </w:r>
            <w:r w:rsidRPr="00631138">
              <w:t>pects of evidence are considered all prerequisites shall be met.</w:t>
            </w:r>
          </w:p>
        </w:tc>
      </w:tr>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Evidence for competence in this unit shall be considered holistically. Each element and associated Performance Criteria shall be demonstrated on at least two occasions in accordance with th</w:t>
            </w:r>
            <w:r w:rsidRPr="00631138">
              <w:t xml:space="preserve">e </w:t>
            </w:r>
            <w:r w:rsidRPr="00631138">
              <w:t>‘Assessment Guidelines — UEG11’. Evidence shall also comprise:</w:t>
            </w:r>
          </w:p>
        </w:tc>
      </w:tr>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1138">
            <w:pPr>
              <w:pStyle w:val="ListBullet"/>
              <w:rPr>
                <w:lang w:val="en-NZ"/>
              </w:rPr>
            </w:pPr>
            <w:r w:rsidRPr="00631138">
              <w:t>A representative body of work performance demonstrated within the timeframes typically expected of the discipline, work function and industrial environment. In particular this shall incorp</w:t>
            </w:r>
            <w:r w:rsidRPr="00631138">
              <w:t>orate evidence that shows a candidate is able to:</w:t>
            </w:r>
          </w:p>
        </w:tc>
      </w:tr>
      <w:tr w:rsidTr="00631138">
        <w:tblPrEx>
          <w:tblW w:w="0" w:type="auto"/>
          <w:tblLayout w:type="fixed"/>
          <w:tblCellMar>
            <w:left w:w="62" w:type="dxa"/>
            <w:right w:w="62" w:type="dxa"/>
          </w:tblCellMar>
          <w:tblLook w:val="0000"/>
        </w:tblPrEx>
        <w:trPr>
          <w:trHeight w:val="763"/>
        </w:trPr>
        <w:tc>
          <w:tcPr>
            <w:tcW w:w="1828"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1138">
            <w:pPr>
              <w:pStyle w:val="ListBullet2"/>
              <w:rPr>
                <w:lang w:val="en-NZ"/>
              </w:rPr>
            </w:pPr>
            <w:r w:rsidRPr="00631138">
              <w:t>Implement Occupational Health and Safety workplace procedures and practices including the use of risk control measures as specified in the Performance Criteria and range</w:t>
            </w:r>
          </w:p>
        </w:tc>
      </w:tr>
      <w:tr w:rsidTr="00631138">
        <w:tblPrEx>
          <w:tblW w:w="0" w:type="auto"/>
          <w:tblLayout w:type="fixed"/>
          <w:tblCellMar>
            <w:left w:w="62" w:type="dxa"/>
            <w:right w:w="62" w:type="dxa"/>
          </w:tblCellMar>
          <w:tblLook w:val="0000"/>
        </w:tblPrEx>
        <w:trPr>
          <w:trHeight w:val="426"/>
        </w:trPr>
        <w:tc>
          <w:tcPr>
            <w:tcW w:w="1828"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1138">
            <w:pPr>
              <w:pStyle w:val="ListBullet2"/>
              <w:rPr>
                <w:lang w:val="en-NZ"/>
              </w:rPr>
            </w:pPr>
            <w:r w:rsidRPr="00631138">
              <w:t>Apply sustainable energy principles and practices as specified in the Performance Criteria and range</w:t>
            </w:r>
          </w:p>
        </w:tc>
      </w:tr>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1138">
            <w:pPr>
              <w:pStyle w:val="ListBullet2"/>
              <w:rPr>
                <w:lang w:val="en-NZ"/>
              </w:rPr>
            </w:pPr>
            <w:r w:rsidRPr="00631138">
              <w:t>Demonstrate an understanding of the required l knowledge and skills as described in this unit to such an extent that the learner’s performance outcome i</w:t>
            </w:r>
            <w:r w:rsidRPr="00631138">
              <w:t>s reported in accordance with the preferred approach; namely a percentile graded result, where required by the regulated environment</w:t>
            </w:r>
          </w:p>
        </w:tc>
      </w:tr>
      <w:tr w:rsidTr="00631138">
        <w:tblPrEx>
          <w:tblW w:w="0" w:type="auto"/>
          <w:tblLayout w:type="fixed"/>
          <w:tblCellMar>
            <w:left w:w="62" w:type="dxa"/>
            <w:right w:w="62" w:type="dxa"/>
          </w:tblCellMar>
          <w:tblLook w:val="0000"/>
        </w:tblPrEx>
        <w:trPr>
          <w:trHeight w:val="361"/>
        </w:trPr>
        <w:tc>
          <w:tcPr>
            <w:tcW w:w="1828"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1138">
            <w:pPr>
              <w:pStyle w:val="ListBullet2"/>
              <w:rPr>
                <w:lang w:val="en-NZ"/>
              </w:rPr>
            </w:pPr>
            <w:r w:rsidRPr="00631138">
              <w:t>Demonstrate an appropriate level of employability skills</w:t>
            </w:r>
          </w:p>
        </w:tc>
      </w:tr>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1138">
            <w:pPr>
              <w:pStyle w:val="ListBullet2"/>
              <w:rPr>
                <w:lang w:val="en-NZ"/>
              </w:rPr>
            </w:pPr>
            <w:r w:rsidRPr="00631138">
              <w:t>Conduct work observing the relevant anti-discrimination legislation, regulations, polices and workplace procedures</w:t>
            </w:r>
          </w:p>
        </w:tc>
      </w:tr>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631138" w:rsidP="00631138">
            <w:pPr>
              <w:pStyle w:val="ListBullet"/>
            </w:pPr>
            <w:r w:rsidRPr="00631138">
              <w:t>Demonstrate performance across a representative range of contexts from the prescribed items below.</w:t>
            </w:r>
          </w:p>
          <w:p w:rsidR="00000000" w:rsidRPr="00631138" w:rsidP="00631138">
            <w:pPr>
              <w:pStyle w:val="ListBullet2"/>
            </w:pPr>
            <w:r w:rsidRPr="00631138">
              <w:t>Remotely check and report gas station conditions in accordance with relevant legislation, code, regulations and procedures as described in 9.) Range Statement and including:</w:t>
            </w:r>
          </w:p>
        </w:tc>
      </w:tr>
    </w:tbl>
    <w:p w:rsidR="00000000" w:rsidRPr="00631138" w:rsidP="00631138">
      <w:pPr>
        <w:pStyle w:val="BodyText"/>
      </w:pPr>
    </w:p>
    <w:tbl>
      <w:tblPr>
        <w:tblW w:w="0" w:type="auto"/>
        <w:tblLayout w:type="fixed"/>
        <w:tblCellMar>
          <w:left w:w="62" w:type="dxa"/>
          <w:right w:w="62" w:type="dxa"/>
        </w:tblCellMar>
        <w:tblLook w:val="0000"/>
      </w:tblPr>
      <w:tblGrid>
        <w:gridCol w:w="1800"/>
        <w:gridCol w:w="810"/>
        <w:gridCol w:w="630"/>
        <w:gridCol w:w="1306"/>
        <w:gridCol w:w="3914"/>
      </w:tblGrid>
      <w:tr w:rsidTr="00631138">
        <w:tblPrEx>
          <w:tblW w:w="0" w:type="auto"/>
          <w:tblLayout w:type="fixed"/>
          <w:tblCellMar>
            <w:left w:w="62" w:type="dxa"/>
            <w:right w:w="62" w:type="dxa"/>
          </w:tblCellMar>
          <w:tblLook w:val="0000"/>
        </w:tblPrEx>
        <w:trPr>
          <w:trHeight w:val="28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631138">
            <w:pPr>
              <w:pStyle w:val="BodyText"/>
              <w:keepNext w:val="0"/>
              <w:keepLines w:val="0"/>
              <w:contextualSpacing w:val="0"/>
            </w:pPr>
          </w:p>
        </w:tc>
        <w:tc>
          <w:tcPr>
            <w:tcW w:w="585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138">
            <w:pPr>
              <w:pStyle w:val="BodyText"/>
              <w:rPr>
                <w:lang w:val="en-NZ"/>
              </w:rPr>
            </w:pPr>
            <w:r w:rsidRPr="00631138">
              <w:rPr>
                <w:rStyle w:val="SpecialBold"/>
              </w:rPr>
              <w:t>Range of tools/equipment/procedures/workplace</w:t>
            </w:r>
          </w:p>
        </w:tc>
      </w:tr>
      <w:tr w:rsidTr="0063113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631138">
            <w:pPr>
              <w:pStyle w:val="BodyText"/>
              <w:keepNext w:val="0"/>
              <w:keepLines w:val="0"/>
              <w:contextualSpacing w:val="0"/>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138" w:rsidP="00631138">
            <w:pPr>
              <w:pStyle w:val="BodyText"/>
            </w:pPr>
            <w:r w:rsidRPr="00631138">
              <w:rPr>
                <w:rStyle w:val="SpecialBold"/>
              </w:rPr>
              <w:t>Group No</w:t>
            </w:r>
          </w:p>
        </w:tc>
        <w:tc>
          <w:tcPr>
            <w:tcW w:w="1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138" w:rsidP="00631138">
            <w:pPr>
              <w:pStyle w:val="BodyText"/>
            </w:pPr>
            <w:r w:rsidRPr="00631138">
              <w:rPr>
                <w:rStyle w:val="SpecialBold"/>
              </w:rPr>
              <w:t>The minimum number of items on which skill is to be demonstrated</w:t>
            </w:r>
          </w:p>
        </w:tc>
        <w:tc>
          <w:tcPr>
            <w:tcW w:w="3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138">
            <w:pPr>
              <w:pStyle w:val="BodyText"/>
              <w:rPr>
                <w:lang w:val="en-NZ"/>
              </w:rPr>
            </w:pPr>
            <w:r w:rsidRPr="00631138">
              <w:rPr>
                <w:rStyle w:val="SpecialBold"/>
              </w:rPr>
              <w:t>Item List</w:t>
            </w:r>
          </w:p>
        </w:tc>
      </w:tr>
      <w:tr w:rsidTr="0063113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631138">
            <w:pPr>
              <w:pStyle w:val="BodyText"/>
              <w:keepNext w:val="0"/>
              <w:keepLines w:val="0"/>
              <w:contextualSpacing w:val="0"/>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138">
            <w:pPr>
              <w:pStyle w:val="BodyText"/>
              <w:rPr>
                <w:lang w:val="en-NZ"/>
              </w:rPr>
            </w:pPr>
            <w:r w:rsidRPr="00631138">
              <w:rPr>
                <w:rStyle w:val="SpecialBold"/>
              </w:rPr>
              <w:t>A</w:t>
            </w:r>
          </w:p>
        </w:tc>
        <w:tc>
          <w:tcPr>
            <w:tcW w:w="1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138">
            <w:pPr>
              <w:pStyle w:val="BodyText"/>
              <w:rPr>
                <w:lang w:val="en-NZ"/>
              </w:rPr>
            </w:pPr>
            <w:r w:rsidRPr="00631138">
              <w:t>All</w:t>
            </w:r>
          </w:p>
        </w:tc>
        <w:tc>
          <w:tcPr>
            <w:tcW w:w="3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138" w:rsidP="00631138">
            <w:pPr>
              <w:pStyle w:val="ListBullet"/>
            </w:pPr>
            <w:r w:rsidRPr="00631138">
              <w:t>Working knowledge of relevant sections of the latest edition of AS2885 Part 3</w:t>
            </w:r>
          </w:p>
          <w:p w:rsidR="00000000" w:rsidRPr="00631138" w:rsidP="00631138">
            <w:pPr>
              <w:pStyle w:val="ListBullet"/>
            </w:pPr>
            <w:r w:rsidRPr="00631138">
              <w:t>Working knowledge of security breach procedures</w:t>
            </w:r>
          </w:p>
          <w:p w:rsidR="00000000" w:rsidRPr="00631138" w:rsidP="00631138">
            <w:pPr>
              <w:pStyle w:val="ListBullet"/>
            </w:pPr>
            <w:r w:rsidRPr="00631138">
              <w:t>Demonstrated knowledge of station function</w:t>
            </w:r>
          </w:p>
          <w:p w:rsidR="00000000" w:rsidP="00631138">
            <w:pPr>
              <w:pStyle w:val="ListBullet"/>
              <w:rPr>
                <w:lang w:val="en-NZ"/>
              </w:rPr>
            </w:pPr>
            <w:r w:rsidRPr="00631138">
              <w:t xml:space="preserve">Demonstrated knowledge of identifying abnormal conditions of a station </w:t>
            </w:r>
          </w:p>
        </w:tc>
      </w:tr>
      <w:tr w:rsidTr="0063113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631138">
            <w:pPr>
              <w:pStyle w:val="BodyText"/>
              <w:keepNext w:val="0"/>
              <w:keepLines w:val="0"/>
              <w:contextualSpacing w:val="0"/>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138">
            <w:pPr>
              <w:pStyle w:val="BodyText"/>
              <w:rPr>
                <w:lang w:val="en-NZ"/>
              </w:rPr>
            </w:pPr>
            <w:r w:rsidRPr="00631138">
              <w:rPr>
                <w:rStyle w:val="SpecialBold"/>
              </w:rPr>
              <w:t>B</w:t>
            </w:r>
          </w:p>
        </w:tc>
        <w:tc>
          <w:tcPr>
            <w:tcW w:w="1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138">
            <w:pPr>
              <w:pStyle w:val="BodyText"/>
              <w:rPr>
                <w:lang w:val="en-NZ"/>
              </w:rPr>
            </w:pPr>
            <w:r w:rsidRPr="00631138">
              <w:t>All</w:t>
            </w:r>
          </w:p>
        </w:tc>
        <w:tc>
          <w:tcPr>
            <w:tcW w:w="3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138" w:rsidP="00631138">
            <w:pPr>
              <w:pStyle w:val="ListBullet"/>
            </w:pPr>
            <w:r w:rsidRPr="00631138">
              <w:t>Interpret technical drawings and symbols</w:t>
            </w:r>
          </w:p>
          <w:p w:rsidR="00000000" w:rsidRPr="00631138" w:rsidP="00631138">
            <w:pPr>
              <w:pStyle w:val="ListBullet"/>
            </w:pPr>
            <w:r w:rsidRPr="00631138">
              <w:t>Work utilising relevant OHS legislation, regulations, codes of practice, policies and procedures</w:t>
            </w:r>
          </w:p>
          <w:p w:rsidR="00000000" w:rsidRPr="00631138" w:rsidP="00631138">
            <w:pPr>
              <w:pStyle w:val="ListBullet"/>
            </w:pPr>
            <w:r w:rsidRPr="00631138">
              <w:t xml:space="preserve">Practical knowledge of the properties of product being transported </w:t>
            </w:r>
          </w:p>
          <w:p w:rsidR="00000000" w:rsidRPr="00631138" w:rsidP="00631138">
            <w:pPr>
              <w:pStyle w:val="ListBullet"/>
            </w:pPr>
            <w:r w:rsidRPr="00631138">
              <w:t>Apply safe manual handling techniques</w:t>
            </w:r>
          </w:p>
          <w:p w:rsidR="00000000" w:rsidRPr="00631138" w:rsidP="00631138">
            <w:pPr>
              <w:pStyle w:val="ListBullet"/>
            </w:pPr>
            <w:r w:rsidRPr="00631138">
              <w:t xml:space="preserve">Communicate effectively in the </w:t>
            </w:r>
            <w:r w:rsidRPr="00631138">
              <w:t>workplace</w:t>
            </w:r>
          </w:p>
          <w:p w:rsidR="00000000" w:rsidRPr="00631138" w:rsidP="00631138">
            <w:pPr>
              <w:pStyle w:val="ListBullet"/>
            </w:pPr>
            <w:r w:rsidRPr="00631138">
              <w:t>Apply basic planning skills</w:t>
            </w:r>
          </w:p>
          <w:p w:rsidR="00000000" w:rsidP="00631138">
            <w:pPr>
              <w:pStyle w:val="ListBullet"/>
              <w:rPr>
                <w:lang w:val="en-NZ"/>
              </w:rPr>
            </w:pPr>
            <w:r w:rsidRPr="00631138">
              <w:t>First Aid certificate level 1</w:t>
            </w:r>
          </w:p>
        </w:tc>
      </w:tr>
      <w:tr w:rsidTr="0063113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631138">
            <w:pPr>
              <w:pStyle w:val="BodyText"/>
              <w:keepNext w:val="0"/>
              <w:keepLines w:val="0"/>
              <w:contextualSpacing w:val="0"/>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138">
            <w:pPr>
              <w:pStyle w:val="BodyText"/>
              <w:rPr>
                <w:lang w:val="en-NZ"/>
              </w:rPr>
            </w:pPr>
            <w:r w:rsidRPr="00631138">
              <w:rPr>
                <w:rStyle w:val="SpecialBold"/>
              </w:rPr>
              <w:t>C</w:t>
            </w:r>
          </w:p>
        </w:tc>
        <w:tc>
          <w:tcPr>
            <w:tcW w:w="1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138">
            <w:pPr>
              <w:pStyle w:val="BodyText"/>
              <w:rPr>
                <w:lang w:val="en-NZ"/>
              </w:rPr>
            </w:pPr>
            <w:r w:rsidRPr="00631138">
              <w:t>At least one occasion</w:t>
            </w:r>
          </w:p>
        </w:tc>
        <w:tc>
          <w:tcPr>
            <w:tcW w:w="3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138" w:rsidP="00631138">
            <w:pPr>
              <w:pStyle w:val="BodyText"/>
            </w:pPr>
            <w:r w:rsidRPr="00631138">
              <w:t xml:space="preserve">Deal with an unplanned event by drawing on required knowledge and  skills to provide appropriate solutions incorporated in the holistic assessment with the above listed items </w:t>
            </w:r>
          </w:p>
        </w:tc>
      </w:tr>
    </w:tbl>
    <w:p w:rsidR="00000000" w:rsidRPr="00631138" w:rsidP="00631138">
      <w:pPr>
        <w:pStyle w:val="BodyText"/>
      </w:pPr>
    </w:p>
    <w:tbl>
      <w:tblPr>
        <w:tblW w:w="0" w:type="auto"/>
        <w:tblLayout w:type="fixed"/>
        <w:tblCellMar>
          <w:left w:w="62" w:type="dxa"/>
          <w:right w:w="62" w:type="dxa"/>
        </w:tblCellMar>
        <w:tblLook w:val="0000"/>
      </w:tblPr>
      <w:tblGrid>
        <w:gridCol w:w="1828"/>
        <w:gridCol w:w="6570"/>
      </w:tblGrid>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8.3)</w:t>
            </w:r>
          </w:p>
        </w:tc>
      </w:tr>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This unit contains Emp</w:t>
            </w:r>
            <w:r w:rsidRPr="00631138">
              <w:t>loyability Skills</w:t>
            </w:r>
          </w:p>
        </w:tc>
      </w:tr>
      <w:tr w:rsidTr="00631138">
        <w:tblPrEx>
          <w:tblW w:w="0" w:type="auto"/>
          <w:tblLayout w:type="fixed"/>
          <w:tblCellMar>
            <w:left w:w="62" w:type="dxa"/>
            <w:right w:w="62" w:type="dxa"/>
          </w:tblCellMar>
          <w:tblLook w:val="0000"/>
        </w:tblPrEx>
        <w:trPr>
          <w:trHeight w:val="843"/>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This unit should be assessed as it relates to normal work practice using procedures, information and resources typical of a workplace. This should include:</w:t>
            </w:r>
          </w:p>
        </w:tc>
      </w:tr>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1138">
            <w:pPr>
              <w:pStyle w:val="ListBullet"/>
              <w:rPr>
                <w:lang w:val="en-NZ"/>
              </w:rPr>
            </w:pPr>
            <w:r w:rsidRPr="00631138">
              <w:t>OHS policy and work procedures and instructions.</w:t>
            </w:r>
          </w:p>
        </w:tc>
      </w:tr>
      <w:tr w:rsidTr="00631138">
        <w:tblPrEx>
          <w:tblW w:w="0" w:type="auto"/>
          <w:tblLayout w:type="fixed"/>
          <w:tblCellMar>
            <w:left w:w="62" w:type="dxa"/>
            <w:right w:w="62" w:type="dxa"/>
          </w:tblCellMar>
          <w:tblLook w:val="0000"/>
        </w:tblPrEx>
        <w:trPr>
          <w:trHeight w:val="722"/>
        </w:trPr>
        <w:tc>
          <w:tcPr>
            <w:tcW w:w="1828"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1138">
            <w:pPr>
              <w:pStyle w:val="ListBullet"/>
              <w:rPr>
                <w:lang w:val="en-NZ"/>
              </w:rPr>
            </w:pPr>
            <w:r w:rsidRPr="00631138">
              <w:t>Suitable work environment, facilities, equipment and materials to undertake actual work as prescribed by this Competency Standard Unit.</w:t>
            </w:r>
          </w:p>
        </w:tc>
      </w:tr>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1138">
            <w:pPr>
              <w:pStyle w:val="ListBullet"/>
              <w:rPr>
                <w:lang w:val="en-NZ"/>
              </w:rPr>
            </w:pPr>
            <w:r w:rsidRPr="00631138">
              <w:t>Appropriate environmental regulation and work practices.</w:t>
            </w:r>
          </w:p>
        </w:tc>
      </w:tr>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1138">
            <w:pPr>
              <w:pStyle w:val="ListBullet"/>
              <w:rPr>
                <w:lang w:val="en-NZ"/>
              </w:rPr>
            </w:pPr>
            <w:r w:rsidRPr="00631138">
              <w:t>Appropriate organisational requirements.</w:t>
            </w:r>
          </w:p>
        </w:tc>
      </w:tr>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31138">
            <w:pPr>
              <w:pStyle w:val="ListBullet"/>
              <w:rPr>
                <w:lang w:val="en-NZ"/>
              </w:rPr>
            </w:pPr>
            <w:r w:rsidRPr="00631138">
              <w:t>Appropriate</w:t>
            </w:r>
            <w:r w:rsidRPr="00631138">
              <w:t xml:space="preserve"> work environment, equipment and tools.</w:t>
            </w:r>
          </w:p>
        </w:tc>
      </w:tr>
      <w:tr w:rsidTr="00631138">
        <w:tblPrEx>
          <w:tblW w:w="0" w:type="auto"/>
          <w:tblLayout w:type="fixed"/>
          <w:tblCellMar>
            <w:left w:w="62" w:type="dxa"/>
            <w:right w:w="62" w:type="dxa"/>
          </w:tblCellMar>
          <w:tblLook w:val="0000"/>
        </w:tblPrEx>
        <w:trPr>
          <w:trHeight w:val="1204"/>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 xml:space="preserve">In addition to the resources listed above, in Context of and specific resources for assessment, evidence should show demonstrated competency </w:t>
            </w:r>
            <w:r w:rsidRPr="00631138">
              <w:t>in remotely checking and reporting on station conditions using appropriate systems.</w:t>
            </w:r>
          </w:p>
        </w:tc>
      </w:tr>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t>Assessment of this competency must also be undertaken in either an actual workplace or under a simulated work environment. Assessment must also integrate the employabilit</w:t>
            </w:r>
            <w:r w:rsidRPr="00631138">
              <w:t>y skills.</w:t>
            </w:r>
          </w:p>
        </w:tc>
      </w:tr>
    </w:tbl>
    <w:p w:rsidR="00000000" w:rsidRPr="00631138" w:rsidP="00631138">
      <w:pPr>
        <w:pStyle w:val="BodyText"/>
      </w:pPr>
    </w:p>
    <w:tbl>
      <w:tblPr>
        <w:tblW w:w="0" w:type="auto"/>
        <w:tblLayout w:type="fixed"/>
        <w:tblCellMar>
          <w:left w:w="62" w:type="dxa"/>
          <w:right w:w="62" w:type="dxa"/>
        </w:tblCellMar>
        <w:tblLook w:val="0000"/>
      </w:tblPr>
      <w:tblGrid>
        <w:gridCol w:w="1828"/>
        <w:gridCol w:w="6570"/>
      </w:tblGrid>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8.4)</w:t>
            </w:r>
          </w:p>
        </w:tc>
      </w:tr>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This Competency Standard Unit shall be assessed by methods given in Volume 1, Part 3 ‘Assessment Guidelines’.</w:t>
            </w:r>
          </w:p>
        </w:tc>
      </w:tr>
      <w:tr w:rsidTr="00631138">
        <w:tblPrEx>
          <w:tblW w:w="0" w:type="auto"/>
          <w:tblLayout w:type="fixed"/>
          <w:tblCellMar>
            <w:left w:w="62" w:type="dxa"/>
            <w:right w:w="62" w:type="dxa"/>
          </w:tblCellMar>
          <w:tblLook w:val="0000"/>
        </w:tblPrEx>
        <w:trPr>
          <w:trHeight w:val="1927"/>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t>Note: Competent performance with inherent safe working practices is expected in the Industry to which this Competency Standard Unit applies. This requires that the specified required Knowledge and Skills are assessed in a structured environment which is pr</w:t>
            </w:r>
            <w:r w:rsidRPr="00631138">
              <w:t>imarily intended for learning/assessment and incorporates all necessary equipment and facilities for learners to develop and demonstrate the required knowledge and skills described in this unit.</w:t>
            </w:r>
          </w:p>
        </w:tc>
      </w:tr>
    </w:tbl>
    <w:p w:rsidR="00000000" w:rsidRPr="00631138" w:rsidP="00631138">
      <w:pPr>
        <w:pStyle w:val="BodyText"/>
      </w:pPr>
    </w:p>
    <w:tbl>
      <w:tblPr>
        <w:tblW w:w="0" w:type="auto"/>
        <w:tblLayout w:type="fixed"/>
        <w:tblCellMar>
          <w:left w:w="62" w:type="dxa"/>
          <w:right w:w="62" w:type="dxa"/>
        </w:tblCellMar>
        <w:tblLook w:val="0000"/>
      </w:tblPr>
      <w:tblGrid>
        <w:gridCol w:w="1828"/>
        <w:gridCol w:w="2000"/>
        <w:gridCol w:w="4542"/>
      </w:tblGrid>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rPr>
                <w:rStyle w:val="SpecialBold"/>
              </w:rPr>
              <w:t>Concurrent assessment and relationship with other units</w:t>
            </w:r>
          </w:p>
        </w:tc>
        <w:tc>
          <w:tcPr>
            <w:tcW w:w="6542" w:type="dxa"/>
            <w:gridSpan w:val="2"/>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8.5)</w:t>
            </w:r>
          </w:p>
        </w:tc>
      </w:tr>
      <w:tr w:rsidTr="00631138">
        <w:tblPrEx>
          <w:tblW w:w="0" w:type="auto"/>
          <w:tblLayout w:type="fixed"/>
          <w:tblCellMar>
            <w:left w:w="62" w:type="dxa"/>
            <w:right w:w="62" w:type="dxa"/>
          </w:tblCellMar>
          <w:tblLook w:val="0000"/>
        </w:tblPrEx>
        <w:trPr>
          <w:trHeight w:val="361"/>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gridSpan w:val="2"/>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There are no recommended concurrent assessments with this unit, however in some cases efficiencies may be gained in terms of learning and assessment effort being concurrently managed with allied Competency Standard Units where listed.</w:t>
            </w:r>
          </w:p>
        </w:tc>
      </w:tr>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 xml:space="preserve">UEGNSG506A </w:t>
            </w:r>
          </w:p>
        </w:tc>
        <w:tc>
          <w:tcPr>
            <w:tcW w:w="4542"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Respond to emergencies for gas infrastructure</w:t>
            </w:r>
          </w:p>
        </w:tc>
      </w:tr>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MSS402061A</w:t>
            </w:r>
          </w:p>
        </w:tc>
        <w:tc>
          <w:tcPr>
            <w:tcW w:w="4542"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t>Use SCADA systems in operations</w:t>
            </w:r>
          </w:p>
        </w:tc>
      </w:tr>
      <w:tr w:rsidTr="006311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t xml:space="preserve">UEGNSG507A </w:t>
            </w:r>
          </w:p>
          <w:p w:rsidR="00000000">
            <w:pPr>
              <w:pStyle w:val="BodyText"/>
              <w:keepNext w:val="0"/>
              <w:keepLines w:val="0"/>
              <w:contextualSpacing w:val="0"/>
              <w:rPr>
                <w:rFonts w:ascii="Tahoma" w:hAnsi="Tahoma"/>
                <w:color w:val="000000"/>
                <w:sz w:val="20"/>
                <w:lang w:val="en-NZ"/>
              </w:rPr>
            </w:pPr>
          </w:p>
        </w:tc>
        <w:tc>
          <w:tcPr>
            <w:tcW w:w="4542"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t>Remotely monitor and operate flow control and pressure measuring and regulating devices for gas transmission</w:t>
            </w:r>
          </w:p>
        </w:tc>
      </w:tr>
    </w:tbl>
    <w:p w:rsidR="00000000" w:rsidRPr="00631138" w:rsidP="00631138">
      <w:pPr>
        <w:pStyle w:val="BodyText"/>
      </w:pPr>
    </w:p>
    <w:p w:rsidR="00000000" w:rsidRPr="00631138" w:rsidP="00631138">
      <w:pPr>
        <w:pStyle w:val="AllowPageBreak"/>
      </w:pPr>
    </w:p>
    <w:p w:rsidR="00000000" w:rsidRPr="00631138" w:rsidP="00631138">
      <w:pPr>
        <w:pStyle w:val="Heading1"/>
      </w:pPr>
      <w:bookmarkStart w:id="11" w:name="O_625666"/>
      <w:bookmarkEnd w:id="11"/>
      <w:r w:rsidRPr="00631138">
        <w:t>Range Stat</w:t>
      </w:r>
      <w:r w:rsidRPr="00631138">
        <w:t>ement</w:t>
      </w:r>
    </w:p>
    <w:tbl>
      <w:tblPr>
        <w:tblW w:w="0" w:type="auto"/>
        <w:tblLayout w:type="fixed"/>
        <w:tblCellMar>
          <w:left w:w="62" w:type="dxa"/>
          <w:right w:w="62" w:type="dxa"/>
        </w:tblCellMar>
        <w:tblLook w:val="0000"/>
      </w:tblPr>
      <w:tblGrid>
        <w:gridCol w:w="8398"/>
      </w:tblGrid>
      <w:tr w:rsidTr="00631138">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RANGE STATEMENT</w:t>
            </w:r>
          </w:p>
        </w:tc>
      </w:tr>
      <w:tr w:rsidTr="0063113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631138">
            <w:pPr>
              <w:pStyle w:val="BodyText"/>
              <w:rPr>
                <w:lang w:val="en-NZ"/>
              </w:rPr>
            </w:pPr>
            <w:r w:rsidRPr="00631138">
              <w:rPr>
                <w:rStyle w:val="SpecialBold"/>
              </w:rPr>
              <w:t>9)</w:t>
            </w:r>
            <w:r w:rsidRPr="00631138">
              <w:t xml:space="preserve"> </w:t>
            </w:r>
            <w:r w:rsidRPr="00631138">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63113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631138" w:rsidP="00631138">
            <w:pPr>
              <w:pStyle w:val="BodyText"/>
            </w:pPr>
            <w:r w:rsidRPr="00631138">
              <w:t>This Competency Standard Unit shall be demonstrated in relation to remotely checking and reporting on gas station conditions.</w:t>
            </w:r>
          </w:p>
          <w:p w:rsidR="00000000" w:rsidP="00631138">
            <w:pPr>
              <w:pStyle w:val="BodyText"/>
              <w:rPr>
                <w:lang w:val="en-NZ"/>
              </w:rPr>
            </w:pPr>
            <w:r w:rsidRPr="00631138">
              <w:t>The following constants and variables included in the element/Performance Criteria in this unit are fully described in the Defin</w:t>
            </w:r>
            <w:r w:rsidRPr="00631138">
              <w:t>itions Section of this volume and form an integral part of the Range Statement of this unit:</w:t>
            </w:r>
          </w:p>
        </w:tc>
      </w:tr>
      <w:tr w:rsidTr="0063113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631138">
            <w:pPr>
              <w:pStyle w:val="ListBullet"/>
              <w:rPr>
                <w:lang w:val="en-NZ"/>
              </w:rPr>
            </w:pPr>
            <w:r w:rsidRPr="00631138">
              <w:t xml:space="preserve">Tools and equipment </w:t>
            </w:r>
          </w:p>
        </w:tc>
      </w:tr>
      <w:tr w:rsidTr="00631138">
        <w:tblPrEx>
          <w:tblW w:w="0" w:type="auto"/>
          <w:tblLayout w:type="fixed"/>
          <w:tblCellMar>
            <w:left w:w="62" w:type="dxa"/>
            <w:right w:w="62" w:type="dxa"/>
          </w:tblCellMar>
          <w:tblLook w:val="0000"/>
        </w:tblPrEx>
        <w:trPr>
          <w:trHeight w:val="361"/>
        </w:trPr>
        <w:tc>
          <w:tcPr>
            <w:tcW w:w="8398" w:type="dxa"/>
            <w:tcBorders>
              <w:top w:val="nil"/>
              <w:left w:val="nil"/>
              <w:bottom w:val="nil"/>
              <w:right w:val="nil"/>
            </w:tcBorders>
            <w:tcMar>
              <w:top w:w="0" w:type="dxa"/>
              <w:left w:w="62" w:type="dxa"/>
              <w:bottom w:w="0" w:type="dxa"/>
              <w:right w:w="62" w:type="dxa"/>
            </w:tcMar>
          </w:tcPr>
          <w:p w:rsidR="00000000" w:rsidP="00631138">
            <w:pPr>
              <w:pStyle w:val="ListBullet"/>
              <w:rPr>
                <w:lang w:val="en-NZ"/>
              </w:rPr>
            </w:pPr>
            <w:r w:rsidRPr="00631138">
              <w:t>Maps and drawing</w:t>
            </w:r>
          </w:p>
        </w:tc>
      </w:tr>
      <w:tr w:rsidTr="0063113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631138">
            <w:pPr>
              <w:pStyle w:val="ListBullet"/>
              <w:rPr>
                <w:lang w:val="en-NZ"/>
              </w:rPr>
            </w:pPr>
            <w:r w:rsidRPr="00631138">
              <w:t>Established procedures</w:t>
            </w:r>
          </w:p>
        </w:tc>
      </w:tr>
      <w:tr w:rsidTr="0063113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631138">
            <w:pPr>
              <w:pStyle w:val="ListBullet"/>
              <w:rPr>
                <w:lang w:val="en-NZ"/>
              </w:rPr>
            </w:pPr>
            <w:r w:rsidRPr="00631138">
              <w:t>PPE and First Aid equipment</w:t>
            </w:r>
          </w:p>
        </w:tc>
      </w:tr>
      <w:tr w:rsidTr="0063113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631138" w:rsidP="00631138">
            <w:pPr>
              <w:pStyle w:val="ListBullet"/>
            </w:pPr>
            <w:r w:rsidRPr="00631138">
              <w:t>Operating conditions</w:t>
            </w:r>
          </w:p>
        </w:tc>
      </w:tr>
    </w:tbl>
    <w:p w:rsidR="00000000" w:rsidRPr="00631138" w:rsidP="00631138">
      <w:pPr>
        <w:pStyle w:val="BodyText"/>
      </w:pPr>
    </w:p>
    <w:p w:rsidR="00000000" w:rsidRPr="00631138" w:rsidP="00631138">
      <w:pPr>
        <w:pStyle w:val="AllowPageBreak"/>
      </w:pPr>
    </w:p>
    <w:p w:rsidR="00000000" w:rsidRPr="00631138" w:rsidP="00631138">
      <w:pPr>
        <w:pStyle w:val="Heading1"/>
      </w:pPr>
      <w:bookmarkStart w:id="12" w:name="O_625667"/>
      <w:bookmarkEnd w:id="12"/>
      <w:r w:rsidRPr="00631138">
        <w:t>Unit Sector(s)</w:t>
      </w:r>
    </w:p>
    <w:p w:rsidR="00000000" w:rsidRPr="00631138" w:rsidP="00631138">
      <w:pPr>
        <w:pStyle w:val="BodyText"/>
      </w:pPr>
      <w:r w:rsidRPr="00631138">
        <w:t>Gas Supply Industry</w:t>
      </w:r>
    </w:p>
    <w:p w:rsidR="00000000" w:rsidRPr="00631138" w:rsidP="00631138">
      <w:pPr>
        <w:pStyle w:val="AllowPageBreak"/>
      </w:pPr>
    </w:p>
    <w:p w:rsidR="00000000" w:rsidRPr="00631138" w:rsidP="00631138">
      <w:pPr>
        <w:pStyle w:val="Heading1"/>
      </w:pPr>
      <w:bookmarkStart w:id="13" w:name="O_625668"/>
      <w:bookmarkEnd w:id="13"/>
      <w:r w:rsidRPr="00631138">
        <w:t>Competency Field</w:t>
      </w:r>
    </w:p>
    <w:p w:rsidR="00000000" w:rsidRPr="00631138" w:rsidP="00631138">
      <w:pPr>
        <w:pStyle w:val="BodyText"/>
      </w:pPr>
      <w:r w:rsidRPr="00631138">
        <w:t>Transmission.</w:t>
      </w:r>
    </w:p>
    <w:p w:rsidR="00000000" w:rsidRPr="00631138" w:rsidP="00631138"/>
    <w:sectPr w:rsidSect="006311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38" w:rsidRPr="00457901" w:rsidP="004579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901" w:rsidP="006311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457901" w:rsidP="0063113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457901" w:rsidP="006311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38" w:rsidRPr="00457901" w:rsidP="004579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901" w:rsidRPr="002D2AF8" w:rsidP="00631138">
    <w:pPr>
      <w:pStyle w:val="Header"/>
      <w:framePr w:wrap="around"/>
    </w:pPr>
    <w:r>
      <w:fldChar w:fldCharType="begin"/>
    </w:r>
    <w:r>
      <w:instrText xml:space="preserve"> TITLE   \* MERGEFORMAT </w:instrText>
    </w:r>
    <w:r>
      <w:fldChar w:fldCharType="separate"/>
    </w:r>
    <w:r>
      <w:t>UEGNSG508A Remotely check and report on gas station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457901" w:rsidP="006311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48F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368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0E80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1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138"/>
    <w:pPr>
      <w:spacing w:before="360" w:after="60"/>
      <w:outlineLvl w:val="0"/>
    </w:pPr>
    <w:rPr>
      <w:sz w:val="32"/>
    </w:rPr>
  </w:style>
  <w:style w:type="paragraph" w:styleId="Heading2">
    <w:name w:val="heading 2"/>
    <w:basedOn w:val="HeadingBase"/>
    <w:next w:val="BodyText"/>
    <w:link w:val="Heading2Char"/>
    <w:qFormat/>
    <w:rsid w:val="00631138"/>
    <w:pPr>
      <w:keepLines/>
      <w:spacing w:before="240" w:after="120"/>
      <w:outlineLvl w:val="1"/>
    </w:pPr>
    <w:rPr>
      <w:sz w:val="28"/>
      <w:szCs w:val="40"/>
    </w:rPr>
  </w:style>
  <w:style w:type="paragraph" w:styleId="Heading3">
    <w:name w:val="heading 3"/>
    <w:basedOn w:val="HeadingBase"/>
    <w:next w:val="BodyText"/>
    <w:link w:val="Heading3Char"/>
    <w:qFormat/>
    <w:rsid w:val="00631138"/>
    <w:pPr>
      <w:spacing w:before="180" w:after="120"/>
      <w:outlineLvl w:val="2"/>
    </w:pPr>
    <w:rPr>
      <w:spacing w:val="-10"/>
      <w:kern w:val="32"/>
    </w:rPr>
  </w:style>
  <w:style w:type="paragraph" w:styleId="Heading4">
    <w:name w:val="heading 4"/>
    <w:basedOn w:val="HeadingBase"/>
    <w:next w:val="BodyText"/>
    <w:link w:val="Heading4Char"/>
    <w:qFormat/>
    <w:rsid w:val="00631138"/>
    <w:pPr>
      <w:spacing w:before="160" w:after="120"/>
      <w:outlineLvl w:val="3"/>
    </w:pPr>
    <w:rPr>
      <w:sz w:val="22"/>
    </w:rPr>
  </w:style>
  <w:style w:type="paragraph" w:styleId="Heading5">
    <w:name w:val="heading 5"/>
    <w:basedOn w:val="HeadingBase"/>
    <w:next w:val="Normal"/>
    <w:link w:val="Heading5Char"/>
    <w:qFormat/>
    <w:rsid w:val="00631138"/>
    <w:pPr>
      <w:spacing w:before="80"/>
      <w:outlineLvl w:val="4"/>
    </w:pPr>
    <w:rPr>
      <w:color w:val="918585"/>
      <w:sz w:val="20"/>
    </w:rPr>
  </w:style>
  <w:style w:type="paragraph" w:styleId="Heading6">
    <w:name w:val="heading 6"/>
    <w:basedOn w:val="HeadingBase"/>
    <w:next w:val="Normal"/>
    <w:link w:val="Heading6Char"/>
    <w:qFormat/>
    <w:rsid w:val="00631138"/>
    <w:pPr>
      <w:spacing w:before="60"/>
      <w:outlineLvl w:val="5"/>
    </w:pPr>
    <w:rPr>
      <w:color w:val="918585"/>
      <w:sz w:val="20"/>
    </w:rPr>
  </w:style>
  <w:style w:type="paragraph" w:styleId="Heading7">
    <w:name w:val="heading 7"/>
    <w:basedOn w:val="Normal"/>
    <w:next w:val="Normal"/>
    <w:link w:val="Heading7Char"/>
    <w:qFormat/>
    <w:rsid w:val="00631138"/>
    <w:pPr>
      <w:ind w:left="720"/>
      <w:outlineLvl w:val="6"/>
    </w:pPr>
    <w:rPr>
      <w:i/>
    </w:rPr>
  </w:style>
  <w:style w:type="paragraph" w:styleId="Heading8">
    <w:name w:val="heading 8"/>
    <w:basedOn w:val="Normal"/>
    <w:next w:val="Normal"/>
    <w:link w:val="Heading8Char"/>
    <w:qFormat/>
    <w:rsid w:val="00631138"/>
    <w:pPr>
      <w:ind w:left="720"/>
      <w:outlineLvl w:val="7"/>
    </w:pPr>
    <w:rPr>
      <w:i/>
    </w:rPr>
  </w:style>
  <w:style w:type="paragraph" w:styleId="Heading9">
    <w:name w:val="heading 9"/>
    <w:basedOn w:val="Normal"/>
    <w:next w:val="Normal"/>
    <w:link w:val="Heading9Char"/>
    <w:qFormat/>
    <w:rsid w:val="00631138"/>
    <w:pPr>
      <w:ind w:left="720"/>
      <w:outlineLvl w:val="8"/>
    </w:pPr>
    <w:rPr>
      <w:i/>
    </w:rPr>
  </w:style>
  <w:style w:type="character" w:default="1" w:styleId="DefaultParagraphFont">
    <w:name w:val="Default Paragraph Font"/>
    <w:uiPriority w:val="1"/>
    <w:unhideWhenUsed/>
    <w:rsid w:val="006311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138"/>
  </w:style>
  <w:style w:type="character" w:customStyle="1" w:styleId="Heading1Char">
    <w:name w:val="Heading 1 Char"/>
    <w:basedOn w:val="DefaultParagraphFont"/>
    <w:link w:val="Heading1"/>
    <w:rsid w:val="00631138"/>
    <w:rPr>
      <w:rFonts w:ascii="Times New Roman" w:eastAsia="Times New Roman" w:hAnsi="Times New Roman" w:cs="Times New Roman"/>
      <w:b/>
      <w:sz w:val="32"/>
      <w:szCs w:val="20"/>
      <w:lang w:eastAsia="en-US"/>
    </w:rPr>
  </w:style>
  <w:style w:type="paragraph" w:styleId="BodyText">
    <w:name w:val="Body Text"/>
    <w:basedOn w:val="Normal"/>
    <w:link w:val="BodyTextChar"/>
    <w:rsid w:val="006311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1138"/>
    <w:rPr>
      <w:rFonts w:ascii="Times New Roman" w:eastAsia="Times New Roman" w:hAnsi="Times New Roman" w:cs="Times New Roman"/>
      <w:sz w:val="24"/>
      <w:lang w:eastAsia="en-US"/>
    </w:rPr>
  </w:style>
  <w:style w:type="paragraph" w:styleId="ListBullet">
    <w:name w:val="List Bullet"/>
    <w:basedOn w:val="List"/>
    <w:rsid w:val="00631138"/>
    <w:pPr>
      <w:numPr>
        <w:numId w:val="13"/>
      </w:numPr>
      <w:tabs>
        <w:tab w:val="clear" w:pos="340"/>
      </w:tabs>
      <w:spacing w:before="40" w:after="40"/>
    </w:pPr>
  </w:style>
  <w:style w:type="character" w:customStyle="1" w:styleId="SpecialBold">
    <w:name w:val="Special Bold"/>
    <w:basedOn w:val="DefaultParagraphFont"/>
    <w:rsid w:val="00631138"/>
    <w:rPr>
      <w:b/>
      <w:spacing w:val="0"/>
    </w:rPr>
  </w:style>
  <w:style w:type="paragraph" w:styleId="ListBullet2">
    <w:name w:val="List Bullet 2"/>
    <w:basedOn w:val="List2"/>
    <w:rsid w:val="00631138"/>
    <w:pPr>
      <w:numPr>
        <w:numId w:val="14"/>
      </w:numPr>
      <w:tabs>
        <w:tab w:val="clear" w:pos="680"/>
      </w:tabs>
    </w:pPr>
  </w:style>
  <w:style w:type="character" w:styleId="Emphasis">
    <w:name w:val="Emphasis"/>
    <w:basedOn w:val="DefaultParagraphFont"/>
    <w:qFormat/>
    <w:rsid w:val="00631138"/>
    <w:rPr>
      <w:i/>
    </w:rPr>
  </w:style>
  <w:style w:type="paragraph" w:customStyle="1" w:styleId="SuperHeading">
    <w:name w:val="SuperHeading"/>
    <w:basedOn w:val="Normal"/>
    <w:rsid w:val="00631138"/>
    <w:pPr>
      <w:spacing w:before="240" w:after="120"/>
      <w:outlineLvl w:val="0"/>
    </w:pPr>
    <w:rPr>
      <w:rFonts w:ascii="Times New Roman" w:hAnsi="Times New Roman"/>
      <w:b/>
      <w:sz w:val="32"/>
    </w:rPr>
  </w:style>
  <w:style w:type="paragraph" w:customStyle="1" w:styleId="AllowPageBreak">
    <w:name w:val="AllowPageBreak"/>
    <w:rsid w:val="006311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11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1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1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1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1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1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1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138"/>
    <w:rPr>
      <w:rFonts w:ascii="Courier New" w:eastAsia="Times New Roman" w:hAnsi="Courier New" w:cs="Times New Roman"/>
      <w:i/>
      <w:szCs w:val="20"/>
      <w:lang w:eastAsia="en-US"/>
    </w:rPr>
  </w:style>
  <w:style w:type="paragraph" w:customStyle="1" w:styleId="HeadingBase">
    <w:name w:val="Heading Base"/>
    <w:rsid w:val="006311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138"/>
    <w:pPr>
      <w:tabs>
        <w:tab w:val="right" w:leader="dot" w:pos="9072"/>
      </w:tabs>
      <w:ind w:left="567"/>
    </w:pPr>
    <w:rPr>
      <w:szCs w:val="22"/>
    </w:rPr>
  </w:style>
  <w:style w:type="paragraph" w:customStyle="1" w:styleId="TOCBase">
    <w:name w:val="TOC Base"/>
    <w:rsid w:val="006311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138"/>
    <w:pPr>
      <w:tabs>
        <w:tab w:val="right" w:leader="dot" w:pos="9072"/>
      </w:tabs>
      <w:spacing w:before="40" w:after="40"/>
      <w:ind w:left="284"/>
    </w:pPr>
    <w:rPr>
      <w:rFonts w:ascii="Times New Roman" w:hAnsi="Times New Roman"/>
    </w:rPr>
  </w:style>
  <w:style w:type="paragraph" w:styleId="TOC1">
    <w:name w:val="toc 1"/>
    <w:basedOn w:val="TOCBase"/>
    <w:next w:val="Normal"/>
    <w:rsid w:val="006311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1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138"/>
    <w:rPr>
      <w:rFonts w:ascii="Times New Roman" w:eastAsia="Times New Roman" w:hAnsi="Times New Roman" w:cs="Times New Roman"/>
      <w:sz w:val="16"/>
      <w:lang w:eastAsia="en-US"/>
    </w:rPr>
  </w:style>
  <w:style w:type="paragraph" w:styleId="Title">
    <w:name w:val="Title"/>
    <w:basedOn w:val="HeadingBase"/>
    <w:link w:val="TitleChar"/>
    <w:qFormat/>
    <w:rsid w:val="00631138"/>
    <w:pPr>
      <w:spacing w:before="5040"/>
      <w:jc w:val="center"/>
    </w:pPr>
    <w:rPr>
      <w:sz w:val="48"/>
      <w:szCs w:val="72"/>
      <w:lang w:val="en-US"/>
    </w:rPr>
  </w:style>
  <w:style w:type="character" w:customStyle="1" w:styleId="TitleChar">
    <w:name w:val="Title Char"/>
    <w:basedOn w:val="DefaultParagraphFont"/>
    <w:link w:val="Title"/>
    <w:rsid w:val="006311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138"/>
    <w:pPr>
      <w:tabs>
        <w:tab w:val="left" w:pos="3600"/>
        <w:tab w:val="left" w:pos="3958"/>
      </w:tabs>
    </w:pPr>
  </w:style>
  <w:style w:type="paragraph" w:styleId="List">
    <w:name w:val="List"/>
    <w:basedOn w:val="BodyText"/>
    <w:next w:val="BodyText"/>
    <w:rsid w:val="00631138"/>
    <w:pPr>
      <w:tabs>
        <w:tab w:val="left" w:pos="340"/>
      </w:tabs>
      <w:spacing w:before="60" w:after="60"/>
      <w:ind w:left="340" w:hanging="340"/>
    </w:pPr>
  </w:style>
  <w:style w:type="paragraph" w:customStyle="1" w:styleId="Note">
    <w:name w:val="Note"/>
    <w:basedOn w:val="BodyText"/>
    <w:rsid w:val="006311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138"/>
    <w:pPr>
      <w:framePr w:wrap="auto" w:hAnchor="text" w:y="6049"/>
    </w:pPr>
    <w:rPr>
      <w:color w:val="000000"/>
      <w:sz w:val="40"/>
    </w:rPr>
  </w:style>
  <w:style w:type="paragraph" w:customStyle="1" w:styleId="TOCTitle">
    <w:name w:val="TOCTitle"/>
    <w:basedOn w:val="Heading1"/>
    <w:rsid w:val="00631138"/>
    <w:pPr>
      <w:spacing w:after="240"/>
      <w:jc w:val="center"/>
      <w:outlineLvl w:val="9"/>
    </w:pPr>
    <w:rPr>
      <w:caps/>
    </w:rPr>
  </w:style>
  <w:style w:type="paragraph" w:customStyle="1" w:styleId="Version">
    <w:name w:val="Version"/>
    <w:rsid w:val="006311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1138"/>
    <w:pPr>
      <w:keepNext w:val="0"/>
      <w:tabs>
        <w:tab w:val="right" w:pos="4176"/>
      </w:tabs>
      <w:ind w:left="198" w:hanging="198"/>
    </w:pPr>
    <w:rPr>
      <w:rFonts w:ascii="Garamond" w:hAnsi="Garamond"/>
    </w:rPr>
  </w:style>
  <w:style w:type="paragraph" w:styleId="IndexHeading">
    <w:name w:val="index heading"/>
    <w:basedOn w:val="Normal"/>
    <w:next w:val="Index1"/>
    <w:semiHidden/>
    <w:rsid w:val="00631138"/>
    <w:pPr>
      <w:spacing w:before="120" w:after="120"/>
    </w:pPr>
    <w:rPr>
      <w:rFonts w:ascii="Arial" w:hAnsi="Arial"/>
      <w:b/>
      <w:color w:val="918585"/>
      <w:sz w:val="24"/>
    </w:rPr>
  </w:style>
  <w:style w:type="paragraph" w:styleId="Header">
    <w:name w:val="header"/>
    <w:basedOn w:val="Normal"/>
    <w:link w:val="HeaderChar"/>
    <w:rsid w:val="006311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138"/>
    <w:rPr>
      <w:rFonts w:ascii="Times New Roman" w:eastAsia="Times New Roman" w:hAnsi="Times New Roman" w:cs="Times New Roman"/>
      <w:sz w:val="16"/>
      <w:szCs w:val="20"/>
      <w:lang w:val="en-GB" w:eastAsia="en-US"/>
    </w:rPr>
  </w:style>
  <w:style w:type="paragraph" w:customStyle="1" w:styleId="Chapter">
    <w:name w:val="Chapter"/>
    <w:basedOn w:val="Normal"/>
    <w:rsid w:val="00631138"/>
    <w:pPr>
      <w:spacing w:before="240"/>
    </w:pPr>
    <w:rPr>
      <w:rFonts w:ascii="Times New Roman" w:hAnsi="Times New Roman"/>
      <w:smallCaps/>
      <w:spacing w:val="80"/>
      <w:sz w:val="28"/>
    </w:rPr>
  </w:style>
  <w:style w:type="paragraph" w:customStyle="1" w:styleId="InChapter">
    <w:name w:val="InChapter"/>
    <w:basedOn w:val="Heading3"/>
    <w:rsid w:val="00631138"/>
    <w:pPr>
      <w:spacing w:after="240"/>
      <w:outlineLvl w:val="9"/>
    </w:pPr>
    <w:rPr>
      <w:noProof/>
    </w:rPr>
  </w:style>
  <w:style w:type="paragraph" w:styleId="Index2">
    <w:name w:val="index 2"/>
    <w:basedOn w:val="Normal"/>
    <w:next w:val="Normal"/>
    <w:semiHidden/>
    <w:rsid w:val="00631138"/>
    <w:pPr>
      <w:tabs>
        <w:tab w:val="right" w:pos="4176"/>
      </w:tabs>
      <w:ind w:left="568" w:hanging="284"/>
    </w:pPr>
    <w:rPr>
      <w:rFonts w:ascii="Garamond" w:hAnsi="Garamond"/>
    </w:rPr>
  </w:style>
  <w:style w:type="paragraph" w:customStyle="1" w:styleId="Byline">
    <w:name w:val="Byline"/>
    <w:rsid w:val="006311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138"/>
    <w:pPr>
      <w:tabs>
        <w:tab w:val="clear" w:pos="3600"/>
        <w:tab w:val="clear" w:pos="3958"/>
      </w:tabs>
      <w:jc w:val="right"/>
    </w:pPr>
  </w:style>
  <w:style w:type="paragraph" w:styleId="Caption">
    <w:name w:val="caption"/>
    <w:basedOn w:val="BodyText"/>
    <w:next w:val="Normal"/>
    <w:qFormat/>
    <w:rsid w:val="00631138"/>
    <w:pPr>
      <w:framePr w:w="2268" w:hSpace="181" w:vSpace="181" w:wrap="around" w:vAnchor="text" w:hAnchor="page" w:x="1135" w:y="285" w:anchorLock="1"/>
    </w:pPr>
    <w:rPr>
      <w:i/>
    </w:rPr>
  </w:style>
  <w:style w:type="paragraph" w:customStyle="1" w:styleId="MiniTOCTitle">
    <w:name w:val="MiniTOCTitle"/>
    <w:basedOn w:val="Heading4"/>
    <w:rsid w:val="00631138"/>
    <w:pPr>
      <w:spacing w:before="240"/>
      <w:outlineLvl w:val="9"/>
    </w:pPr>
    <w:rPr>
      <w:noProof/>
      <w:sz w:val="24"/>
    </w:rPr>
  </w:style>
  <w:style w:type="paragraph" w:customStyle="1" w:styleId="MiniTOCItem">
    <w:name w:val="MiniTOCItem"/>
    <w:basedOn w:val="ListBullet"/>
    <w:rsid w:val="00631138"/>
    <w:pPr>
      <w:numPr>
        <w:numId w:val="0"/>
      </w:numPr>
      <w:tabs>
        <w:tab w:val="right" w:leader="dot" w:pos="6521"/>
      </w:tabs>
      <w:spacing w:before="0" w:after="0"/>
    </w:pPr>
  </w:style>
  <w:style w:type="paragraph" w:customStyle="1" w:styleId="TOFTitle">
    <w:name w:val="TOFTitle"/>
    <w:basedOn w:val="TOCTitle"/>
    <w:rsid w:val="00631138"/>
  </w:style>
  <w:style w:type="paragraph" w:styleId="TableofFigures">
    <w:name w:val="table of figures"/>
    <w:basedOn w:val="Normal"/>
    <w:next w:val="Normal"/>
    <w:semiHidden/>
    <w:rsid w:val="00631138"/>
    <w:pPr>
      <w:tabs>
        <w:tab w:val="right" w:leader="dot" w:pos="9072"/>
      </w:tabs>
      <w:ind w:left="970" w:hanging="403"/>
    </w:pPr>
    <w:rPr>
      <w:rFonts w:ascii="Times New Roman" w:hAnsi="Times New Roman"/>
      <w:b/>
    </w:rPr>
  </w:style>
  <w:style w:type="paragraph" w:styleId="ListNumber">
    <w:name w:val="List Number"/>
    <w:basedOn w:val="List"/>
    <w:rsid w:val="00631138"/>
    <w:pPr>
      <w:numPr>
        <w:numId w:val="11"/>
      </w:numPr>
    </w:pPr>
  </w:style>
  <w:style w:type="character" w:customStyle="1" w:styleId="WingdingSymbols">
    <w:name w:val="Wingding Symbols"/>
    <w:rsid w:val="00631138"/>
    <w:rPr>
      <w:rFonts w:ascii="Wingdings" w:hAnsi="Wingdings"/>
    </w:rPr>
  </w:style>
  <w:style w:type="paragraph" w:customStyle="1" w:styleId="TableHeading">
    <w:name w:val="Table Heading"/>
    <w:basedOn w:val="HeadingBase"/>
    <w:rsid w:val="00631138"/>
    <w:pPr>
      <w:keepLines/>
      <w:pBdr>
        <w:bottom w:val="single" w:sz="6" w:space="1" w:color="918585"/>
      </w:pBdr>
      <w:spacing w:before="240"/>
    </w:pPr>
  </w:style>
  <w:style w:type="character" w:customStyle="1" w:styleId="HotSpot">
    <w:name w:val="HotSpot"/>
    <w:rsid w:val="00631138"/>
    <w:rPr>
      <w:color w:val="0033CC"/>
      <w:u w:val="none"/>
    </w:rPr>
  </w:style>
  <w:style w:type="paragraph" w:customStyle="1" w:styleId="BodyTextRight">
    <w:name w:val="Body Text Right"/>
    <w:basedOn w:val="BodyText"/>
    <w:rsid w:val="00631138"/>
    <w:pPr>
      <w:spacing w:before="0" w:after="0"/>
      <w:jc w:val="right"/>
    </w:pPr>
  </w:style>
  <w:style w:type="paragraph" w:styleId="Index3">
    <w:name w:val="index 3"/>
    <w:basedOn w:val="ListNumber2"/>
    <w:next w:val="Normal"/>
    <w:semiHidden/>
    <w:rsid w:val="00631138"/>
    <w:pPr>
      <w:numPr>
        <w:numId w:val="0"/>
      </w:numPr>
      <w:tabs>
        <w:tab w:val="right" w:leader="dot" w:pos="4176"/>
      </w:tabs>
    </w:pPr>
  </w:style>
  <w:style w:type="paragraph" w:styleId="ListNumber2">
    <w:name w:val="List Number 2"/>
    <w:basedOn w:val="List2"/>
    <w:rsid w:val="00631138"/>
    <w:pPr>
      <w:numPr>
        <w:numId w:val="10"/>
      </w:numPr>
      <w:tabs>
        <w:tab w:val="clear" w:pos="1060"/>
      </w:tabs>
    </w:pPr>
  </w:style>
  <w:style w:type="paragraph" w:customStyle="1" w:styleId="MarginNote">
    <w:name w:val="Margin Note"/>
    <w:basedOn w:val="BodyText"/>
    <w:rsid w:val="006311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1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1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138"/>
    <w:rPr>
      <w:sz w:val="32"/>
    </w:rPr>
  </w:style>
  <w:style w:type="paragraph" w:customStyle="1" w:styleId="HeadingProcedure">
    <w:name w:val="Heading Procedure"/>
    <w:basedOn w:val="HeadingBase"/>
    <w:next w:val="Normal"/>
    <w:rsid w:val="00631138"/>
    <w:pPr>
      <w:tabs>
        <w:tab w:val="left" w:pos="0"/>
      </w:tabs>
      <w:spacing w:before="120" w:after="60"/>
    </w:pPr>
    <w:rPr>
      <w:i/>
      <w:color w:val="918585"/>
      <w:sz w:val="22"/>
    </w:rPr>
  </w:style>
  <w:style w:type="paragraph" w:customStyle="1" w:styleId="TableBodyText">
    <w:name w:val="Table Body Text"/>
    <w:basedOn w:val="BodyText"/>
    <w:rsid w:val="00631138"/>
    <w:pPr>
      <w:spacing w:before="60" w:after="60"/>
    </w:pPr>
  </w:style>
  <w:style w:type="paragraph" w:styleId="ListContinue">
    <w:name w:val="List Continue"/>
    <w:basedOn w:val="List"/>
    <w:rsid w:val="00631138"/>
    <w:pPr>
      <w:ind w:firstLine="0"/>
    </w:pPr>
  </w:style>
  <w:style w:type="paragraph" w:customStyle="1" w:styleId="ListNote">
    <w:name w:val="List Note"/>
    <w:basedOn w:val="List"/>
    <w:rsid w:val="00631138"/>
    <w:pPr>
      <w:pBdr>
        <w:top w:val="single" w:sz="6" w:space="2" w:color="918585"/>
        <w:bottom w:val="single" w:sz="6" w:space="2" w:color="918585"/>
      </w:pBdr>
      <w:tabs>
        <w:tab w:val="left" w:pos="1021"/>
      </w:tabs>
      <w:ind w:firstLine="0"/>
    </w:pPr>
  </w:style>
  <w:style w:type="paragraph" w:customStyle="1" w:styleId="Warning">
    <w:name w:val="Warning"/>
    <w:basedOn w:val="BodyText"/>
    <w:rsid w:val="00631138"/>
    <w:pPr>
      <w:shd w:val="clear" w:color="auto" w:fill="D9D9D9"/>
      <w:tabs>
        <w:tab w:val="left" w:pos="992"/>
      </w:tabs>
      <w:ind w:left="119" w:right="119"/>
    </w:pPr>
    <w:rPr>
      <w:sz w:val="20"/>
    </w:rPr>
  </w:style>
  <w:style w:type="paragraph" w:customStyle="1" w:styleId="MarginIcons">
    <w:name w:val="Margin Icons"/>
    <w:basedOn w:val="BodyText"/>
    <w:rsid w:val="006311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138"/>
    <w:rPr>
      <w:rFonts w:ascii="Courier New" w:hAnsi="Courier New"/>
    </w:rPr>
  </w:style>
  <w:style w:type="paragraph" w:customStyle="1" w:styleId="NoteBullet">
    <w:name w:val="Note Bullet"/>
    <w:basedOn w:val="Note"/>
    <w:rsid w:val="00631138"/>
    <w:pPr>
      <w:tabs>
        <w:tab w:val="clear" w:pos="680"/>
      </w:tabs>
      <w:spacing w:before="60" w:after="60"/>
    </w:pPr>
  </w:style>
  <w:style w:type="paragraph" w:customStyle="1" w:styleId="SubHeading2">
    <w:name w:val="SubHeading2"/>
    <w:basedOn w:val="HeadingBase"/>
    <w:rsid w:val="00631138"/>
    <w:pPr>
      <w:spacing w:before="240" w:after="60"/>
    </w:pPr>
    <w:rPr>
      <w:sz w:val="20"/>
    </w:rPr>
  </w:style>
  <w:style w:type="paragraph" w:customStyle="1" w:styleId="SubHeading1">
    <w:name w:val="SubHeading1"/>
    <w:basedOn w:val="HeadingBase"/>
    <w:rsid w:val="00631138"/>
    <w:pPr>
      <w:spacing w:before="240" w:after="60"/>
    </w:pPr>
    <w:rPr>
      <w:color w:val="918585"/>
      <w:sz w:val="22"/>
    </w:rPr>
  </w:style>
  <w:style w:type="paragraph" w:customStyle="1" w:styleId="SideHeading">
    <w:name w:val="Side Heading"/>
    <w:basedOn w:val="HeadingBase"/>
    <w:rsid w:val="006311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138"/>
    <w:pPr>
      <w:numPr>
        <w:numId w:val="12"/>
      </w:numPr>
    </w:pPr>
  </w:style>
  <w:style w:type="paragraph" w:styleId="PlainText">
    <w:name w:val="Plain Text"/>
    <w:basedOn w:val="Normal"/>
    <w:link w:val="PlainTextChar"/>
    <w:rsid w:val="00631138"/>
    <w:rPr>
      <w:sz w:val="20"/>
    </w:rPr>
  </w:style>
  <w:style w:type="character" w:customStyle="1" w:styleId="PlainTextChar">
    <w:name w:val="Plain Text Char"/>
    <w:basedOn w:val="DefaultParagraphFont"/>
    <w:link w:val="PlainText"/>
    <w:rsid w:val="00631138"/>
    <w:rPr>
      <w:rFonts w:ascii="Courier New" w:eastAsia="Times New Roman" w:hAnsi="Courier New" w:cs="Times New Roman"/>
      <w:sz w:val="20"/>
      <w:szCs w:val="20"/>
      <w:lang w:eastAsia="en-US"/>
    </w:rPr>
  </w:style>
  <w:style w:type="character" w:customStyle="1" w:styleId="MenuOption">
    <w:name w:val="Menu Option"/>
    <w:basedOn w:val="DefaultParagraphFont"/>
    <w:rsid w:val="00631138"/>
    <w:rPr>
      <w:b/>
      <w:smallCaps/>
    </w:rPr>
  </w:style>
  <w:style w:type="paragraph" w:customStyle="1" w:styleId="TableListNumber">
    <w:name w:val="Table List Number"/>
    <w:basedOn w:val="ListNumber"/>
    <w:rsid w:val="00631138"/>
    <w:pPr>
      <w:numPr>
        <w:numId w:val="0"/>
      </w:numPr>
    </w:pPr>
  </w:style>
  <w:style w:type="paragraph" w:styleId="TOC4">
    <w:name w:val="toc 4"/>
    <w:basedOn w:val="TOCBase"/>
    <w:next w:val="Normal"/>
    <w:semiHidden/>
    <w:rsid w:val="00631138"/>
    <w:pPr>
      <w:tabs>
        <w:tab w:val="right" w:leader="dot" w:pos="9071"/>
      </w:tabs>
      <w:ind w:left="1701"/>
    </w:pPr>
  </w:style>
  <w:style w:type="paragraph" w:customStyle="1" w:styleId="ListAlpha">
    <w:name w:val="List Alpha"/>
    <w:basedOn w:val="List"/>
    <w:rsid w:val="00631138"/>
    <w:pPr>
      <w:numPr>
        <w:numId w:val="9"/>
      </w:numPr>
    </w:pPr>
  </w:style>
  <w:style w:type="paragraph" w:customStyle="1" w:styleId="ListAlpha2">
    <w:name w:val="List Alpha 2"/>
    <w:basedOn w:val="List2"/>
    <w:rsid w:val="00631138"/>
    <w:pPr>
      <w:numPr>
        <w:numId w:val="8"/>
      </w:numPr>
    </w:pPr>
  </w:style>
  <w:style w:type="paragraph" w:styleId="List2">
    <w:name w:val="List 2"/>
    <w:basedOn w:val="BodyText"/>
    <w:rsid w:val="00631138"/>
    <w:pPr>
      <w:tabs>
        <w:tab w:val="left" w:pos="680"/>
      </w:tabs>
      <w:spacing w:before="60" w:after="60"/>
      <w:ind w:left="680" w:hanging="340"/>
    </w:pPr>
  </w:style>
  <w:style w:type="paragraph" w:styleId="List3">
    <w:name w:val="List 3"/>
    <w:basedOn w:val="BodyText"/>
    <w:rsid w:val="00631138"/>
    <w:pPr>
      <w:tabs>
        <w:tab w:val="left" w:pos="1021"/>
      </w:tabs>
      <w:spacing w:before="60" w:after="60"/>
      <w:ind w:left="1020" w:hanging="340"/>
    </w:pPr>
  </w:style>
  <w:style w:type="paragraph" w:styleId="List4">
    <w:name w:val="List 4"/>
    <w:basedOn w:val="BodyText"/>
    <w:rsid w:val="00631138"/>
    <w:pPr>
      <w:tabs>
        <w:tab w:val="left" w:pos="1361"/>
      </w:tabs>
      <w:spacing w:before="60" w:after="60"/>
      <w:ind w:left="1361" w:hanging="340"/>
    </w:pPr>
  </w:style>
  <w:style w:type="paragraph" w:styleId="List5">
    <w:name w:val="List 5"/>
    <w:basedOn w:val="BodyText"/>
    <w:rsid w:val="00631138"/>
    <w:pPr>
      <w:tabs>
        <w:tab w:val="left" w:pos="1701"/>
      </w:tabs>
      <w:spacing w:before="60" w:after="60"/>
      <w:ind w:left="1701" w:hanging="340"/>
    </w:pPr>
  </w:style>
  <w:style w:type="paragraph" w:styleId="ListBullet3">
    <w:name w:val="List Bullet 3"/>
    <w:basedOn w:val="List3"/>
    <w:rsid w:val="00631138"/>
    <w:pPr>
      <w:numPr>
        <w:numId w:val="15"/>
      </w:numPr>
      <w:tabs>
        <w:tab w:val="clear" w:pos="1021"/>
      </w:tabs>
      <w:ind w:left="1037" w:hanging="357"/>
    </w:pPr>
  </w:style>
  <w:style w:type="paragraph" w:styleId="ListBullet4">
    <w:name w:val="List Bullet 4"/>
    <w:basedOn w:val="List4"/>
    <w:rsid w:val="00631138"/>
    <w:pPr>
      <w:numPr>
        <w:numId w:val="3"/>
      </w:numPr>
    </w:pPr>
  </w:style>
  <w:style w:type="paragraph" w:styleId="ListBullet5">
    <w:name w:val="List Bullet 5"/>
    <w:basedOn w:val="List5"/>
    <w:rsid w:val="00631138"/>
    <w:pPr>
      <w:numPr>
        <w:numId w:val="4"/>
      </w:numPr>
    </w:pPr>
  </w:style>
  <w:style w:type="paragraph" w:styleId="ListContinue2">
    <w:name w:val="List Continue 2"/>
    <w:basedOn w:val="List2"/>
    <w:rsid w:val="00631138"/>
    <w:pPr>
      <w:ind w:firstLine="0"/>
    </w:pPr>
  </w:style>
  <w:style w:type="paragraph" w:styleId="ListContinue3">
    <w:name w:val="List Continue 3"/>
    <w:basedOn w:val="List3"/>
    <w:rsid w:val="00631138"/>
    <w:pPr>
      <w:ind w:left="1021" w:firstLine="0"/>
    </w:pPr>
  </w:style>
  <w:style w:type="paragraph" w:styleId="ListContinue4">
    <w:name w:val="List Continue 4"/>
    <w:basedOn w:val="List4"/>
    <w:rsid w:val="00631138"/>
    <w:pPr>
      <w:ind w:firstLine="0"/>
    </w:pPr>
  </w:style>
  <w:style w:type="paragraph" w:styleId="ListContinue5">
    <w:name w:val="List Continue 5"/>
    <w:basedOn w:val="List5"/>
    <w:rsid w:val="00631138"/>
    <w:pPr>
      <w:ind w:firstLine="0"/>
    </w:pPr>
  </w:style>
  <w:style w:type="paragraph" w:styleId="ListNumber3">
    <w:name w:val="List Number 3"/>
    <w:basedOn w:val="List3"/>
    <w:rsid w:val="00631138"/>
    <w:pPr>
      <w:numPr>
        <w:numId w:val="5"/>
      </w:numPr>
    </w:pPr>
  </w:style>
  <w:style w:type="paragraph" w:styleId="ListNumber4">
    <w:name w:val="List Number 4"/>
    <w:basedOn w:val="List4"/>
    <w:rsid w:val="00631138"/>
    <w:pPr>
      <w:numPr>
        <w:numId w:val="6"/>
      </w:numPr>
    </w:pPr>
  </w:style>
  <w:style w:type="paragraph" w:styleId="ListNumber5">
    <w:name w:val="List Number 5"/>
    <w:basedOn w:val="List5"/>
    <w:rsid w:val="00631138"/>
    <w:pPr>
      <w:numPr>
        <w:numId w:val="7"/>
      </w:numPr>
    </w:pPr>
  </w:style>
  <w:style w:type="paragraph" w:styleId="BlockText">
    <w:name w:val="Block Text"/>
    <w:basedOn w:val="Normal"/>
    <w:rsid w:val="00631138"/>
    <w:pPr>
      <w:spacing w:after="120"/>
      <w:ind w:left="1440" w:right="1440"/>
    </w:pPr>
  </w:style>
  <w:style w:type="character" w:customStyle="1" w:styleId="Subscript">
    <w:name w:val="Subscript"/>
    <w:basedOn w:val="DefaultParagraphFont"/>
    <w:rsid w:val="00631138"/>
    <w:rPr>
      <w:sz w:val="16"/>
      <w:vertAlign w:val="subscript"/>
    </w:rPr>
  </w:style>
  <w:style w:type="character" w:customStyle="1" w:styleId="Superscript">
    <w:name w:val="Superscript"/>
    <w:basedOn w:val="DefaultParagraphFont"/>
    <w:rsid w:val="00631138"/>
    <w:rPr>
      <w:sz w:val="16"/>
      <w:vertAlign w:val="superscript"/>
    </w:rPr>
  </w:style>
  <w:style w:type="character" w:customStyle="1" w:styleId="Symbols">
    <w:name w:val="Symbols"/>
    <w:basedOn w:val="DefaultParagraphFont"/>
    <w:rsid w:val="00631138"/>
    <w:rPr>
      <w:rFonts w:ascii="Symbol" w:hAnsi="Symbol"/>
    </w:rPr>
  </w:style>
  <w:style w:type="character" w:customStyle="1" w:styleId="MenuOptions">
    <w:name w:val="Menu Options"/>
    <w:basedOn w:val="DefaultParagraphFont"/>
    <w:rsid w:val="00631138"/>
    <w:rPr>
      <w:rFonts w:ascii="Arial Narrow" w:hAnsi="Arial Narrow"/>
      <w:smallCaps/>
    </w:rPr>
  </w:style>
  <w:style w:type="character" w:customStyle="1" w:styleId="Buttons">
    <w:name w:val="Buttons"/>
    <w:basedOn w:val="DefaultParagraphFont"/>
    <w:rsid w:val="00631138"/>
    <w:rPr>
      <w:b/>
    </w:rPr>
  </w:style>
  <w:style w:type="character" w:customStyle="1" w:styleId="Underlined">
    <w:name w:val="Underlined"/>
    <w:basedOn w:val="DefaultParagraphFont"/>
    <w:rsid w:val="00631138"/>
    <w:rPr>
      <w:u w:val="single"/>
    </w:rPr>
  </w:style>
  <w:style w:type="paragraph" w:customStyle="1" w:styleId="TableBodyTextRight">
    <w:name w:val="Table Body Text Right"/>
    <w:basedOn w:val="TableBodyText"/>
    <w:rsid w:val="00631138"/>
    <w:pPr>
      <w:widowControl w:val="0"/>
      <w:autoSpaceDE w:val="0"/>
      <w:autoSpaceDN w:val="0"/>
      <w:adjustRightInd w:val="0"/>
      <w:jc w:val="right"/>
    </w:pPr>
    <w:rPr>
      <w:rFonts w:cs="Arial"/>
      <w:szCs w:val="18"/>
    </w:rPr>
  </w:style>
  <w:style w:type="paragraph" w:customStyle="1" w:styleId="CopyrightText">
    <w:name w:val="Copyright Text"/>
    <w:basedOn w:val="BodyText"/>
    <w:rsid w:val="00631138"/>
    <w:rPr>
      <w:sz w:val="18"/>
    </w:rPr>
  </w:style>
  <w:style w:type="paragraph" w:customStyle="1" w:styleId="BodySmallRight">
    <w:name w:val="Body Small Right"/>
    <w:basedOn w:val="BodyTextRight"/>
    <w:rsid w:val="00631138"/>
    <w:rPr>
      <w:sz w:val="18"/>
      <w:szCs w:val="18"/>
    </w:rPr>
  </w:style>
  <w:style w:type="paragraph" w:customStyle="1" w:styleId="MarginEdition">
    <w:name w:val="Margin Edition"/>
    <w:basedOn w:val="MarginNote"/>
    <w:rsid w:val="00631138"/>
    <w:pPr>
      <w:spacing w:before="0" w:after="0"/>
    </w:pPr>
    <w:rPr>
      <w:rFonts w:ascii="Times New Roman" w:hAnsi="Times New Roman"/>
      <w:color w:val="999999"/>
    </w:rPr>
  </w:style>
  <w:style w:type="paragraph" w:customStyle="1" w:styleId="Spacer">
    <w:name w:val="Spacer"/>
    <w:basedOn w:val="Normal"/>
    <w:rsid w:val="00631138"/>
    <w:rPr>
      <w:sz w:val="2"/>
      <w:szCs w:val="2"/>
    </w:rPr>
  </w:style>
  <w:style w:type="character" w:customStyle="1" w:styleId="Small">
    <w:name w:val="Small"/>
    <w:basedOn w:val="DefaultParagraphFont"/>
    <w:rsid w:val="00631138"/>
    <w:rPr>
      <w:sz w:val="16"/>
    </w:rPr>
  </w:style>
  <w:style w:type="paragraph" w:customStyle="1" w:styleId="WideTable">
    <w:name w:val="Wide Table"/>
    <w:basedOn w:val="Normal"/>
    <w:rsid w:val="00631138"/>
    <w:pPr>
      <w:ind w:left="-1418"/>
    </w:pPr>
    <w:rPr>
      <w:sz w:val="2"/>
      <w:szCs w:val="2"/>
    </w:rPr>
  </w:style>
  <w:style w:type="character" w:styleId="PageNumber">
    <w:name w:val="page number"/>
    <w:basedOn w:val="DefaultParagraphFont"/>
    <w:rsid w:val="00631138"/>
  </w:style>
  <w:style w:type="paragraph" w:styleId="Quote">
    <w:name w:val="Quote"/>
    <w:basedOn w:val="Heading1"/>
    <w:link w:val="QuoteChar"/>
    <w:qFormat/>
    <w:rsid w:val="00631138"/>
    <w:rPr>
      <w:b w:val="0"/>
      <w:sz w:val="72"/>
      <w:szCs w:val="72"/>
      <w:lang w:val="en-NZ"/>
    </w:rPr>
  </w:style>
  <w:style w:type="character" w:customStyle="1" w:styleId="QuoteChar">
    <w:name w:val="Quote Char"/>
    <w:basedOn w:val="DefaultParagraphFont"/>
    <w:link w:val="Quote"/>
    <w:rsid w:val="006311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138"/>
    <w:pPr>
      <w:pageBreakBefore/>
    </w:pPr>
  </w:style>
  <w:style w:type="paragraph" w:customStyle="1" w:styleId="Border">
    <w:name w:val="Border"/>
    <w:basedOn w:val="Normal"/>
    <w:qFormat/>
    <w:rsid w:val="006311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138"/>
    <w:rPr>
      <w:b/>
      <w:bCs/>
      <w:i/>
      <w:iCs/>
      <w:color w:val="auto"/>
    </w:rPr>
  </w:style>
  <w:style w:type="paragraph" w:styleId="IntenseQuote">
    <w:name w:val="Intense Quote"/>
    <w:basedOn w:val="Normal"/>
    <w:next w:val="Normal"/>
    <w:link w:val="IntenseQuoteChar"/>
    <w:uiPriority w:val="30"/>
    <w:qFormat/>
    <w:rsid w:val="006311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1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138"/>
    <w:rPr>
      <w:smallCaps/>
      <w:color w:val="auto"/>
      <w:u w:val="single"/>
    </w:rPr>
  </w:style>
  <w:style w:type="character" w:styleId="IntenseReference">
    <w:name w:val="Intense Reference"/>
    <w:basedOn w:val="DefaultParagraphFont"/>
    <w:uiPriority w:val="32"/>
    <w:qFormat/>
    <w:rsid w:val="00631138"/>
    <w:rPr>
      <w:b/>
      <w:bCs/>
      <w:smallCaps/>
      <w:color w:val="auto"/>
      <w:spacing w:val="5"/>
      <w:u w:val="single"/>
    </w:rPr>
  </w:style>
  <w:style w:type="paragraph" w:customStyle="1" w:styleId="2ColumnHeading">
    <w:name w:val="2Column Heading"/>
    <w:basedOn w:val="BodyText"/>
    <w:qFormat/>
    <w:rsid w:val="00631138"/>
    <w:pPr>
      <w:spacing w:after="60"/>
      <w:ind w:left="-2268"/>
    </w:pPr>
    <w:rPr>
      <w:b/>
    </w:rPr>
  </w:style>
  <w:style w:type="paragraph" w:customStyle="1" w:styleId="Heading1TOC">
    <w:name w:val="Heading1 TOC"/>
    <w:basedOn w:val="Normal"/>
    <w:qFormat/>
    <w:rsid w:val="00631138"/>
    <w:pPr>
      <w:spacing w:before="240" w:after="120"/>
    </w:pPr>
    <w:rPr>
      <w:rFonts w:ascii="Times New Roman" w:hAnsi="Times New Roman"/>
      <w:b/>
      <w:sz w:val="32"/>
    </w:rPr>
  </w:style>
  <w:style w:type="paragraph" w:customStyle="1" w:styleId="Heading2TOC">
    <w:name w:val="Heading2 TOC"/>
    <w:basedOn w:val="Normal"/>
    <w:qFormat/>
    <w:rsid w:val="00631138"/>
    <w:pPr>
      <w:spacing w:before="240" w:after="60"/>
    </w:pPr>
    <w:rPr>
      <w:rFonts w:ascii="Times New Roman" w:hAnsi="Times New Roman"/>
      <w:b/>
      <w:sz w:val="28"/>
    </w:rPr>
  </w:style>
  <w:style w:type="character" w:customStyle="1" w:styleId="Underline">
    <w:name w:val="Underline"/>
    <w:basedOn w:val="DefaultParagraphFont"/>
    <w:qFormat/>
    <w:rsid w:val="00631138"/>
    <w:rPr>
      <w:u w:val="single"/>
    </w:rPr>
  </w:style>
  <w:style w:type="character" w:customStyle="1" w:styleId="BoldandItalics">
    <w:name w:val="Bold and Italics"/>
    <w:qFormat/>
    <w:rsid w:val="00631138"/>
    <w:rPr>
      <w:b/>
      <w:i/>
      <w:u w:val="none"/>
    </w:rPr>
  </w:style>
  <w:style w:type="paragraph" w:styleId="BalloonText">
    <w:name w:val="Balloon Text"/>
    <w:basedOn w:val="Normal"/>
    <w:link w:val="BalloonTextChar"/>
    <w:rsid w:val="00631138"/>
    <w:rPr>
      <w:rFonts w:ascii="Tahoma" w:hAnsi="Tahoma" w:cs="Tahoma"/>
      <w:sz w:val="16"/>
      <w:szCs w:val="16"/>
    </w:rPr>
  </w:style>
  <w:style w:type="character" w:customStyle="1" w:styleId="BalloonTextChar">
    <w:name w:val="Balloon Text Char"/>
    <w:basedOn w:val="DefaultParagraphFont"/>
    <w:link w:val="BalloonText"/>
    <w:rsid w:val="006311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1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11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138"/>
    <w:rPr>
      <w:b/>
      <w:color w:val="660033"/>
      <w:spacing w:val="0"/>
    </w:rPr>
  </w:style>
  <w:style w:type="paragraph" w:customStyle="1" w:styleId="Nameditemlist">
    <w:name w:val="Named item list"/>
    <w:basedOn w:val="BodyText"/>
    <w:qFormat/>
    <w:rsid w:val="006311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2521</Words>
  <Characters>15699</Characters>
  <Application>Microsoft Office Word</Application>
  <DocSecurity>0</DocSecurity>
  <Lines>617</Lines>
  <Paragraphs>259</Paragraphs>
  <ScaleCrop>false</ScaleCrop>
  <Company>Author-it Software Corporation Ltd.</Company>
  <LinksUpToDate>false</LinksUpToDate>
  <CharactersWithSpaces>18078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UEGNSG508A Remotely check and report on gas station conditions</dc:title>
  <dc:subject>Approved</dc:subject>
  <dc:creator>E-Oz Training Standards</dc:creator>
  <cp:keywords>Release 1</cp:keywords>
  <dc:description>Review Date: 12 April 2008</dc:description>
  <cp:lastModifiedBy>HSD_TPCMSd.prod</cp:lastModifiedBy>
  <cp:revision>3</cp:revision>
  <dcterms:created xsi:type="dcterms:W3CDTF">2014-03-13T15:18:53Z</dcterms:created>
  <dcterms:modified xsi:type="dcterms:W3CDTF">2014-03-13T03:46:00Z</dcterms:modified>
</cp:coreProperties>
</file>