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406" w:rsidP="00DA3406">
      <w:pPr>
        <w:pStyle w:val="Title"/>
      </w:pPr>
      <w:r>
        <w:fldChar w:fldCharType="begin"/>
      </w:r>
      <w:r>
        <w:instrText xml:space="preserve"> TITLE   \* MERGEFORMAT </w:instrText>
      </w:r>
      <w:r>
        <w:fldChar w:fldCharType="separate"/>
      </w:r>
      <w:r>
        <w:t>UEGNSG411A Maintain cathodic protection systems</w:t>
      </w:r>
      <w:r>
        <w:fldChar w:fldCharType="end"/>
      </w:r>
    </w:p>
    <w:p w:rsidR="00DA3406" w:rsidP="00DA3406">
      <w:pPr>
        <w:pStyle w:val="Version"/>
        <w:sectPr w:rsidSect="00B20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8D6" w:rsidP="00B208D6">
      <w:pPr>
        <w:pStyle w:val="SuperHeading"/>
      </w:pPr>
      <w:r w:rsidRPr="00B208D6">
        <w:t>UEGNSG411A Maintain cathodic protection systems</w:t>
      </w:r>
    </w:p>
    <w:p w:rsidR="00000000" w:rsidRPr="00B208D6" w:rsidP="00B208D6">
      <w:pPr>
        <w:pStyle w:val="Heading1"/>
      </w:pPr>
      <w:bookmarkStart w:id="1" w:name="O_625568"/>
      <w:bookmarkEnd w:id="1"/>
      <w:r w:rsidRPr="00B208D6">
        <w:t>Modification History</w:t>
      </w:r>
    </w:p>
    <w:p w:rsidR="00000000" w:rsidRPr="00B208D6" w:rsidP="00B208D6">
      <w:pPr>
        <w:pStyle w:val="BodyText"/>
      </w:pPr>
      <w:r w:rsidRPr="00B208D6">
        <w:t>This unit replaces UEGNSG401B Maintain cathodic protection systems</w:t>
      </w:r>
    </w:p>
    <w:p w:rsidR="00000000" w:rsidRPr="00B208D6" w:rsidP="00B208D6">
      <w:pPr>
        <w:pStyle w:val="AllowPageBreak"/>
      </w:pPr>
    </w:p>
    <w:p w:rsidR="00000000" w:rsidRPr="00B208D6" w:rsidP="00B208D6">
      <w:pPr>
        <w:pStyle w:val="Heading1"/>
      </w:pPr>
      <w:bookmarkStart w:id="2" w:name="O_625569"/>
      <w:bookmarkEnd w:id="2"/>
      <w:r w:rsidRPr="00B208D6">
        <w:t>Unit Descriptor</w:t>
      </w:r>
    </w:p>
    <w:tbl>
      <w:tblPr>
        <w:tblW w:w="0" w:type="auto"/>
        <w:tblLayout w:type="fixed"/>
        <w:tblCellMar>
          <w:left w:w="62" w:type="dxa"/>
          <w:right w:w="62" w:type="dxa"/>
        </w:tblCellMar>
        <w:tblLook w:val="0000"/>
      </w:tblPr>
      <w:tblGrid>
        <w:gridCol w:w="2638"/>
        <w:gridCol w:w="5760"/>
      </w:tblGrid>
      <w:tr w:rsidTr="00B208D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1) Scope:</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208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1.1) Descriptor</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This unit covers maintaining cathodic protection (CP) systems to prevent corrosio</w:t>
            </w:r>
            <w:r w:rsidRPr="00B208D6">
              <w:t xml:space="preserve">n of steel gas pipelines in accordance with relevant legislation, code, regulations and established procedures. </w:t>
            </w:r>
          </w:p>
          <w:p w:rsidR="00000000" w:rsidRPr="00B208D6" w:rsidP="00B208D6">
            <w:pPr>
              <w:pStyle w:val="BodyText"/>
            </w:pPr>
          </w:p>
          <w:p w:rsidR="00000000" w:rsidRPr="00B208D6" w:rsidP="00B208D6">
            <w:pPr>
              <w:pStyle w:val="BodyText"/>
            </w:pPr>
            <w:r w:rsidRPr="00B208D6">
              <w:t xml:space="preserve">It encompasses the types of cathodic protection faults, as well as the location and the type of electrical equipment used, testing procedures </w:t>
            </w:r>
            <w:r w:rsidRPr="00B208D6">
              <w:t>and related maintenance requirements.</w:t>
            </w:r>
          </w:p>
        </w:tc>
      </w:tr>
    </w:tbl>
    <w:p w:rsidR="00DA3406" w:rsidP="00B208D6">
      <w:pPr>
        <w:pStyle w:val="BodyText"/>
      </w:pPr>
    </w:p>
    <w:p w:rsidR="00DA3406" w:rsidP="00B208D6">
      <w:pPr>
        <w:pStyle w:val="BodyText"/>
      </w:pPr>
    </w:p>
    <w:p w:rsidR="00000000" w:rsidRPr="00B208D6" w:rsidP="00B208D6">
      <w:pPr>
        <w:pStyle w:val="Heading1"/>
      </w:pPr>
      <w:bookmarkStart w:id="3" w:name="O_625570"/>
      <w:bookmarkEnd w:id="3"/>
      <w:r w:rsidRPr="00B208D6">
        <w:t>Application of the Unit</w:t>
      </w:r>
    </w:p>
    <w:tbl>
      <w:tblPr>
        <w:tblW w:w="0" w:type="auto"/>
        <w:tblLayout w:type="fixed"/>
        <w:tblCellMar>
          <w:left w:w="62" w:type="dxa"/>
          <w:right w:w="62" w:type="dxa"/>
        </w:tblCellMar>
        <w:tblLook w:val="0000"/>
      </w:tblPr>
      <w:tblGrid>
        <w:gridCol w:w="2610"/>
        <w:gridCol w:w="5699"/>
      </w:tblGrid>
      <w:tr w:rsidTr="00B208D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2)</w:t>
            </w:r>
          </w:p>
        </w:tc>
      </w:tr>
      <w:tr w:rsidTr="00B208D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This competency standard shall apply to gas transmission and distribution pipelines, subject to all Workplace Health and Safety (WHS) /Occupational Health and Safety (OHS) and duty of care requirements being met for the workplace.</w:t>
            </w:r>
          </w:p>
          <w:p w:rsidR="00000000" w:rsidRPr="00B208D6" w:rsidP="00B208D6">
            <w:pPr>
              <w:pStyle w:val="BodyText"/>
            </w:pPr>
          </w:p>
          <w:p w:rsidR="00000000" w:rsidRPr="00B208D6" w:rsidP="00B208D6">
            <w:pPr>
              <w:pStyle w:val="BodyText"/>
            </w:pPr>
            <w:r w:rsidRPr="00B208D6">
              <w:t>This unit is intended as</w:t>
            </w:r>
            <w:r w:rsidRPr="00B208D6">
              <w:t xml:space="preserve"> an AQF 3 competency for new and existing workers in the gas industry. It is suitable for employment-based programs under an approved contract of training.</w:t>
            </w:r>
          </w:p>
        </w:tc>
      </w:tr>
    </w:tbl>
    <w:p w:rsidR="00DA3406" w:rsidP="00B208D6">
      <w:pPr>
        <w:pStyle w:val="BodyText"/>
      </w:pPr>
    </w:p>
    <w:p w:rsidR="00DA3406" w:rsidP="00B208D6">
      <w:pPr>
        <w:pStyle w:val="BodyText"/>
      </w:pPr>
    </w:p>
    <w:p w:rsidR="00000000" w:rsidRPr="00B208D6" w:rsidP="00B208D6">
      <w:pPr>
        <w:pStyle w:val="Heading1"/>
      </w:pPr>
      <w:bookmarkStart w:id="4" w:name="O_625571"/>
      <w:bookmarkEnd w:id="4"/>
      <w:r w:rsidRPr="00B208D6">
        <w:t>Licensing/Regulatory Information</w:t>
      </w:r>
    </w:p>
    <w:tbl>
      <w:tblPr>
        <w:tblW w:w="0" w:type="auto"/>
        <w:tblLayout w:type="fixed"/>
        <w:tblCellMar>
          <w:left w:w="62" w:type="dxa"/>
          <w:right w:w="62" w:type="dxa"/>
        </w:tblCellMar>
        <w:tblLook w:val="0000"/>
      </w:tblPr>
      <w:tblGrid>
        <w:gridCol w:w="2638"/>
        <w:gridCol w:w="5760"/>
      </w:tblGrid>
      <w:tr w:rsidTr="00B208D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 xml:space="preserve">3) </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208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 xml:space="preserve">During Training: </w:t>
            </w:r>
          </w:p>
          <w:p w:rsidR="00000000" w:rsidRPr="00B208D6" w:rsidP="00B208D6">
            <w:pPr>
              <w:pStyle w:val="BodyText"/>
            </w:pPr>
            <w:r w:rsidRPr="00B208D6">
              <w:t xml:space="preserve">Competency development activities are subject to regulations directly related to licensing, workplace health and safety/occupational health and safety and where applicable contracts of training such as apprenticeships. </w:t>
            </w:r>
          </w:p>
          <w:p w:rsidR="00000000" w:rsidRPr="00B208D6" w:rsidP="00B208D6">
            <w:pPr>
              <w:pStyle w:val="BodyText"/>
            </w:pPr>
          </w:p>
          <w:p w:rsidR="00000000" w:rsidRPr="00B208D6" w:rsidP="00B208D6">
            <w:pPr>
              <w:pStyle w:val="BodyText"/>
            </w:pPr>
            <w:r w:rsidRPr="00B208D6">
              <w:rPr>
                <w:rStyle w:val="SpecialBold"/>
              </w:rPr>
              <w:t>In the workplace:</w:t>
            </w:r>
          </w:p>
          <w:p w:rsidR="00000000" w:rsidRPr="00B208D6" w:rsidP="00B208D6">
            <w:pPr>
              <w:pStyle w:val="BodyText"/>
            </w:pPr>
            <w:r w:rsidRPr="00B208D6">
              <w:t>The application o</w:t>
            </w:r>
            <w:r w:rsidRPr="00B208D6">
              <w:t>f the skills and knowledge described in this unit require a license to practice in the workplace where work is carried out on electrical equipment or installations which are designed to operate at voltages greater than 50 V a.c. or 120 V d.c.</w:t>
            </w:r>
          </w:p>
          <w:p w:rsidR="00000000" w:rsidRPr="00B208D6" w:rsidP="00B208D6">
            <w:pPr>
              <w:pStyle w:val="BodyText"/>
            </w:pPr>
          </w:p>
          <w:p w:rsidR="00000000" w:rsidRPr="00B208D6" w:rsidP="00B208D6">
            <w:pPr>
              <w:pStyle w:val="BodyText"/>
            </w:pPr>
            <w:r w:rsidRPr="00B208D6">
              <w:t>The skills a</w:t>
            </w:r>
            <w:r w:rsidRPr="00B208D6">
              <w:t>nd knowledge described in this unit are also subject to licence regulation directly related to Workplace/Occupational Health and Safety, gas/electricity/water industry safety and compliance, industrial relations, environmental protection, telecommunication</w:t>
            </w:r>
            <w:r w:rsidRPr="00B208D6">
              <w:t xml:space="preserve">s, anti-discrimination and training. </w:t>
            </w:r>
          </w:p>
          <w:p w:rsidR="00000000" w:rsidRPr="00B208D6" w:rsidP="00B208D6">
            <w:pPr>
              <w:pStyle w:val="BodyText"/>
            </w:pPr>
          </w:p>
          <w:p w:rsidR="00000000" w:rsidRPr="00B208D6" w:rsidP="00B208D6">
            <w:pPr>
              <w:pStyle w:val="BodyText"/>
            </w:pPr>
            <w:r w:rsidRPr="00B208D6">
              <w:t xml:space="preserve">Note: </w:t>
            </w:r>
          </w:p>
          <w:p w:rsidR="00000000" w:rsidRPr="00B208D6" w:rsidP="00B208D6">
            <w:pPr>
              <w:pStyle w:val="BodyText"/>
            </w:pPr>
            <w:r w:rsidRPr="00B208D6">
              <w:t>Other conditions may apply under State and Territory legislative and regulatory requirements, for example:</w:t>
            </w:r>
          </w:p>
          <w:p w:rsidR="00000000" w:rsidRPr="00B208D6" w:rsidP="00B208D6">
            <w:pPr>
              <w:pStyle w:val="ListNumber2"/>
            </w:pPr>
            <w:r w:rsidRPr="00B208D6">
              <w:t>Compliance with permits may be required in various jurisdictions and typically rela</w:t>
            </w:r>
            <w:r w:rsidRPr="00B208D6">
              <w:t xml:space="preserve">tes to the operation of plant, machinery and equipment such as elevating work platforms, powder operated fixing tools, power operated tools, vehicles, road signage and traffic control, lifting equipment. </w:t>
            </w:r>
            <w:r w:rsidRPr="00B208D6">
              <w:br/>
              <w:t>Permits may also be required for some work environm</w:t>
            </w:r>
            <w:r w:rsidRPr="00B208D6">
              <w:t>ents such as hazardous areas, confined spaces, working aloft, near live electrical devices, site rehabilitation.</w:t>
            </w:r>
          </w:p>
          <w:p w:rsidR="00000000" w:rsidRPr="00B208D6" w:rsidP="00B208D6">
            <w:pPr>
              <w:pStyle w:val="ListNumber2"/>
            </w:pPr>
            <w:r w:rsidRPr="00B208D6">
              <w:t xml:space="preserve">Compliance may be required in various jurisdictions relating to currency </w:t>
            </w:r>
            <w:r w:rsidRPr="00B208D6">
              <w:t xml:space="preserve">in First Aid, hazardous areas, confined space, lifting and risk </w:t>
            </w:r>
            <w:r w:rsidRPr="00B208D6">
              <w:t>safety measures</w:t>
            </w:r>
          </w:p>
          <w:p w:rsidR="00000000" w:rsidRPr="00B208D6" w:rsidP="00B208D6">
            <w:pPr>
              <w:pStyle w:val="BodyText"/>
            </w:pPr>
          </w:p>
          <w:p w:rsidR="00000000" w:rsidRPr="00B208D6" w:rsidP="00B208D6">
            <w:pPr>
              <w:pStyle w:val="BodyText"/>
            </w:pPr>
            <w:r w:rsidRPr="00B208D6">
              <w:t>Commonwealth, State/Territory or Local Government legislation and regulations may exist that limits the age of operating certain equipment.</w:t>
            </w:r>
          </w:p>
        </w:tc>
      </w:tr>
    </w:tbl>
    <w:p w:rsidR="00DA3406" w:rsidP="00B208D6">
      <w:pPr>
        <w:pStyle w:val="BodyText"/>
      </w:pPr>
    </w:p>
    <w:p w:rsidR="00DA3406" w:rsidP="00B208D6">
      <w:pPr>
        <w:pStyle w:val="BodyText"/>
      </w:pPr>
    </w:p>
    <w:p w:rsidR="00000000" w:rsidRPr="00B208D6" w:rsidP="00B208D6">
      <w:pPr>
        <w:pStyle w:val="Heading1"/>
      </w:pPr>
      <w:bookmarkStart w:id="5" w:name="O_625572"/>
      <w:bookmarkEnd w:id="5"/>
      <w:r w:rsidRPr="00B208D6">
        <w:t>Pre-Requisites</w:t>
      </w:r>
    </w:p>
    <w:tbl>
      <w:tblPr>
        <w:tblW w:w="0" w:type="auto"/>
        <w:tblLayout w:type="fixed"/>
        <w:tblCellMar>
          <w:left w:w="62" w:type="dxa"/>
          <w:right w:w="62" w:type="dxa"/>
        </w:tblCellMar>
        <w:tblLook w:val="0000"/>
      </w:tblPr>
      <w:tblGrid>
        <w:gridCol w:w="2638"/>
        <w:gridCol w:w="1800"/>
        <w:gridCol w:w="3960"/>
      </w:tblGrid>
      <w:tr w:rsidTr="00B208D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 xml:space="preserve">4) </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4.1)</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Granting of competency in this unit shall be made only after competency in the following unit(s) has/have been confirmed:</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UEGNSG005A</w:t>
            </w:r>
          </w:p>
        </w:tc>
        <w:tc>
          <w:tcPr>
            <w:tcW w:w="39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Prepare to work in the gas industry</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UEGNSG006A</w:t>
            </w:r>
          </w:p>
        </w:tc>
        <w:tc>
          <w:tcPr>
            <w:tcW w:w="39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Use a portable gas detectors to locate escape</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UEGNSG132A</w:t>
            </w:r>
          </w:p>
        </w:tc>
        <w:tc>
          <w:tcPr>
            <w:tcW w:w="39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Carry out basic work activities in a gas industry work environment</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UEGNSG140A</w:t>
            </w:r>
          </w:p>
        </w:tc>
        <w:tc>
          <w:tcPr>
            <w:tcW w:w="39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Apply environmental policies and procedures in the utilities industry </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UEGNSG134A</w:t>
            </w:r>
          </w:p>
        </w:tc>
        <w:tc>
          <w:tcPr>
            <w:tcW w:w="39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Establish a utilities infrastruct</w:t>
            </w:r>
            <w:r w:rsidRPr="00B208D6">
              <w:t>ure work site</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UEGNSG141A</w:t>
            </w:r>
          </w:p>
        </w:tc>
        <w:tc>
          <w:tcPr>
            <w:tcW w:w="39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Apply Workplace Health and Safety regulations, codes and practices in the gas industry</w:t>
            </w:r>
          </w:p>
        </w:tc>
      </w:tr>
    </w:tbl>
    <w:p w:rsidR="00000000" w:rsidRPr="00B208D6" w:rsidP="00B208D6">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4.2)</w:t>
            </w:r>
            <w:r w:rsidRPr="00B208D6">
              <w:t xml:space="preserve"> </w:t>
            </w:r>
          </w:p>
          <w:p w:rsidR="00000000" w:rsidP="00B208D6">
            <w:pPr>
              <w:pStyle w:val="BodyText"/>
              <w:rPr>
                <w:lang w:val="en-NZ"/>
              </w:rPr>
            </w:pPr>
            <w:r w:rsidRPr="00B208D6">
              <w:t>Participants are best equipped to achieve this unit if they have reading, writing and numeracy skills indicated by the following scales. Description of each scale is given in Volume 2, Part 3 ‘Literacy and Numeracy’</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Reading</w:t>
            </w:r>
          </w:p>
        </w:tc>
        <w:tc>
          <w:tcPr>
            <w:tcW w:w="81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w:t>
            </w:r>
          </w:p>
        </w:tc>
        <w:tc>
          <w:tcPr>
            <w:tcW w:w="99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Writing</w:t>
            </w: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w:t>
            </w:r>
          </w:p>
        </w:tc>
        <w:tc>
          <w:tcPr>
            <w:tcW w:w="12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Numeracy</w:t>
            </w:r>
          </w:p>
        </w:tc>
        <w:tc>
          <w:tcPr>
            <w:tcW w:w="72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3</w:t>
            </w:r>
          </w:p>
        </w:tc>
      </w:tr>
    </w:tbl>
    <w:p w:rsidR="00DA3406" w:rsidP="00B208D6">
      <w:pPr>
        <w:pStyle w:val="BodyText"/>
      </w:pPr>
    </w:p>
    <w:p w:rsidR="00DA3406" w:rsidP="00B208D6">
      <w:pPr>
        <w:pStyle w:val="BodyText"/>
      </w:pPr>
    </w:p>
    <w:p w:rsidR="00000000" w:rsidRPr="00B208D6" w:rsidP="00B208D6">
      <w:pPr>
        <w:pStyle w:val="Heading1"/>
      </w:pPr>
      <w:bookmarkStart w:id="6" w:name="O_625573"/>
      <w:bookmarkEnd w:id="6"/>
      <w:r w:rsidRPr="00B208D6">
        <w:t>Employability Skills Information</w:t>
      </w:r>
    </w:p>
    <w:tbl>
      <w:tblPr>
        <w:tblW w:w="0" w:type="auto"/>
        <w:tblLayout w:type="fixed"/>
        <w:tblCellMar>
          <w:left w:w="62" w:type="dxa"/>
          <w:right w:w="62" w:type="dxa"/>
        </w:tblCellMar>
        <w:tblLook w:val="0000"/>
      </w:tblPr>
      <w:tblGrid>
        <w:gridCol w:w="2638"/>
        <w:gridCol w:w="5760"/>
      </w:tblGrid>
      <w:tr w:rsidTr="00B208D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 xml:space="preserve">5) </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This unit contains Employability Skills</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The required outcomes described in this unit of competency contain applicable facets of Employability Skills.</w:t>
            </w:r>
            <w:r w:rsidRPr="00B208D6">
              <w:t xml:space="preserve"> The Employability Skills Summary of the qualification in which this unit of competency is packaged will assist in identifying Employability Skill requirements.</w:t>
            </w:r>
          </w:p>
        </w:tc>
      </w:tr>
    </w:tbl>
    <w:p w:rsidR="00DA3406" w:rsidP="00B208D6">
      <w:pPr>
        <w:pStyle w:val="BodyText"/>
      </w:pPr>
    </w:p>
    <w:p w:rsidR="00DA3406" w:rsidP="00B208D6">
      <w:pPr>
        <w:pStyle w:val="BodyText"/>
      </w:pPr>
    </w:p>
    <w:p w:rsidR="00000000" w:rsidRPr="00B208D6" w:rsidP="00B208D6">
      <w:pPr>
        <w:pStyle w:val="Heading1"/>
      </w:pPr>
      <w:bookmarkStart w:id="7" w:name="O_625574"/>
      <w:bookmarkEnd w:id="7"/>
      <w:r w:rsidRPr="00B208D6">
        <w:t>Elements and Performance Criteria Pre-Content</w:t>
      </w:r>
    </w:p>
    <w:tbl>
      <w:tblPr>
        <w:tblW w:w="0" w:type="auto"/>
        <w:tblLayout w:type="fixed"/>
        <w:tblCellMar>
          <w:left w:w="62" w:type="dxa"/>
          <w:right w:w="62" w:type="dxa"/>
        </w:tblCellMar>
        <w:tblLook w:val="0000"/>
      </w:tblPr>
      <w:tblGrid>
        <w:gridCol w:w="2638"/>
        <w:gridCol w:w="5760"/>
      </w:tblGrid>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 xml:space="preserve">6) </w:t>
            </w:r>
            <w:r w:rsidRPr="00B208D6">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Emphasis"/>
              </w:rPr>
              <w:t>Performance Criteria describe the required performance needed to demonstrate achievement of the element. Assessment of performance is to be consistent with the Evidence Guide.</w:t>
            </w:r>
          </w:p>
        </w:tc>
      </w:tr>
    </w:tbl>
    <w:p w:rsidR="00DA3406" w:rsidP="00B208D6">
      <w:pPr>
        <w:pStyle w:val="BodyText"/>
      </w:pPr>
    </w:p>
    <w:p w:rsidR="00DA3406" w:rsidP="00B208D6">
      <w:pPr>
        <w:pStyle w:val="BodyText"/>
      </w:pPr>
    </w:p>
    <w:p w:rsidR="00000000" w:rsidRPr="00B208D6" w:rsidP="00B208D6">
      <w:pPr>
        <w:pStyle w:val="Heading1"/>
      </w:pPr>
      <w:bookmarkStart w:id="8" w:name="O_625575"/>
      <w:bookmarkEnd w:id="8"/>
      <w:r w:rsidRPr="00B208D6">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B208D6">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PERFORMANCE CRITERIA</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Prepare and plan to maintain cathodic protection systems</w:t>
            </w: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Cathodic protection system maintenance activity is identified and confirmed according to the work schedule(s), drawings, plans, requirements, established procedures and Australian Standards.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1.2</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Readings from cathodic protection monitoring equipment and</w:t>
            </w:r>
            <w:r w:rsidRPr="00B208D6">
              <w:t xml:space="preserve"> anode beds are taken at regular intervals and data collected in accordance with approved procedures a and Australian Standards</w:t>
            </w:r>
          </w:p>
        </w:tc>
      </w:tr>
      <w:tr w:rsidTr="00B208D6">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1.3</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Relevant work schedules and requirements are communicated to all persons and identified for all work sites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1.4</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WHS/OHS, environmental and sustainable energy policies and procedures related to the maintaining of cathodic protection systems are obtained and confirmed and communicated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1.5</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Work is prioritised and sequenced following consultation with others for com</w:t>
            </w:r>
            <w:r w:rsidRPr="00B208D6">
              <w:t>pletion within acceptable timeframes and in accordance with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1.6</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WHS/OHS risk control measures for identified hazards are prioritised, implemented and monitored against the work schedule</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1.7</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Relevant work permits are obtained to access and perform work according to requirements and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1.8</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Resources including persons, equipment, tools and personal protective equipment required for the job are identified, scheduled and obt</w:t>
            </w:r>
            <w:r w:rsidRPr="00B208D6">
              <w:t>ained and confirmed in a safe working order</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1.9</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Relevant persons at worksite are suitably trained and qualified for the work to be performed.</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1.10</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Liaison and communication issues with authorised persons, authorities, clients and land-owners are reso</w:t>
            </w:r>
            <w:r w:rsidRPr="00B208D6">
              <w:t>lved to carry out work where necessary</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1.11</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Site is prepared according to the work schedule and to minimise risk and damage to property, commerce and individuals in accordance with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1.12</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Third party issues are referred to appropriate persons in accordance with established procedures, for example "low voltage electrical work"</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1.13</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Persons participating in the work, including plant operators and contractors are fully briefed and respectiv</w:t>
            </w:r>
            <w:r w:rsidRPr="00B208D6">
              <w:t xml:space="preserve">e responsibilities confirmed where applicable in accordance with established procedures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1.14</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Road signs, barriers and warning devices are positioned in accordance with requirements including traffic management plans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Maintain and adjust cathodic prot</w:t>
            </w:r>
            <w:r w:rsidRPr="00B208D6">
              <w:rPr>
                <w:rStyle w:val="SpecialBold"/>
              </w:rPr>
              <w:t>ection system equipment</w:t>
            </w: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2.1</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WHS policies and procedures and safe work practices are followed to eliminate or minimise incidents and hazards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2.2</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Lifting, climbing, working in confined spaces, excavations, trenches, or aloft, and use of power tools, techniques and practices are safely exercised according to requirements.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2.3</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Cathodic protection system is maintained correctly according to establi</w:t>
            </w:r>
            <w:r w:rsidRPr="00B208D6">
              <w:t xml:space="preserve">shed procedures and Australian Standards.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2.4</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Hazard warnings and safety signs are correctly interpreted and hazards and assessed WHS/OHS risks are reported to the immediate authorised persons for directions according to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2.5</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Unplanned events in the maintaining of cathodic protection systems is undertaken with the scope of established procedures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2.6</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Known solutions to a variety of problems are applied </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2.7</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Data is collected and interpreted and ongoing checks of quality of the work are undertaken in accordance with given instructions, established procedures and Australian Standards.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Re-establish system and complete relevant documentation</w:t>
            </w: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3.1</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Cathodic prote</w:t>
            </w:r>
            <w:r w:rsidRPr="00B208D6">
              <w:t>ction system is re-established in order to meet pipeline system operational requirements and the work undertaken is checked against work schedules for conformance with requirements, anomalies are reported in accordance with established procedures and Austr</w:t>
            </w:r>
            <w:r w:rsidRPr="00B208D6">
              <w:t>alian Standards.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3.2</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Accidents, injuries and non-conformances are reported in accordance with established procedures where applicable</w:t>
            </w:r>
          </w:p>
        </w:tc>
      </w:tr>
      <w:tr w:rsidTr="00B208D6">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3.3</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Work site is rehabilitated, cleaned up and made safe in accordance with given instructions and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3.4</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Tools, equipment and any surplus resources and materials are, where appropriate, cleaned, checked and returned to storage in accord</w:t>
            </w:r>
            <w:r w:rsidRPr="00B208D6">
              <w:t>ance with established procedures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3.5</w:t>
            </w:r>
          </w:p>
        </w:tc>
        <w:tc>
          <w:tcPr>
            <w:tcW w:w="48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Work permits are signed off and equipment is returned to service in accordance with requirements</w:t>
            </w:r>
          </w:p>
        </w:tc>
      </w:tr>
      <w:tr w:rsidTr="00B208D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3.6</w:t>
            </w:r>
          </w:p>
        </w:tc>
        <w:tc>
          <w:tcPr>
            <w:tcW w:w="48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 xml:space="preserve">Work completion records, reports as installed/modified drawings and documentation and information are finalised </w:t>
            </w:r>
            <w:r w:rsidRPr="00B208D6">
              <w:t>and processed and appropriate persons notified</w:t>
            </w:r>
          </w:p>
        </w:tc>
      </w:tr>
    </w:tbl>
    <w:p w:rsidR="00DA3406" w:rsidP="00B208D6">
      <w:pPr>
        <w:pStyle w:val="BodyText"/>
      </w:pPr>
    </w:p>
    <w:p w:rsidR="00DA3406" w:rsidP="00B208D6">
      <w:pPr>
        <w:pStyle w:val="BodyText"/>
      </w:pPr>
    </w:p>
    <w:p w:rsidR="00000000" w:rsidRPr="00B208D6" w:rsidP="00B208D6">
      <w:pPr>
        <w:pStyle w:val="Heading1"/>
      </w:pPr>
      <w:bookmarkStart w:id="9" w:name="O_625576"/>
      <w:bookmarkEnd w:id="9"/>
      <w:r w:rsidRPr="00B208D6">
        <w:t>Required Skills and Knowledge</w:t>
      </w:r>
    </w:p>
    <w:tbl>
      <w:tblPr>
        <w:tblW w:w="0" w:type="auto"/>
        <w:tblCellMar>
          <w:left w:w="62" w:type="dxa"/>
          <w:right w:w="62" w:type="dxa"/>
        </w:tblCellMar>
        <w:tblLook w:val="0000"/>
      </w:tblPr>
      <w:tblGrid>
        <w:gridCol w:w="9196"/>
      </w:tblGrid>
      <w:tr w:rsidTr="00DA3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REQUIRED SKILLS AND KNOWLEDGE</w:t>
            </w:r>
          </w:p>
        </w:tc>
      </w:tr>
      <w:tr w:rsidTr="00DA3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7)</w:t>
            </w:r>
            <w:r w:rsidRPr="00B208D6">
              <w:rPr>
                <w:rStyle w:val="Emphasis"/>
              </w:rPr>
              <w:t xml:space="preserve"> This describes the required skills and knowledge and their level, required for this unit.</w:t>
            </w:r>
          </w:p>
        </w:tc>
      </w:tr>
      <w:tr w:rsidTr="00DA3406">
        <w:tblPrEx>
          <w:tblW w:w="0" w:type="auto"/>
          <w:tblCellMar>
            <w:left w:w="62" w:type="dxa"/>
            <w:right w:w="62" w:type="dxa"/>
          </w:tblCellMar>
          <w:tblLook w:val="0000"/>
        </w:tblPrEx>
        <w:trPr>
          <w:trHeight w:val="1098"/>
        </w:trPr>
        <w:tc>
          <w:tcPr>
            <w:tcW w:w="0" w:type="auto"/>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Evidence shall show that knowledge has been acquired of safe working practices for maintaining cathodic protection systems.</w:t>
            </w:r>
          </w:p>
          <w:p w:rsidR="00000000" w:rsidP="00B208D6">
            <w:pPr>
              <w:pStyle w:val="BodyText"/>
              <w:rPr>
                <w:lang w:val="en-NZ"/>
              </w:rPr>
            </w:pPr>
            <w:r w:rsidRPr="00B208D6">
              <w:t>All knowledge and skills detailed in this unit should be contextualised to current industry practices and technologies. The extent o</w:t>
            </w:r>
            <w:r w:rsidRPr="00B208D6">
              <w:t>f the required skills and knowledge is provided below. It forms an integral part of this unit</w:t>
            </w:r>
          </w:p>
        </w:tc>
      </w:tr>
      <w:tr w:rsidTr="00DA3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KS01-G411A Cathodic protection system maintenance</w:t>
            </w:r>
          </w:p>
        </w:tc>
      </w:tr>
      <w:tr w:rsidTr="00DA3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Evidence shall show an understanding of maintaining cathodic protection systems in accordance with relevant legislation, code, regulations and procedures. to an extent indicated by the following aspects:</w:t>
            </w:r>
          </w:p>
          <w:p w:rsidR="00000000" w:rsidRPr="00B208D6" w:rsidP="00B208D6">
            <w:pPr>
              <w:pStyle w:val="BodyText"/>
            </w:pPr>
          </w:p>
          <w:p w:rsidR="00000000" w:rsidRPr="00B208D6" w:rsidP="00B208D6">
            <w:pPr>
              <w:pStyle w:val="BodyText"/>
            </w:pPr>
            <w:r w:rsidRPr="00B208D6">
              <w:t>T1. Relevant legislation, Australian Standards, cod</w:t>
            </w:r>
            <w:r w:rsidRPr="00B208D6">
              <w:t>es, regulations and procedure requirements</w:t>
            </w:r>
          </w:p>
          <w:p w:rsidR="00000000" w:rsidRPr="00B208D6" w:rsidP="00B208D6">
            <w:pPr>
              <w:pStyle w:val="BodyText"/>
            </w:pPr>
          </w:p>
          <w:p w:rsidR="00000000" w:rsidRPr="00B208D6" w:rsidP="00B208D6">
            <w:pPr>
              <w:pStyle w:val="BodyText"/>
            </w:pPr>
            <w:r w:rsidRPr="00B208D6">
              <w:t>T2. Relevant WHS/OHS safety requirements</w:t>
            </w:r>
          </w:p>
          <w:p w:rsidR="00000000" w:rsidRPr="00B208D6" w:rsidP="00B208D6">
            <w:pPr>
              <w:pStyle w:val="ListBullet"/>
            </w:pPr>
            <w:r w:rsidRPr="00B208D6">
              <w:t>hazards, risk assessment and control measures</w:t>
            </w:r>
          </w:p>
          <w:p w:rsidR="00000000" w:rsidRPr="00B208D6" w:rsidP="00B208D6">
            <w:pPr>
              <w:pStyle w:val="ListBullet"/>
            </w:pPr>
            <w:r w:rsidRPr="00B208D6">
              <w:t xml:space="preserve">identify environmental and safety hazards, assess risks and implement control measures </w:t>
            </w:r>
          </w:p>
          <w:p w:rsidR="00000000" w:rsidRPr="00B208D6" w:rsidP="00B208D6">
            <w:pPr>
              <w:pStyle w:val="ListBullet"/>
            </w:pPr>
            <w:r w:rsidRPr="00B208D6">
              <w:t>Hazardous materials and MSDS</w:t>
            </w:r>
          </w:p>
          <w:p w:rsidR="00000000" w:rsidRPr="00B208D6" w:rsidP="00B208D6">
            <w:pPr>
              <w:pStyle w:val="ListBullet"/>
            </w:pPr>
            <w:r w:rsidRPr="00B208D6">
              <w:t xml:space="preserve">PPE </w:t>
            </w:r>
          </w:p>
          <w:p w:rsidR="00000000" w:rsidRPr="00B208D6" w:rsidP="00B208D6">
            <w:pPr>
              <w:pStyle w:val="BodyText"/>
            </w:pPr>
          </w:p>
          <w:p w:rsidR="00000000" w:rsidRPr="00B208D6" w:rsidP="00B208D6">
            <w:pPr>
              <w:pStyle w:val="BodyText"/>
            </w:pPr>
            <w:r w:rsidRPr="00B208D6">
              <w:t>T3. Corrosion processes on a Gas Industry pipeline</w:t>
            </w:r>
          </w:p>
          <w:p w:rsidR="00000000" w:rsidRPr="00B208D6" w:rsidP="00B208D6">
            <w:pPr>
              <w:pStyle w:val="ListBullet"/>
            </w:pPr>
            <w:r w:rsidRPr="00B208D6">
              <w:t>corrosion processes, causes and prevention.</w:t>
            </w:r>
          </w:p>
          <w:p w:rsidR="00000000" w:rsidRPr="00B208D6" w:rsidP="00B208D6">
            <w:pPr>
              <w:pStyle w:val="ListBullet"/>
            </w:pPr>
            <w:r w:rsidRPr="00B208D6">
              <w:t>how Cathodic Protection systems prevent corrosion</w:t>
            </w:r>
          </w:p>
          <w:p w:rsidR="00000000" w:rsidRPr="00B208D6" w:rsidP="00B208D6">
            <w:pPr>
              <w:pStyle w:val="BodyText"/>
            </w:pPr>
          </w:p>
          <w:p w:rsidR="00000000" w:rsidRPr="00B208D6" w:rsidP="00B208D6">
            <w:pPr>
              <w:pStyle w:val="BodyText"/>
            </w:pPr>
            <w:r w:rsidRPr="00B208D6">
              <w:t>T4. Electrical fundamentals for the Gas Industry</w:t>
            </w:r>
          </w:p>
          <w:p w:rsidR="00000000" w:rsidRPr="00B208D6" w:rsidP="00B208D6">
            <w:pPr>
              <w:pStyle w:val="ListBullet"/>
            </w:pPr>
            <w:r w:rsidRPr="00B208D6">
              <w:t>extra low voltage operation</w:t>
            </w:r>
          </w:p>
          <w:p w:rsidR="00000000" w:rsidRPr="00B208D6" w:rsidP="00B208D6">
            <w:pPr>
              <w:pStyle w:val="ListBullet"/>
            </w:pPr>
            <w:r w:rsidRPr="00B208D6">
              <w:t>electrical risks associated act</w:t>
            </w:r>
            <w:r w:rsidRPr="00B208D6">
              <w:t>ivities within the Gas Industry</w:t>
            </w:r>
          </w:p>
          <w:p w:rsidR="00000000" w:rsidRPr="00B208D6" w:rsidP="00B208D6">
            <w:pPr>
              <w:pStyle w:val="ListBullet"/>
            </w:pPr>
            <w:r w:rsidRPr="00B208D6">
              <w:t>meters and other relevant electrical equipment</w:t>
            </w:r>
          </w:p>
          <w:p w:rsidR="00000000" w:rsidRPr="00B208D6" w:rsidP="00B208D6">
            <w:pPr>
              <w:pStyle w:val="ListBullet"/>
            </w:pPr>
            <w:r w:rsidRPr="00B208D6">
              <w:t>Licensed low voltage electrical work requirements</w:t>
            </w:r>
          </w:p>
          <w:p w:rsidR="00000000" w:rsidRPr="00B208D6" w:rsidP="00B208D6">
            <w:pPr>
              <w:pStyle w:val="BodyText"/>
            </w:pPr>
          </w:p>
          <w:p w:rsidR="00000000" w:rsidRPr="00B208D6" w:rsidP="00B208D6">
            <w:pPr>
              <w:pStyle w:val="BodyText"/>
            </w:pPr>
            <w:r w:rsidRPr="00B208D6">
              <w:t>T5. Gas system design, planning and operation</w:t>
            </w:r>
          </w:p>
          <w:p w:rsidR="00000000" w:rsidRPr="00B208D6" w:rsidP="00B208D6">
            <w:pPr>
              <w:pStyle w:val="ListBullet"/>
            </w:pPr>
            <w:r w:rsidRPr="00B208D6">
              <w:t>applicable to cathodic protection on a Gas Industry pipeline, including safe de</w:t>
            </w:r>
            <w:r w:rsidRPr="00B208D6">
              <w:t>sign principles.</w:t>
            </w:r>
          </w:p>
          <w:p w:rsidR="00000000" w:rsidRPr="00B208D6" w:rsidP="00B208D6">
            <w:pPr>
              <w:pStyle w:val="ListBullet"/>
            </w:pPr>
            <w:r w:rsidRPr="00B208D6">
              <w:t>cathodic protection electrical and civil drawings</w:t>
            </w:r>
          </w:p>
          <w:p w:rsidR="00000000" w:rsidRPr="00B208D6" w:rsidP="00B208D6">
            <w:pPr>
              <w:pStyle w:val="BodyText"/>
            </w:pPr>
          </w:p>
          <w:p w:rsidR="00000000" w:rsidRPr="00B208D6" w:rsidP="00B208D6">
            <w:pPr>
              <w:pStyle w:val="BodyText"/>
            </w:pPr>
            <w:r w:rsidRPr="00B208D6">
              <w:t>T6. Relevant gas industry documents</w:t>
            </w:r>
          </w:p>
          <w:p w:rsidR="00000000" w:rsidRPr="00B208D6" w:rsidP="00B208D6">
            <w:pPr>
              <w:pStyle w:val="ListBullet"/>
            </w:pPr>
            <w:r w:rsidRPr="00B208D6">
              <w:t>signs, symbols terminology and legends as used in gas industry procedures and documents</w:t>
            </w:r>
          </w:p>
          <w:p w:rsidR="00000000" w:rsidRPr="00B208D6" w:rsidP="00B208D6">
            <w:pPr>
              <w:pStyle w:val="ListBullet"/>
            </w:pPr>
            <w:r w:rsidRPr="00B208D6">
              <w:t>gas industry standards, policies and procedures</w:t>
            </w:r>
          </w:p>
          <w:p w:rsidR="00000000" w:rsidRPr="00B208D6" w:rsidP="00B208D6">
            <w:pPr>
              <w:pStyle w:val="ListBullet"/>
            </w:pPr>
            <w:r w:rsidRPr="00B208D6">
              <w:t xml:space="preserve">basic drawings </w:t>
            </w:r>
            <w:r w:rsidRPr="00B208D6">
              <w:t>and diagrams</w:t>
            </w:r>
          </w:p>
          <w:p w:rsidR="00000000" w:rsidRPr="00B208D6" w:rsidP="00B208D6">
            <w:pPr>
              <w:pStyle w:val="ListBullet"/>
            </w:pPr>
            <w:r w:rsidRPr="00B208D6">
              <w:t>Process and Instrumentation Diagrams (PID)</w:t>
            </w:r>
          </w:p>
          <w:p w:rsidR="00000000" w:rsidRPr="00B208D6" w:rsidP="00B208D6">
            <w:pPr>
              <w:pStyle w:val="ListBullet"/>
            </w:pPr>
            <w:r w:rsidRPr="00B208D6">
              <w:t>Facility and pipeline construction and as-built drawings</w:t>
            </w:r>
          </w:p>
          <w:p w:rsidR="00000000" w:rsidRPr="00B208D6" w:rsidP="00B208D6">
            <w:pPr>
              <w:pStyle w:val="ListBullet"/>
            </w:pPr>
            <w:r w:rsidRPr="00B208D6">
              <w:t>Geographical Information System (GIS) drawings and data</w:t>
            </w:r>
          </w:p>
          <w:p w:rsidR="00000000" w:rsidRPr="00B208D6" w:rsidP="00B208D6">
            <w:pPr>
              <w:pStyle w:val="ListBullet"/>
            </w:pPr>
            <w:r w:rsidRPr="00B208D6">
              <w:t>Electrical drawings</w:t>
            </w:r>
          </w:p>
          <w:p w:rsidR="00000000" w:rsidRPr="00B208D6" w:rsidP="00B208D6">
            <w:pPr>
              <w:pStyle w:val="ListBullet"/>
            </w:pPr>
            <w:r w:rsidRPr="00B208D6">
              <w:t>Survey maps</w:t>
            </w:r>
          </w:p>
          <w:p w:rsidR="00000000" w:rsidRPr="00B208D6" w:rsidP="00B208D6">
            <w:pPr>
              <w:pStyle w:val="ListBullet"/>
            </w:pPr>
            <w:r w:rsidRPr="00B208D6">
              <w:t>Pipeline route maps and alignment sheets</w:t>
            </w:r>
          </w:p>
          <w:p w:rsidR="00000000" w:rsidRPr="00B208D6" w:rsidP="00B208D6">
            <w:pPr>
              <w:pStyle w:val="ListBullet"/>
            </w:pPr>
            <w:r w:rsidRPr="00B208D6">
              <w:t>topographical and geographical maps and information.</w:t>
            </w:r>
          </w:p>
          <w:p w:rsidR="00000000" w:rsidRPr="00B208D6" w:rsidP="00B208D6">
            <w:pPr>
              <w:pStyle w:val="ListBullet"/>
            </w:pPr>
            <w:r w:rsidRPr="00B208D6">
              <w:t>workplace forms and reports</w:t>
            </w:r>
          </w:p>
          <w:p w:rsidR="00000000" w:rsidRPr="00B208D6" w:rsidP="00B208D6">
            <w:pPr>
              <w:pStyle w:val="BodyText"/>
            </w:pPr>
          </w:p>
          <w:p w:rsidR="00000000" w:rsidRPr="00B208D6" w:rsidP="00B208D6">
            <w:pPr>
              <w:pStyle w:val="BodyText"/>
            </w:pPr>
            <w:r w:rsidRPr="00B208D6">
              <w:t>T7. Cathodic protection systems operation on a Gas Industry pipeline</w:t>
            </w:r>
          </w:p>
          <w:p w:rsidR="00000000" w:rsidRPr="00B208D6" w:rsidP="00B208D6">
            <w:pPr>
              <w:pStyle w:val="ListBullet"/>
            </w:pPr>
            <w:r w:rsidRPr="00B208D6">
              <w:t>cathodic protection system design, planning and operation</w:t>
            </w:r>
          </w:p>
          <w:p w:rsidR="00000000" w:rsidRPr="00B208D6" w:rsidP="00B208D6">
            <w:pPr>
              <w:pStyle w:val="ListBullet"/>
            </w:pPr>
            <w:r w:rsidRPr="00B208D6">
              <w:t>types and applications</w:t>
            </w:r>
          </w:p>
          <w:p w:rsidR="00000000" w:rsidRPr="00B208D6" w:rsidP="00B208D6">
            <w:pPr>
              <w:pStyle w:val="ListBullet2"/>
            </w:pPr>
            <w:r w:rsidRPr="00B208D6">
              <w:t xml:space="preserve">impressed current </w:t>
            </w:r>
          </w:p>
          <w:p w:rsidR="00000000" w:rsidRPr="00B208D6" w:rsidP="00B208D6">
            <w:pPr>
              <w:pStyle w:val="ListBullet2"/>
            </w:pPr>
            <w:r w:rsidRPr="00B208D6">
              <w:t xml:space="preserve">sacrificial </w:t>
            </w:r>
          </w:p>
          <w:p w:rsidR="00000000" w:rsidRPr="00B208D6" w:rsidP="00B208D6">
            <w:pPr>
              <w:pStyle w:val="ListBullet"/>
            </w:pPr>
            <w:r w:rsidRPr="00B208D6">
              <w:t xml:space="preserve">equipment and components </w:t>
            </w:r>
          </w:p>
          <w:p w:rsidR="00000000" w:rsidRPr="00B208D6" w:rsidP="00B208D6">
            <w:pPr>
              <w:pStyle w:val="ListBullet"/>
            </w:pPr>
            <w:r w:rsidRPr="00B208D6">
              <w:t>operating principles and circuits diagrams</w:t>
            </w:r>
          </w:p>
          <w:p w:rsidR="00000000" w:rsidRPr="00B208D6" w:rsidP="00B208D6">
            <w:pPr>
              <w:pStyle w:val="ListBullet"/>
            </w:pPr>
            <w:r w:rsidRPr="00B208D6">
              <w:t>cathodic protection system in relation to other services</w:t>
            </w:r>
          </w:p>
          <w:p w:rsidR="00000000" w:rsidRPr="00B208D6" w:rsidP="00B208D6">
            <w:pPr>
              <w:pStyle w:val="ListBullet"/>
            </w:pPr>
            <w:r w:rsidRPr="00B208D6">
              <w:t>coating requirements and their purpose</w:t>
            </w:r>
          </w:p>
          <w:p w:rsidR="00000000" w:rsidRPr="00B208D6" w:rsidP="00B208D6">
            <w:pPr>
              <w:pStyle w:val="BodyText"/>
            </w:pPr>
          </w:p>
          <w:p w:rsidR="00000000" w:rsidRPr="00B208D6" w:rsidP="00B208D6">
            <w:pPr>
              <w:pStyle w:val="BodyText"/>
            </w:pPr>
            <w:r w:rsidRPr="00B208D6">
              <w:t xml:space="preserve">T8. Cathodic protection systems maintenance </w:t>
            </w:r>
          </w:p>
          <w:p w:rsidR="00000000" w:rsidRPr="00B208D6" w:rsidP="00B208D6">
            <w:pPr>
              <w:pStyle w:val="ListBullet"/>
            </w:pPr>
            <w:r w:rsidRPr="00B208D6">
              <w:t>electrical test equipment</w:t>
            </w:r>
          </w:p>
          <w:p w:rsidR="00000000" w:rsidRPr="00B208D6" w:rsidP="00B208D6">
            <w:pPr>
              <w:pStyle w:val="ListBullet"/>
            </w:pPr>
            <w:r w:rsidRPr="00B208D6">
              <w:t>safe</w:t>
            </w:r>
            <w:r w:rsidRPr="00B208D6">
              <w:t>ty requirements, procedures and PPE</w:t>
            </w:r>
          </w:p>
          <w:p w:rsidR="00000000" w:rsidRPr="00B208D6" w:rsidP="00B208D6">
            <w:pPr>
              <w:pStyle w:val="ListBullet"/>
            </w:pPr>
            <w:r w:rsidRPr="00B208D6">
              <w:t>adherence of electrical principles and regulatory requirements</w:t>
            </w:r>
          </w:p>
          <w:p w:rsidR="00000000" w:rsidRPr="00B208D6" w:rsidP="00B208D6">
            <w:pPr>
              <w:pStyle w:val="ListBullet"/>
            </w:pPr>
            <w:r w:rsidRPr="00B208D6">
              <w:t>manufacturers specifications and requirements</w:t>
            </w:r>
          </w:p>
          <w:p w:rsidR="00000000" w:rsidRPr="00B208D6" w:rsidP="00B208D6">
            <w:pPr>
              <w:pStyle w:val="ListBullet"/>
            </w:pPr>
            <w:r w:rsidRPr="00B208D6">
              <w:t xml:space="preserve">monitoring requirements and procedures </w:t>
            </w:r>
          </w:p>
          <w:p w:rsidR="00000000" w:rsidRPr="00B208D6" w:rsidP="00B208D6">
            <w:pPr>
              <w:pStyle w:val="ListBullet"/>
            </w:pPr>
            <w:r w:rsidRPr="00B208D6">
              <w:t>testing requirements and procedures</w:t>
            </w:r>
          </w:p>
          <w:p w:rsidR="00000000" w:rsidRPr="00B208D6" w:rsidP="00B208D6">
            <w:pPr>
              <w:pStyle w:val="ListBullet"/>
            </w:pPr>
            <w:r w:rsidRPr="00B208D6">
              <w:t>calibration and adjustment requirements and procedures</w:t>
            </w:r>
          </w:p>
          <w:p w:rsidR="00000000" w:rsidRPr="00B208D6" w:rsidP="00B208D6">
            <w:pPr>
              <w:pStyle w:val="ListBullet"/>
            </w:pPr>
            <w:r w:rsidRPr="00B208D6">
              <w:t xml:space="preserve">fault finding and repair/replacement requirements and procedures </w:t>
            </w:r>
          </w:p>
          <w:p w:rsidR="00000000" w:rsidRPr="00B208D6" w:rsidP="00B208D6">
            <w:pPr>
              <w:pStyle w:val="ListBullet"/>
            </w:pPr>
            <w:r w:rsidRPr="00B208D6">
              <w:t>requirements and procedures for referring low voltage electrical work to relevant licensed persons</w:t>
            </w:r>
          </w:p>
          <w:p w:rsidR="00000000" w:rsidRPr="00B208D6" w:rsidP="00B208D6">
            <w:pPr>
              <w:pStyle w:val="ListBullet"/>
            </w:pPr>
            <w:r w:rsidRPr="00B208D6">
              <w:t>requirements and procedures referrin</w:t>
            </w:r>
            <w:r w:rsidRPr="00B208D6">
              <w:t>g major repairs to immediate supervisor</w:t>
            </w:r>
          </w:p>
          <w:p w:rsidR="00000000" w:rsidRPr="00B208D6" w:rsidP="00B208D6">
            <w:pPr>
              <w:pStyle w:val="ListBullet"/>
            </w:pPr>
            <w:r w:rsidRPr="00B208D6">
              <w:t>relevant documentation, records and reports</w:t>
            </w:r>
          </w:p>
        </w:tc>
      </w:tr>
    </w:tbl>
    <w:p w:rsidR="00DA3406" w:rsidP="00B208D6">
      <w:pPr>
        <w:pStyle w:val="BodyText"/>
      </w:pPr>
    </w:p>
    <w:p w:rsidR="00DA3406" w:rsidP="00B208D6">
      <w:pPr>
        <w:pStyle w:val="BodyText"/>
      </w:pPr>
    </w:p>
    <w:p w:rsidR="00000000" w:rsidRPr="00B208D6" w:rsidP="00B208D6">
      <w:pPr>
        <w:pStyle w:val="Heading1"/>
      </w:pPr>
      <w:bookmarkStart w:id="10" w:name="O_625577"/>
      <w:bookmarkEnd w:id="10"/>
      <w:r w:rsidRPr="00B208D6">
        <w:t>Evidence Guide</w:t>
      </w:r>
    </w:p>
    <w:tbl>
      <w:tblPr>
        <w:tblW w:w="0" w:type="auto"/>
        <w:tblLayout w:type="fixed"/>
        <w:tblCellMar>
          <w:left w:w="62" w:type="dxa"/>
          <w:right w:w="62" w:type="dxa"/>
        </w:tblCellMar>
        <w:tblLook w:val="0000"/>
      </w:tblPr>
      <w:tblGrid>
        <w:gridCol w:w="8398"/>
      </w:tblGrid>
      <w:tr w:rsidTr="00B208D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EVIDENCE GUIDE</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 xml:space="preserve">8) </w:t>
            </w:r>
            <w:r w:rsidRPr="00B208D6">
              <w:t xml:space="preserve">The Evidence Guide forms an integral part of this Unit and shall be used in conjunction with all </w:t>
            </w:r>
            <w:r w:rsidRPr="00B208D6">
              <w:t>components parts of this unit and performed in accordance with the Assessment Guidelines of this Training Package.</w:t>
            </w: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6570"/>
      </w:tblGrid>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8.1)</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Longitudinal competency development approaches to assessment, such as Profiling, require data to be reliably </w:t>
            </w:r>
            <w:r w:rsidRPr="00B208D6">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B208D6">
              <w:t>assessment is used it is to include the application of the competency in the normal work environment or, at a minimum, the application of the competency in a realistically simulated work environment. It is recognised that, in some circumstances, assessment</w:t>
            </w:r>
            <w:r w:rsidRPr="00B208D6">
              <w:t xml:space="preserve"> in part or full can occur outside the workplace. However, it must be in accord with Industry and, Regulatory policy in this regard.</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Methods chosen for a particular assessment will be influenced by various factors. These include the extent of the assessm</w:t>
            </w:r>
            <w:r w:rsidRPr="00B208D6">
              <w:t>ent, the most effective locations for the assessment activities to take place, access to physical resources, additional safety measures that may be required and the critical nature of the competencies being assessed.</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The crit</w:t>
            </w:r>
            <w:r w:rsidRPr="00B208D6">
              <w:t>ical safety nature of working with electricity, electrical equipment, gas or any other hazardous substance/material carries risk in deeming a person competent. Hence, sources of evidence need to be ‘rich’ in nature so as to minimise error in judgment.</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Ac</w:t>
            </w:r>
            <w:r w:rsidRPr="00B208D6">
              <w:t>tivities associated with normal every day work have a bearing on the decision as to how much and how detailed the data gathered will contribute to its ‘richness’. Some skills are more critical to safety and operational requirements while the same skills ma</w:t>
            </w:r>
            <w:r w:rsidRPr="00B208D6">
              <w:t>y be more or less frequently practiced. These points are raised for the assessors to consider when choosing an assessment method and developing assessment instruments. Sample instruments are included for Assessors in the Assessment Guidelines of this Train</w:t>
            </w:r>
            <w:r w:rsidRPr="00B208D6">
              <w:t>ing Package.</w:t>
            </w: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6570"/>
      </w:tblGrid>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 xml:space="preserve">Critical aspects of evidence required to demonstrate competency in this </w:t>
            </w:r>
            <w:r w:rsidRPr="00B208D6">
              <w:rPr>
                <w:rStyle w:val="SpecialBold"/>
              </w:rPr>
              <w:t>unit</w:t>
            </w: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8.2)</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Before the critical aspects of evidence are considered all prerequisites shall be met.</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Evidence for competence in this unit shall be considered holisticall</w:t>
            </w:r>
            <w:r w:rsidRPr="00B208D6">
              <w:t>y. Each element and associated Performance Criteria shall be demonstrated on at least two occasions in accordance with the ‘Assessment Guidelines — UEG11’. Evidence shall also comprise: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A representative body of work performance demonstrated within the t</w:t>
            </w:r>
            <w:r w:rsidRPr="00B208D6">
              <w:t>imeframes typically expected of the discipline, work function and industrial environment. In particular this will incorporate evidence that shows a candidate is able to:</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2"/>
              <w:rPr>
                <w:lang w:val="en-NZ"/>
              </w:rPr>
            </w:pPr>
            <w:r w:rsidRPr="00B208D6">
              <w:t>Implement Occ</w:t>
            </w:r>
            <w:r w:rsidRPr="00B208D6">
              <w:t>upational Health and Safety workplace procedures and practices including the use of risk control measures as specified in the Performance Criteria and range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2"/>
              <w:rPr>
                <w:lang w:val="en-NZ"/>
              </w:rPr>
            </w:pPr>
            <w:r w:rsidRPr="00B208D6">
              <w:t>Apply sustainable energy principles and practices as specified in the Performance Criteria and r</w:t>
            </w:r>
            <w:r w:rsidRPr="00B208D6">
              <w:t>ange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2"/>
              <w:rPr>
                <w:lang w:val="en-NZ"/>
              </w:rPr>
            </w:pPr>
            <w:r w:rsidRPr="00B208D6">
              <w:t>Demonstrate an understanding of the required knowledge and skills as described in this unit to such an extent that the learner’s performance outcome is</w:t>
            </w:r>
            <w:r w:rsidRPr="00B208D6">
              <w:t xml:space="preserve"> reported in accordance with the preferred approach; namely a percentile graded result, where required by the regulated environment</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2"/>
              <w:rPr>
                <w:lang w:val="en-NZ"/>
              </w:rPr>
            </w:pPr>
            <w:r w:rsidRPr="00B208D6">
              <w:t>Demonstrate an appropriate level of employability skills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2"/>
              <w:rPr>
                <w:lang w:val="en-NZ"/>
              </w:rPr>
            </w:pPr>
            <w:r w:rsidRPr="00B208D6">
              <w:t>Conduct work observing the relevant Anti-Discrimination legis</w:t>
            </w:r>
            <w:r w:rsidRPr="00B208D6">
              <w:t>lation, regulations, polices and workplace procedures</w:t>
            </w:r>
          </w:p>
        </w:tc>
      </w:tr>
      <w:tr w:rsidTr="00B208D6">
        <w:tblPrEx>
          <w:tblW w:w="0" w:type="auto"/>
          <w:tblLayout w:type="fixed"/>
          <w:tblCellMar>
            <w:left w:w="62" w:type="dxa"/>
            <w:right w:w="62" w:type="dxa"/>
          </w:tblCellMar>
          <w:tblLook w:val="0000"/>
        </w:tblPrEx>
        <w:trPr>
          <w:trHeight w:val="522"/>
        </w:trPr>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208D6" w:rsidP="00B208D6">
            <w:pPr>
              <w:pStyle w:val="ListBullet"/>
            </w:pPr>
            <w:r w:rsidRPr="00B208D6">
              <w:t>Demonstrate performance across a representative range of contexts from the prescribed items below:</w:t>
            </w:r>
          </w:p>
          <w:p w:rsidR="00000000" w:rsidRPr="00B208D6" w:rsidP="00B208D6">
            <w:pPr>
              <w:pStyle w:val="ListBullet2"/>
            </w:pPr>
            <w:r w:rsidRPr="00B208D6">
              <w:t xml:space="preserve">Maintain cathodic protection system in accordance with relevant legislation, code, regulations </w:t>
            </w:r>
            <w:r w:rsidRPr="00B208D6">
              <w:t>and procedures as described in 9.) Range Statement and including:</w:t>
            </w:r>
          </w:p>
          <w:p w:rsidR="00000000" w:rsidRPr="00B208D6" w:rsidP="00B208D6">
            <w:pPr>
              <w:pStyle w:val="BodyText"/>
            </w:pP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782"/>
        <w:gridCol w:w="1170"/>
        <w:gridCol w:w="1828"/>
        <w:gridCol w:w="2762"/>
      </w:tblGrid>
      <w:tr w:rsidTr="00B208D6">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Range of tools/equipment/procedures/workplace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BodyText"/>
            </w:pPr>
            <w:r w:rsidRPr="00B208D6">
              <w:rPr>
                <w:rStyle w:val="SpecialBold"/>
              </w:rPr>
              <w:t>Group No</w:t>
            </w: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BodyText"/>
            </w:pPr>
            <w:r w:rsidRPr="00B208D6">
              <w:rPr>
                <w:rStyle w:val="SpecialBold"/>
              </w:rPr>
              <w:t>The minimum number of items on which skill is to be demonstrated</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Item List</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BodyText"/>
            </w:pPr>
            <w:r w:rsidRPr="00B208D6">
              <w:rPr>
                <w:rStyle w:val="SpecialBold"/>
              </w:rPr>
              <w:t>A Types of faults:</w:t>
            </w:r>
          </w:p>
          <w:p w:rsidR="00000000">
            <w:pPr>
              <w:pStyle w:val="BodyText"/>
              <w:keepNext w:val="0"/>
              <w:keepLines w:val="0"/>
              <w:contextualSpacing w:val="0"/>
              <w:rPr>
                <w:rFonts w:ascii="Tahoma" w:hAnsi="Tahoma"/>
                <w:color w:val="000000"/>
                <w:sz w:val="20"/>
                <w:lang w:val="en-NZ"/>
              </w:rPr>
            </w:pP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t>At least 8</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ListBullet"/>
            </w:pPr>
            <w:r w:rsidRPr="00B208D6">
              <w:t>Coating damage/deterioration</w:t>
            </w:r>
          </w:p>
          <w:p w:rsidR="00000000" w:rsidRPr="00B208D6" w:rsidP="00B208D6">
            <w:pPr>
              <w:pStyle w:val="ListBullet"/>
            </w:pPr>
            <w:r w:rsidRPr="00B208D6">
              <w:t>Interference from other systems</w:t>
            </w:r>
          </w:p>
          <w:p w:rsidR="00000000" w:rsidRPr="00B208D6" w:rsidP="00B208D6">
            <w:pPr>
              <w:pStyle w:val="ListBullet"/>
            </w:pPr>
            <w:r w:rsidRPr="00B208D6">
              <w:t>Anode not working</w:t>
            </w:r>
          </w:p>
          <w:p w:rsidR="00000000" w:rsidRPr="00B208D6" w:rsidP="00B208D6">
            <w:pPr>
              <w:pStyle w:val="ListBullet"/>
            </w:pPr>
            <w:r w:rsidRPr="00B208D6">
              <w:t>Equipment fault/failure</w:t>
            </w:r>
          </w:p>
          <w:p w:rsidR="00000000" w:rsidRPr="00B208D6" w:rsidP="00B208D6">
            <w:pPr>
              <w:pStyle w:val="ListBullet"/>
            </w:pPr>
            <w:r w:rsidRPr="00B208D6">
              <w:t>Earth faults</w:t>
            </w:r>
          </w:p>
          <w:p w:rsidR="00000000" w:rsidRPr="00B208D6" w:rsidP="00B208D6">
            <w:pPr>
              <w:pStyle w:val="ListBullet"/>
            </w:pPr>
            <w:r w:rsidRPr="00B208D6">
              <w:t>Transformer failure</w:t>
            </w:r>
          </w:p>
          <w:p w:rsidR="00000000" w:rsidRPr="00B208D6" w:rsidP="00B208D6">
            <w:pPr>
              <w:pStyle w:val="ListBullet"/>
            </w:pPr>
            <w:r w:rsidRPr="00B208D6">
              <w:t>Anode bed deterioration</w:t>
            </w:r>
          </w:p>
          <w:p w:rsidR="00000000" w:rsidRPr="00B208D6" w:rsidP="00B208D6">
            <w:pPr>
              <w:pStyle w:val="ListBullet"/>
            </w:pPr>
            <w:r w:rsidRPr="00B208D6">
              <w:t>Anode cable failure</w:t>
            </w:r>
          </w:p>
          <w:p w:rsidR="00000000" w:rsidRPr="00B208D6" w:rsidP="00B208D6">
            <w:pPr>
              <w:pStyle w:val="ListBullet"/>
            </w:pPr>
            <w:r w:rsidRPr="00B208D6">
              <w:t>Telluric effects on CP systems</w:t>
            </w:r>
          </w:p>
          <w:p w:rsidR="00000000" w:rsidRPr="00B208D6" w:rsidP="00B208D6">
            <w:pPr>
              <w:pStyle w:val="ListBullet"/>
            </w:pPr>
            <w:r w:rsidRPr="00B208D6">
              <w:t>IJ failure and testing</w:t>
            </w:r>
          </w:p>
          <w:p w:rsidR="00000000" w:rsidP="00B208D6">
            <w:pPr>
              <w:pStyle w:val="ListBullet"/>
              <w:rPr>
                <w:lang w:val="en-NZ"/>
              </w:rPr>
            </w:pPr>
            <w:r w:rsidRPr="00B208D6">
              <w:t>FIK failure and testing</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B. Checks and tests on CP systems</w:t>
            </w: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t>At least 4</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ListBullet"/>
            </w:pPr>
            <w:r w:rsidRPr="00B208D6">
              <w:t>CP Potential surveys</w:t>
            </w:r>
          </w:p>
          <w:p w:rsidR="00000000" w:rsidRPr="00B208D6" w:rsidP="00B208D6">
            <w:pPr>
              <w:pStyle w:val="ListBullet"/>
            </w:pPr>
            <w:r w:rsidRPr="00B208D6">
              <w:t>On/off potential surveys</w:t>
            </w:r>
          </w:p>
          <w:p w:rsidR="00000000" w:rsidRPr="00B208D6" w:rsidP="00B208D6">
            <w:pPr>
              <w:pStyle w:val="ListBullet"/>
            </w:pPr>
            <w:r w:rsidRPr="00B208D6">
              <w:t>Coating defect assessment surveys (DCVG method, Pearson technique/method, over pipeline potential method)</w:t>
            </w:r>
          </w:p>
          <w:p w:rsidR="00000000" w:rsidRPr="00B208D6" w:rsidP="00B208D6">
            <w:pPr>
              <w:pStyle w:val="ListBullet"/>
            </w:pPr>
            <w:r w:rsidRPr="00B208D6">
              <w:t>Loop impedance testing</w:t>
            </w:r>
          </w:p>
          <w:p w:rsidR="00000000" w:rsidRPr="00B208D6" w:rsidP="00B208D6">
            <w:pPr>
              <w:pStyle w:val="ListBullet"/>
            </w:pPr>
            <w:r w:rsidRPr="00B208D6">
              <w:t>Anode bed testing</w:t>
            </w:r>
          </w:p>
          <w:p w:rsidR="00000000" w:rsidRPr="00B208D6" w:rsidP="00B208D6">
            <w:pPr>
              <w:pStyle w:val="ListBullet"/>
            </w:pPr>
            <w:r w:rsidRPr="00B208D6">
              <w:t>Soil resistivity testing</w:t>
            </w:r>
          </w:p>
          <w:p w:rsidR="00000000" w:rsidRPr="00B208D6" w:rsidP="00B208D6">
            <w:pPr>
              <w:pStyle w:val="ListBullet"/>
            </w:pPr>
            <w:r w:rsidRPr="00B208D6">
              <w:t>Interference testing</w:t>
            </w:r>
          </w:p>
          <w:p w:rsidR="00000000" w:rsidP="00B208D6">
            <w:pPr>
              <w:pStyle w:val="ListBullet"/>
              <w:rPr>
                <w:lang w:val="en-NZ"/>
              </w:rPr>
            </w:pPr>
            <w:r w:rsidRPr="00B208D6">
              <w:t>TRAD unit commissioning and testing</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C. Australian Standards or their equivalents:</w:t>
            </w: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t>All</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ListBullet"/>
            </w:pPr>
            <w:r w:rsidRPr="00B208D6">
              <w:t>AS 2885</w:t>
            </w:r>
          </w:p>
          <w:p w:rsidR="00000000" w:rsidRPr="00B208D6" w:rsidP="00B208D6">
            <w:pPr>
              <w:pStyle w:val="ListBullet"/>
            </w:pPr>
            <w:r w:rsidRPr="00B208D6">
              <w:t>AS 2430</w:t>
            </w:r>
          </w:p>
          <w:p w:rsidR="00000000" w:rsidRPr="00B208D6" w:rsidP="00B208D6">
            <w:pPr>
              <w:pStyle w:val="ListBullet"/>
            </w:pPr>
            <w:r w:rsidRPr="00B208D6">
              <w:t>AS 1768</w:t>
            </w:r>
          </w:p>
          <w:p w:rsidR="00000000" w:rsidRPr="00B208D6" w:rsidP="00B208D6">
            <w:pPr>
              <w:pStyle w:val="ListBullet"/>
            </w:pPr>
            <w:r w:rsidRPr="00B208D6">
              <w:t>AS 1596</w:t>
            </w:r>
          </w:p>
          <w:p w:rsidR="00000000" w:rsidRPr="00B208D6" w:rsidP="00B208D6">
            <w:pPr>
              <w:pStyle w:val="ListBullet"/>
            </w:pPr>
            <w:r w:rsidRPr="00B208D6">
              <w:t>AS 2832.1</w:t>
            </w:r>
          </w:p>
          <w:p w:rsidR="00000000" w:rsidRPr="00B208D6" w:rsidP="00B208D6">
            <w:pPr>
              <w:pStyle w:val="ListBullet"/>
            </w:pPr>
            <w:r w:rsidRPr="00B208D6">
              <w:t>AS 3000</w:t>
            </w:r>
          </w:p>
          <w:p w:rsidR="00000000" w:rsidRPr="00B208D6" w:rsidP="00B208D6">
            <w:pPr>
              <w:pStyle w:val="ListBullet"/>
            </w:pPr>
            <w:r w:rsidRPr="00B208D6">
              <w:t>AS 2239</w:t>
            </w:r>
          </w:p>
          <w:p w:rsidR="00000000" w:rsidRPr="00B208D6" w:rsidP="00B208D6">
            <w:pPr>
              <w:pStyle w:val="ListBullet"/>
            </w:pPr>
            <w:r w:rsidRPr="00B208D6">
              <w:t>AG 603</w:t>
            </w:r>
          </w:p>
          <w:p w:rsidR="00000000" w:rsidP="00B208D6">
            <w:pPr>
              <w:pStyle w:val="ListBullet"/>
              <w:rPr>
                <w:lang w:val="en-NZ"/>
              </w:rPr>
            </w:pPr>
            <w:r w:rsidRPr="00B208D6">
              <w:t>AS 2865</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D. Procedures</w:t>
            </w: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t>All</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ListBullet"/>
            </w:pPr>
            <w:r w:rsidRPr="00B208D6">
              <w:t>Interpreting cathodic protection data system surveys and readings</w:t>
            </w:r>
          </w:p>
          <w:p w:rsidR="00000000" w:rsidRPr="00B208D6" w:rsidP="00B208D6">
            <w:pPr>
              <w:pStyle w:val="ListBullet"/>
            </w:pPr>
            <w:r w:rsidRPr="00B208D6">
              <w:t>Locating and repairing faults</w:t>
            </w:r>
          </w:p>
          <w:p w:rsidR="00000000" w:rsidRPr="00B208D6" w:rsidP="00B208D6">
            <w:pPr>
              <w:pStyle w:val="ListBullet"/>
            </w:pPr>
            <w:r w:rsidRPr="00B208D6">
              <w:t>Procedures for coating surveys</w:t>
            </w:r>
          </w:p>
          <w:p w:rsidR="00000000" w:rsidP="00B208D6">
            <w:pPr>
              <w:pStyle w:val="ListBullet"/>
              <w:rPr>
                <w:lang w:val="en-NZ"/>
              </w:rPr>
            </w:pPr>
            <w:r w:rsidRPr="00B208D6">
              <w:t>Checking and maintaining potentials</w:t>
            </w:r>
          </w:p>
        </w:tc>
      </w:tr>
      <w:tr w:rsidTr="00B208D6">
        <w:tblPrEx>
          <w:tblW w:w="0" w:type="auto"/>
          <w:tblLayout w:type="fixed"/>
          <w:tblCellMar>
            <w:left w:w="62" w:type="dxa"/>
            <w:right w:w="62" w:type="dxa"/>
          </w:tblCellMar>
          <w:tblLook w:val="0000"/>
        </w:tblPrEx>
        <w:trPr>
          <w:trHeight w:val="295"/>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208D6">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rPr>
                <w:rStyle w:val="SpecialBold"/>
              </w:rPr>
              <w:t>E</w:t>
            </w:r>
          </w:p>
        </w:tc>
        <w:tc>
          <w:tcPr>
            <w:tcW w:w="1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D6">
            <w:pPr>
              <w:pStyle w:val="BodyText"/>
              <w:rPr>
                <w:lang w:val="en-NZ"/>
              </w:rPr>
            </w:pPr>
            <w:r w:rsidRPr="00B208D6">
              <w:t>At least one occasion</w:t>
            </w:r>
          </w:p>
        </w:tc>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D6" w:rsidP="00B208D6">
            <w:pPr>
              <w:pStyle w:val="BodyText"/>
            </w:pPr>
            <w:r w:rsidRPr="00B208D6">
              <w:t xml:space="preserve">Dealing with an unplanned event by drawing on required  knowledge </w:t>
            </w:r>
            <w:r w:rsidRPr="00B208D6">
              <w:t xml:space="preserve">and skills to provide appropriate solutions incorporated in the holistic assessment with the above listed items </w:t>
            </w: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6570"/>
      </w:tblGrid>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8.3)</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This unit should be assessed as it relates to normal work practice using procedures, information and resources typical of a workplace. This should include: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OHS policy and work procedures and instructions.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 xml:space="preserve">Suitable work environment, facilities, equipment and materials to undertake actual work as prescribed by this Competency Standard </w:t>
            </w:r>
            <w:r w:rsidRPr="00B208D6">
              <w:t>Units.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Appropriate environmental regulation and work practices.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Appropriate organisational requirements.</w:t>
            </w:r>
          </w:p>
        </w:tc>
      </w:tr>
      <w:tr w:rsidTr="00B208D6">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 xml:space="preserve">Appropriate </w:t>
            </w:r>
            <w:r w:rsidRPr="00B208D6">
              <w:t>work environment, equipment and tools.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In addition to the resources listed above, in Context of and specific resources for assessment, evidence should show demonstrated competency in maintaining cathodic protection systems.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Assessment of this competency must also be undertaken in either an actual workplace or under a simulated work environment. Assessment must also integrate the employability skills.</w:t>
            </w: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6570"/>
      </w:tblGrid>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8.4)</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This Unit shall be assessed by methods given in Volume 1, Part 3 ‘Assessment Guidelines’.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Note: Competent performance with inherent safe working practices is expected in the Industry to which this Competency Standard Units applies. This requires that the</w:t>
            </w:r>
            <w:r w:rsidRPr="00B208D6">
              <w:t xml:space="preserve"> specified required Knowledge and Skills are assessed in a structured environment which is primarily intended for learning/assessment and incorporates all necessary equipment and facilities for learners to develop and demonstrate the required knowledge and</w:t>
            </w:r>
            <w:r w:rsidRPr="00B208D6">
              <w:t xml:space="preserve"> skills described in this unit.</w:t>
            </w:r>
          </w:p>
        </w:tc>
      </w:tr>
    </w:tbl>
    <w:p w:rsidR="00000000" w:rsidRPr="00B208D6" w:rsidP="00B208D6">
      <w:pPr>
        <w:pStyle w:val="BodyText"/>
      </w:pPr>
    </w:p>
    <w:tbl>
      <w:tblPr>
        <w:tblW w:w="0" w:type="auto"/>
        <w:tblLayout w:type="fixed"/>
        <w:tblCellMar>
          <w:left w:w="62" w:type="dxa"/>
          <w:right w:w="62" w:type="dxa"/>
        </w:tblCellMar>
        <w:tblLook w:val="0000"/>
      </w:tblPr>
      <w:tblGrid>
        <w:gridCol w:w="1828"/>
        <w:gridCol w:w="2000"/>
        <w:gridCol w:w="4632"/>
      </w:tblGrid>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Concurrent assessment and relationship with other units</w:t>
            </w:r>
          </w:p>
        </w:tc>
        <w:tc>
          <w:tcPr>
            <w:tcW w:w="6632"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8.5)</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gridSpan w:val="2"/>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There are no recommended concurrent assessments with this unit, however in some cases efficiencies may be gained in terms of learning and assessment </w:t>
            </w:r>
            <w:r w:rsidRPr="00B208D6">
              <w:t>effort being concurrently managed with allied Competency Standard Units where listed.</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UEGNSG132A</w:t>
            </w:r>
          </w:p>
        </w:tc>
        <w:tc>
          <w:tcPr>
            <w:tcW w:w="4632"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Carry out basic work activities in a gas industry work environment</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UEGNSG140A</w:t>
            </w:r>
          </w:p>
        </w:tc>
        <w:tc>
          <w:tcPr>
            <w:tcW w:w="4632"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 xml:space="preserve">Comply with environmental policies and procedures in the utilities industry </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UEGNSG134A</w:t>
            </w:r>
          </w:p>
        </w:tc>
        <w:tc>
          <w:tcPr>
            <w:tcW w:w="4632"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Establish a utilities infrastructure work site</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BSBFLM312B</w:t>
            </w:r>
          </w:p>
        </w:tc>
        <w:tc>
          <w:tcPr>
            <w:tcW w:w="4632"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Contribute to team effectiveness</w:t>
            </w:r>
          </w:p>
        </w:tc>
      </w:tr>
      <w:tr w:rsidTr="00B208D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BSBFLM303C</w:t>
            </w:r>
          </w:p>
        </w:tc>
        <w:tc>
          <w:tcPr>
            <w:tcW w:w="4632"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Contribute to effective workplace relationships</w:t>
            </w:r>
          </w:p>
        </w:tc>
      </w:tr>
    </w:tbl>
    <w:p w:rsidR="00DA3406" w:rsidP="00B208D6">
      <w:pPr>
        <w:pStyle w:val="BodyText"/>
      </w:pPr>
    </w:p>
    <w:p w:rsidR="00DA3406" w:rsidP="00B208D6">
      <w:pPr>
        <w:pStyle w:val="BodyText"/>
      </w:pPr>
    </w:p>
    <w:p w:rsidR="00000000" w:rsidRPr="00B208D6" w:rsidP="00B208D6">
      <w:pPr>
        <w:pStyle w:val="Heading1"/>
      </w:pPr>
      <w:bookmarkStart w:id="11" w:name="O_625578"/>
      <w:bookmarkEnd w:id="11"/>
      <w:r w:rsidRPr="00B208D6">
        <w:t>Range Statement</w:t>
      </w:r>
    </w:p>
    <w:tbl>
      <w:tblPr>
        <w:tblW w:w="0" w:type="auto"/>
        <w:tblLayout w:type="fixed"/>
        <w:tblCellMar>
          <w:left w:w="62" w:type="dxa"/>
          <w:right w:w="62" w:type="dxa"/>
        </w:tblCellMar>
        <w:tblLook w:val="0000"/>
      </w:tblPr>
      <w:tblGrid>
        <w:gridCol w:w="8398"/>
      </w:tblGrid>
      <w:tr w:rsidTr="00B208D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RANGE STATEMENT</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9)</w:t>
            </w:r>
            <w:r w:rsidRPr="00B208D6">
              <w:t xml:space="preserve"> </w:t>
            </w:r>
            <w:r w:rsidRPr="00B208D6">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This unit shall be demon</w:t>
            </w:r>
            <w:r w:rsidRPr="00B208D6">
              <w:t>strated in relation to maintaining cathodic protection systems on Gas Industry pipelines.</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t>The following constants and variables included in the element/Performance Criteria in this unit are fully described in the Definitions Section of this volume and for</w:t>
            </w:r>
            <w:r w:rsidRPr="00B208D6">
              <w:t>m an integral part of the Range Statement of this unit:</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 xml:space="preserve">Types of CP faults </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Applicable Australian standards/legislation</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Location</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Electrical equipment</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Types of checks and tests</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 xml:space="preserve">Test equipment </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Components and systems</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Relevant documentation</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Relevant authorities and other stakeholders/authorities</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208D6">
            <w:pPr>
              <w:pStyle w:val="ListBullet"/>
              <w:rPr>
                <w:lang w:val="en-NZ"/>
              </w:rPr>
            </w:pPr>
            <w:r w:rsidRPr="00B208D6">
              <w:t>Location for maintaining CP systems</w:t>
            </w:r>
          </w:p>
        </w:tc>
      </w:tr>
      <w:tr w:rsidTr="00B208D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B208D6" w:rsidP="00B208D6">
            <w:pPr>
              <w:pStyle w:val="ListBullet"/>
            </w:pPr>
            <w:r w:rsidRPr="00B208D6">
              <w:t>Drawings and specifications</w:t>
            </w:r>
          </w:p>
        </w:tc>
      </w:tr>
    </w:tbl>
    <w:p w:rsidR="00DA3406" w:rsidP="00B208D6">
      <w:pPr>
        <w:pStyle w:val="BodyText"/>
      </w:pPr>
    </w:p>
    <w:p w:rsidR="00DA3406" w:rsidP="00B208D6">
      <w:pPr>
        <w:pStyle w:val="BodyText"/>
      </w:pPr>
    </w:p>
    <w:p w:rsidR="00000000" w:rsidRPr="00B208D6" w:rsidP="00B208D6">
      <w:pPr>
        <w:pStyle w:val="Heading1"/>
      </w:pPr>
      <w:bookmarkStart w:id="12" w:name="O_625579"/>
      <w:bookmarkEnd w:id="12"/>
      <w:r w:rsidRPr="00B208D6">
        <w:t>Unit Sector(s)</w:t>
      </w:r>
    </w:p>
    <w:p w:rsidR="00000000" w:rsidRPr="00B208D6" w:rsidP="00B208D6">
      <w:pPr>
        <w:pStyle w:val="BodyText"/>
      </w:pPr>
      <w:r w:rsidRPr="00B208D6">
        <w:t>Gas supply industry</w:t>
      </w:r>
    </w:p>
    <w:p w:rsidR="00000000" w:rsidRPr="00B208D6" w:rsidP="00B208D6">
      <w:pPr>
        <w:pStyle w:val="AllowPageBreak"/>
      </w:pPr>
    </w:p>
    <w:p w:rsidR="00000000" w:rsidRPr="00B208D6" w:rsidP="00B208D6">
      <w:pPr>
        <w:pStyle w:val="Heading1"/>
      </w:pPr>
      <w:bookmarkStart w:id="13" w:name="O_625580"/>
      <w:bookmarkEnd w:id="13"/>
      <w:r w:rsidRPr="00B208D6">
        <w:t>Competency Field</w:t>
      </w:r>
    </w:p>
    <w:tbl>
      <w:tblPr>
        <w:tblW w:w="0" w:type="auto"/>
        <w:tblLayout w:type="fixed"/>
        <w:tblCellMar>
          <w:left w:w="62" w:type="dxa"/>
          <w:right w:w="62" w:type="dxa"/>
        </w:tblCellMar>
        <w:tblLook w:val="0000"/>
      </w:tblPr>
      <w:tblGrid>
        <w:gridCol w:w="2638"/>
        <w:gridCol w:w="5760"/>
      </w:tblGrid>
      <w:tr w:rsidTr="00B208D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08D6">
            <w:pPr>
              <w:pStyle w:val="BodyText"/>
              <w:rPr>
                <w:lang w:val="en-NZ"/>
              </w:rPr>
            </w:pPr>
            <w:r w:rsidRPr="00B208D6">
              <w:rPr>
                <w:rStyle w:val="SpecialBold"/>
              </w:rPr>
              <w:t xml:space="preserve">11) </w:t>
            </w:r>
          </w:p>
        </w:tc>
      </w:tr>
      <w:tr w:rsidTr="00B208D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08D6" w:rsidP="00B208D6">
            <w:pPr>
              <w:pStyle w:val="BodyText"/>
            </w:pPr>
            <w:r w:rsidRPr="00B208D6">
              <w:t>Cathodic protection.</w:t>
            </w:r>
          </w:p>
        </w:tc>
      </w:tr>
    </w:tbl>
    <w:p w:rsidR="00DA3406" w:rsidP="00B208D6">
      <w:pPr>
        <w:pStyle w:val="BodyText"/>
      </w:pPr>
    </w:p>
    <w:p w:rsidR="00DA3406" w:rsidP="00B208D6">
      <w:pPr>
        <w:pStyle w:val="BodyText"/>
      </w:pPr>
    </w:p>
    <w:p w:rsidR="00000000" w:rsidRPr="00B208D6" w:rsidP="00B208D6"/>
    <w:sectPr w:rsidSect="00B20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rsidRPr="00DA3406" w:rsidP="00DA3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06" w:rsidP="00B20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A3406" w:rsidP="00B208D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A3406" w:rsidP="00B20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rsidRPr="00DA3406" w:rsidP="00DA34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06" w:rsidRPr="002D2AF8" w:rsidP="00B208D6">
    <w:pPr>
      <w:pStyle w:val="Header"/>
      <w:framePr w:wrap="around"/>
    </w:pPr>
    <w:r>
      <w:fldChar w:fldCharType="begin"/>
    </w:r>
    <w:r>
      <w:instrText xml:space="preserve"> TITLE   \* MERGEFORMAT </w:instrText>
    </w:r>
    <w:r>
      <w:fldChar w:fldCharType="separate"/>
    </w:r>
    <w:r>
      <w:t>UEGNSG411A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DA3406" w:rsidP="00B20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B467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F222CC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3D5C81D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72E8AC1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68FE1FA1"/>
    <w:multiLevelType w:val="multilevel"/>
    <w:tmpl w:val="11CAE48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2"/>
  </w:num>
  <w:num w:numId="11">
    <w:abstractNumId w:val="17"/>
  </w:num>
  <w:num w:numId="12">
    <w:abstractNumId w:val="14"/>
  </w:num>
  <w:num w:numId="13">
    <w:abstractNumId w:val="10"/>
  </w:num>
  <w:num w:numId="14">
    <w:abstractNumId w:val="13"/>
  </w:num>
  <w:num w:numId="15">
    <w:abstractNumId w:val="11"/>
  </w:num>
  <w:num w:numId="16">
    <w:abstractNumId w:val="6"/>
  </w:num>
  <w:num w:numId="17">
    <w:abstractNumId w:val="15"/>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8D6"/>
    <w:pPr>
      <w:spacing w:before="360" w:after="60"/>
      <w:outlineLvl w:val="0"/>
    </w:pPr>
    <w:rPr>
      <w:sz w:val="32"/>
    </w:rPr>
  </w:style>
  <w:style w:type="paragraph" w:styleId="Heading2">
    <w:name w:val="heading 2"/>
    <w:basedOn w:val="HeadingBase"/>
    <w:next w:val="BodyText"/>
    <w:link w:val="Heading2Char"/>
    <w:qFormat/>
    <w:rsid w:val="00B208D6"/>
    <w:pPr>
      <w:keepLines/>
      <w:spacing w:before="240" w:after="120"/>
      <w:outlineLvl w:val="1"/>
    </w:pPr>
    <w:rPr>
      <w:sz w:val="28"/>
      <w:szCs w:val="40"/>
    </w:rPr>
  </w:style>
  <w:style w:type="paragraph" w:styleId="Heading3">
    <w:name w:val="heading 3"/>
    <w:basedOn w:val="HeadingBase"/>
    <w:next w:val="BodyText"/>
    <w:link w:val="Heading3Char"/>
    <w:qFormat/>
    <w:rsid w:val="00B208D6"/>
    <w:pPr>
      <w:spacing w:before="180" w:after="120"/>
      <w:outlineLvl w:val="2"/>
    </w:pPr>
    <w:rPr>
      <w:spacing w:val="-10"/>
      <w:kern w:val="32"/>
    </w:rPr>
  </w:style>
  <w:style w:type="paragraph" w:styleId="Heading4">
    <w:name w:val="heading 4"/>
    <w:basedOn w:val="HeadingBase"/>
    <w:next w:val="BodyText"/>
    <w:link w:val="Heading4Char"/>
    <w:qFormat/>
    <w:rsid w:val="00B208D6"/>
    <w:pPr>
      <w:spacing w:before="160" w:after="120"/>
      <w:outlineLvl w:val="3"/>
    </w:pPr>
    <w:rPr>
      <w:sz w:val="22"/>
    </w:rPr>
  </w:style>
  <w:style w:type="paragraph" w:styleId="Heading5">
    <w:name w:val="heading 5"/>
    <w:basedOn w:val="HeadingBase"/>
    <w:next w:val="Normal"/>
    <w:link w:val="Heading5Char"/>
    <w:qFormat/>
    <w:rsid w:val="00B208D6"/>
    <w:pPr>
      <w:spacing w:before="80"/>
      <w:outlineLvl w:val="4"/>
    </w:pPr>
    <w:rPr>
      <w:color w:val="918585"/>
      <w:sz w:val="20"/>
    </w:rPr>
  </w:style>
  <w:style w:type="paragraph" w:styleId="Heading6">
    <w:name w:val="heading 6"/>
    <w:basedOn w:val="HeadingBase"/>
    <w:next w:val="Normal"/>
    <w:link w:val="Heading6Char"/>
    <w:qFormat/>
    <w:rsid w:val="00B208D6"/>
    <w:pPr>
      <w:spacing w:before="60"/>
      <w:outlineLvl w:val="5"/>
    </w:pPr>
    <w:rPr>
      <w:color w:val="918585"/>
      <w:sz w:val="20"/>
    </w:rPr>
  </w:style>
  <w:style w:type="paragraph" w:styleId="Heading7">
    <w:name w:val="heading 7"/>
    <w:basedOn w:val="Normal"/>
    <w:next w:val="Normal"/>
    <w:link w:val="Heading7Char"/>
    <w:qFormat/>
    <w:rsid w:val="00B208D6"/>
    <w:pPr>
      <w:ind w:left="720"/>
      <w:outlineLvl w:val="6"/>
    </w:pPr>
    <w:rPr>
      <w:i/>
    </w:rPr>
  </w:style>
  <w:style w:type="paragraph" w:styleId="Heading8">
    <w:name w:val="heading 8"/>
    <w:basedOn w:val="Normal"/>
    <w:next w:val="Normal"/>
    <w:link w:val="Heading8Char"/>
    <w:qFormat/>
    <w:rsid w:val="00B208D6"/>
    <w:pPr>
      <w:ind w:left="720"/>
      <w:outlineLvl w:val="7"/>
    </w:pPr>
    <w:rPr>
      <w:i/>
    </w:rPr>
  </w:style>
  <w:style w:type="paragraph" w:styleId="Heading9">
    <w:name w:val="heading 9"/>
    <w:basedOn w:val="Normal"/>
    <w:next w:val="Normal"/>
    <w:link w:val="Heading9Char"/>
    <w:qFormat/>
    <w:rsid w:val="00B208D6"/>
    <w:pPr>
      <w:ind w:left="720"/>
      <w:outlineLvl w:val="8"/>
    </w:pPr>
    <w:rPr>
      <w:i/>
    </w:rPr>
  </w:style>
  <w:style w:type="character" w:default="1" w:styleId="DefaultParagraphFont">
    <w:name w:val="Default Paragraph Font"/>
    <w:uiPriority w:val="1"/>
    <w:unhideWhenUsed/>
    <w:rsid w:val="00B20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8D6"/>
  </w:style>
  <w:style w:type="character" w:customStyle="1" w:styleId="Heading1Char">
    <w:name w:val="Heading 1 Char"/>
    <w:basedOn w:val="DefaultParagraphFont"/>
    <w:link w:val="Heading1"/>
    <w:rsid w:val="00B208D6"/>
    <w:rPr>
      <w:rFonts w:ascii="Times New Roman" w:eastAsia="Times New Roman" w:hAnsi="Times New Roman" w:cs="Times New Roman"/>
      <w:b/>
      <w:sz w:val="32"/>
      <w:szCs w:val="20"/>
      <w:lang w:eastAsia="en-US"/>
    </w:rPr>
  </w:style>
  <w:style w:type="paragraph" w:styleId="BodyText">
    <w:name w:val="Body Text"/>
    <w:basedOn w:val="Normal"/>
    <w:link w:val="BodyTextChar"/>
    <w:rsid w:val="00B20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8D6"/>
    <w:rPr>
      <w:rFonts w:ascii="Times New Roman" w:eastAsia="Times New Roman" w:hAnsi="Times New Roman" w:cs="Times New Roman"/>
      <w:sz w:val="24"/>
      <w:lang w:eastAsia="en-US"/>
    </w:rPr>
  </w:style>
  <w:style w:type="paragraph" w:styleId="ListBullet">
    <w:name w:val="List Bullet"/>
    <w:basedOn w:val="List"/>
    <w:rsid w:val="00B208D6"/>
    <w:pPr>
      <w:numPr>
        <w:numId w:val="14"/>
      </w:numPr>
      <w:tabs>
        <w:tab w:val="clear" w:pos="340"/>
      </w:tabs>
      <w:spacing w:before="40" w:after="40"/>
    </w:pPr>
  </w:style>
  <w:style w:type="character" w:customStyle="1" w:styleId="SpecialBold">
    <w:name w:val="Special Bold"/>
    <w:basedOn w:val="DefaultParagraphFont"/>
    <w:rsid w:val="00B208D6"/>
    <w:rPr>
      <w:b/>
      <w:spacing w:val="0"/>
    </w:rPr>
  </w:style>
  <w:style w:type="paragraph" w:styleId="ListBullet2">
    <w:name w:val="List Bullet 2"/>
    <w:basedOn w:val="List2"/>
    <w:rsid w:val="00B208D6"/>
    <w:pPr>
      <w:numPr>
        <w:numId w:val="15"/>
      </w:numPr>
      <w:tabs>
        <w:tab w:val="clear" w:pos="680"/>
      </w:tabs>
    </w:pPr>
  </w:style>
  <w:style w:type="character" w:styleId="Emphasis">
    <w:name w:val="Emphasis"/>
    <w:basedOn w:val="DefaultParagraphFont"/>
    <w:qFormat/>
    <w:rsid w:val="00B208D6"/>
    <w:rPr>
      <w:i/>
    </w:rPr>
  </w:style>
  <w:style w:type="paragraph" w:customStyle="1" w:styleId="SuperHeading">
    <w:name w:val="SuperHeading"/>
    <w:basedOn w:val="Normal"/>
    <w:rsid w:val="00B208D6"/>
    <w:pPr>
      <w:spacing w:before="240" w:after="120"/>
      <w:outlineLvl w:val="0"/>
    </w:pPr>
    <w:rPr>
      <w:rFonts w:ascii="Times New Roman" w:hAnsi="Times New Roman"/>
      <w:b/>
      <w:sz w:val="32"/>
    </w:rPr>
  </w:style>
  <w:style w:type="paragraph" w:styleId="ListNumber2">
    <w:name w:val="List Number 2"/>
    <w:basedOn w:val="List2"/>
    <w:rsid w:val="00B208D6"/>
    <w:pPr>
      <w:numPr>
        <w:numId w:val="11"/>
      </w:numPr>
    </w:pPr>
  </w:style>
  <w:style w:type="paragraph" w:customStyle="1" w:styleId="AllowPageBreak">
    <w:name w:val="AllowPageBreak"/>
    <w:rsid w:val="00B20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8D6"/>
    <w:rPr>
      <w:rFonts w:ascii="Courier New" w:eastAsia="Times New Roman" w:hAnsi="Courier New" w:cs="Times New Roman"/>
      <w:i/>
      <w:szCs w:val="20"/>
      <w:lang w:eastAsia="en-US"/>
    </w:rPr>
  </w:style>
  <w:style w:type="paragraph" w:customStyle="1" w:styleId="HeadingBase">
    <w:name w:val="Heading Base"/>
    <w:rsid w:val="00B20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8D6"/>
    <w:pPr>
      <w:tabs>
        <w:tab w:val="right" w:leader="dot" w:pos="9072"/>
      </w:tabs>
      <w:ind w:left="567"/>
    </w:pPr>
    <w:rPr>
      <w:szCs w:val="22"/>
    </w:rPr>
  </w:style>
  <w:style w:type="paragraph" w:customStyle="1" w:styleId="TOCBase">
    <w:name w:val="TOC Base"/>
    <w:rsid w:val="00B20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8D6"/>
    <w:pPr>
      <w:tabs>
        <w:tab w:val="right" w:leader="dot" w:pos="9072"/>
      </w:tabs>
      <w:spacing w:before="40" w:after="40"/>
      <w:ind w:left="284"/>
    </w:pPr>
    <w:rPr>
      <w:rFonts w:ascii="Times New Roman" w:hAnsi="Times New Roman"/>
    </w:rPr>
  </w:style>
  <w:style w:type="paragraph" w:styleId="TOC1">
    <w:name w:val="toc 1"/>
    <w:basedOn w:val="TOCBase"/>
    <w:next w:val="Normal"/>
    <w:rsid w:val="00B20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8D6"/>
    <w:rPr>
      <w:rFonts w:ascii="Times New Roman" w:eastAsia="Times New Roman" w:hAnsi="Times New Roman" w:cs="Times New Roman"/>
      <w:sz w:val="16"/>
      <w:lang w:eastAsia="en-US"/>
    </w:rPr>
  </w:style>
  <w:style w:type="paragraph" w:styleId="Title">
    <w:name w:val="Title"/>
    <w:basedOn w:val="HeadingBase"/>
    <w:link w:val="TitleChar"/>
    <w:qFormat/>
    <w:rsid w:val="00B208D6"/>
    <w:pPr>
      <w:spacing w:before="5040"/>
      <w:jc w:val="center"/>
    </w:pPr>
    <w:rPr>
      <w:sz w:val="48"/>
      <w:szCs w:val="72"/>
      <w:lang w:val="en-US"/>
    </w:rPr>
  </w:style>
  <w:style w:type="character" w:customStyle="1" w:styleId="TitleChar">
    <w:name w:val="Title Char"/>
    <w:basedOn w:val="DefaultParagraphFont"/>
    <w:link w:val="Title"/>
    <w:rsid w:val="00B20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8D6"/>
    <w:pPr>
      <w:tabs>
        <w:tab w:val="left" w:pos="3600"/>
        <w:tab w:val="left" w:pos="3958"/>
      </w:tabs>
    </w:pPr>
  </w:style>
  <w:style w:type="paragraph" w:styleId="List">
    <w:name w:val="List"/>
    <w:basedOn w:val="BodyText"/>
    <w:next w:val="BodyText"/>
    <w:rsid w:val="00B208D6"/>
    <w:pPr>
      <w:tabs>
        <w:tab w:val="left" w:pos="340"/>
      </w:tabs>
      <w:spacing w:before="60" w:after="60"/>
      <w:ind w:left="340" w:hanging="340"/>
    </w:pPr>
  </w:style>
  <w:style w:type="paragraph" w:customStyle="1" w:styleId="Note">
    <w:name w:val="Note"/>
    <w:basedOn w:val="BodyText"/>
    <w:rsid w:val="00B20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8D6"/>
    <w:pPr>
      <w:framePr w:wrap="auto" w:hAnchor="text" w:y="6049"/>
    </w:pPr>
    <w:rPr>
      <w:color w:val="000000"/>
      <w:sz w:val="40"/>
    </w:rPr>
  </w:style>
  <w:style w:type="paragraph" w:customStyle="1" w:styleId="TOCTitle">
    <w:name w:val="TOCTitle"/>
    <w:basedOn w:val="Heading1"/>
    <w:rsid w:val="00B208D6"/>
    <w:pPr>
      <w:spacing w:after="240"/>
      <w:jc w:val="center"/>
      <w:outlineLvl w:val="9"/>
    </w:pPr>
    <w:rPr>
      <w:caps/>
    </w:rPr>
  </w:style>
  <w:style w:type="paragraph" w:customStyle="1" w:styleId="Version">
    <w:name w:val="Version"/>
    <w:rsid w:val="00B20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8D6"/>
    <w:pPr>
      <w:keepNext w:val="0"/>
      <w:tabs>
        <w:tab w:val="right" w:pos="4176"/>
      </w:tabs>
      <w:ind w:left="198" w:hanging="198"/>
    </w:pPr>
    <w:rPr>
      <w:rFonts w:ascii="Garamond" w:hAnsi="Garamond"/>
    </w:rPr>
  </w:style>
  <w:style w:type="paragraph" w:styleId="IndexHeading">
    <w:name w:val="index heading"/>
    <w:basedOn w:val="Normal"/>
    <w:next w:val="Index1"/>
    <w:semiHidden/>
    <w:rsid w:val="00B208D6"/>
    <w:pPr>
      <w:spacing w:before="120" w:after="120"/>
    </w:pPr>
    <w:rPr>
      <w:rFonts w:ascii="Arial" w:hAnsi="Arial"/>
      <w:b/>
      <w:color w:val="918585"/>
      <w:sz w:val="24"/>
    </w:rPr>
  </w:style>
  <w:style w:type="paragraph" w:styleId="Header">
    <w:name w:val="header"/>
    <w:basedOn w:val="Normal"/>
    <w:link w:val="HeaderChar"/>
    <w:rsid w:val="00B20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8D6"/>
    <w:rPr>
      <w:rFonts w:ascii="Times New Roman" w:eastAsia="Times New Roman" w:hAnsi="Times New Roman" w:cs="Times New Roman"/>
      <w:sz w:val="16"/>
      <w:szCs w:val="20"/>
      <w:lang w:val="en-GB" w:eastAsia="en-US"/>
    </w:rPr>
  </w:style>
  <w:style w:type="paragraph" w:customStyle="1" w:styleId="Chapter">
    <w:name w:val="Chapter"/>
    <w:basedOn w:val="Normal"/>
    <w:rsid w:val="00B208D6"/>
    <w:pPr>
      <w:spacing w:before="240"/>
    </w:pPr>
    <w:rPr>
      <w:rFonts w:ascii="Times New Roman" w:hAnsi="Times New Roman"/>
      <w:smallCaps/>
      <w:spacing w:val="80"/>
      <w:sz w:val="28"/>
    </w:rPr>
  </w:style>
  <w:style w:type="paragraph" w:customStyle="1" w:styleId="InChapter">
    <w:name w:val="InChapter"/>
    <w:basedOn w:val="Heading3"/>
    <w:rsid w:val="00B208D6"/>
    <w:pPr>
      <w:spacing w:after="240"/>
      <w:outlineLvl w:val="9"/>
    </w:pPr>
    <w:rPr>
      <w:noProof/>
    </w:rPr>
  </w:style>
  <w:style w:type="paragraph" w:styleId="Index2">
    <w:name w:val="index 2"/>
    <w:basedOn w:val="Normal"/>
    <w:next w:val="Normal"/>
    <w:semiHidden/>
    <w:rsid w:val="00B208D6"/>
    <w:pPr>
      <w:tabs>
        <w:tab w:val="right" w:pos="4176"/>
      </w:tabs>
      <w:ind w:left="568" w:hanging="284"/>
    </w:pPr>
    <w:rPr>
      <w:rFonts w:ascii="Garamond" w:hAnsi="Garamond"/>
    </w:rPr>
  </w:style>
  <w:style w:type="paragraph" w:customStyle="1" w:styleId="Byline">
    <w:name w:val="Byline"/>
    <w:rsid w:val="00B20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8D6"/>
    <w:pPr>
      <w:tabs>
        <w:tab w:val="clear" w:pos="3600"/>
        <w:tab w:val="clear" w:pos="3958"/>
      </w:tabs>
      <w:jc w:val="right"/>
    </w:pPr>
  </w:style>
  <w:style w:type="paragraph" w:styleId="Caption">
    <w:name w:val="caption"/>
    <w:basedOn w:val="BodyText"/>
    <w:next w:val="Normal"/>
    <w:qFormat/>
    <w:rsid w:val="00B208D6"/>
    <w:pPr>
      <w:framePr w:w="2268" w:hSpace="181" w:vSpace="181" w:wrap="around" w:vAnchor="text" w:hAnchor="page" w:x="1135" w:y="285" w:anchorLock="1"/>
    </w:pPr>
    <w:rPr>
      <w:i/>
    </w:rPr>
  </w:style>
  <w:style w:type="paragraph" w:customStyle="1" w:styleId="MiniTOCTitle">
    <w:name w:val="MiniTOCTitle"/>
    <w:basedOn w:val="Heading4"/>
    <w:rsid w:val="00B208D6"/>
    <w:pPr>
      <w:spacing w:before="240"/>
      <w:outlineLvl w:val="9"/>
    </w:pPr>
    <w:rPr>
      <w:noProof/>
      <w:sz w:val="24"/>
    </w:rPr>
  </w:style>
  <w:style w:type="paragraph" w:customStyle="1" w:styleId="MiniTOCItem">
    <w:name w:val="MiniTOCItem"/>
    <w:basedOn w:val="ListBullet"/>
    <w:rsid w:val="00B208D6"/>
    <w:pPr>
      <w:numPr>
        <w:numId w:val="0"/>
      </w:numPr>
      <w:tabs>
        <w:tab w:val="right" w:leader="dot" w:pos="6521"/>
      </w:tabs>
      <w:spacing w:before="0" w:after="0"/>
    </w:pPr>
  </w:style>
  <w:style w:type="paragraph" w:customStyle="1" w:styleId="TOFTitle">
    <w:name w:val="TOFTitle"/>
    <w:basedOn w:val="TOCTitle"/>
    <w:rsid w:val="00B208D6"/>
  </w:style>
  <w:style w:type="paragraph" w:styleId="TableofFigures">
    <w:name w:val="table of figures"/>
    <w:basedOn w:val="Normal"/>
    <w:next w:val="Normal"/>
    <w:semiHidden/>
    <w:rsid w:val="00B208D6"/>
    <w:pPr>
      <w:tabs>
        <w:tab w:val="right" w:leader="dot" w:pos="9072"/>
      </w:tabs>
      <w:ind w:left="970" w:hanging="403"/>
    </w:pPr>
    <w:rPr>
      <w:rFonts w:ascii="Times New Roman" w:hAnsi="Times New Roman"/>
      <w:b/>
    </w:rPr>
  </w:style>
  <w:style w:type="paragraph" w:styleId="ListNumber">
    <w:name w:val="List Number"/>
    <w:basedOn w:val="List"/>
    <w:rsid w:val="00B208D6"/>
    <w:pPr>
      <w:numPr>
        <w:numId w:val="12"/>
      </w:numPr>
    </w:pPr>
  </w:style>
  <w:style w:type="character" w:customStyle="1" w:styleId="WingdingSymbols">
    <w:name w:val="Wingding Symbols"/>
    <w:rsid w:val="00B208D6"/>
    <w:rPr>
      <w:rFonts w:ascii="Wingdings" w:hAnsi="Wingdings"/>
    </w:rPr>
  </w:style>
  <w:style w:type="paragraph" w:customStyle="1" w:styleId="TableHeading">
    <w:name w:val="Table Heading"/>
    <w:basedOn w:val="HeadingBase"/>
    <w:rsid w:val="00B208D6"/>
    <w:pPr>
      <w:keepLines/>
      <w:pBdr>
        <w:bottom w:val="single" w:sz="6" w:space="1" w:color="918585"/>
      </w:pBdr>
      <w:spacing w:before="240"/>
    </w:pPr>
  </w:style>
  <w:style w:type="character" w:customStyle="1" w:styleId="HotSpot">
    <w:name w:val="HotSpot"/>
    <w:rsid w:val="00B208D6"/>
    <w:rPr>
      <w:color w:val="0033CC"/>
      <w:u w:val="none"/>
    </w:rPr>
  </w:style>
  <w:style w:type="paragraph" w:customStyle="1" w:styleId="BodyTextRight">
    <w:name w:val="Body Text Right"/>
    <w:basedOn w:val="BodyText"/>
    <w:rsid w:val="00B208D6"/>
    <w:pPr>
      <w:spacing w:before="0" w:after="0"/>
      <w:jc w:val="right"/>
    </w:pPr>
  </w:style>
  <w:style w:type="paragraph" w:styleId="Index3">
    <w:name w:val="index 3"/>
    <w:basedOn w:val="ListNumber2"/>
    <w:next w:val="Normal"/>
    <w:semiHidden/>
    <w:rsid w:val="00B208D6"/>
    <w:pPr>
      <w:numPr>
        <w:numId w:val="0"/>
      </w:numPr>
      <w:tabs>
        <w:tab w:val="right" w:leader="dot" w:pos="4176"/>
      </w:tabs>
    </w:pPr>
  </w:style>
  <w:style w:type="paragraph" w:customStyle="1" w:styleId="MarginNote">
    <w:name w:val="Margin Note"/>
    <w:basedOn w:val="BodyText"/>
    <w:rsid w:val="00B20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8D6"/>
    <w:rPr>
      <w:sz w:val="32"/>
    </w:rPr>
  </w:style>
  <w:style w:type="paragraph" w:customStyle="1" w:styleId="HeadingProcedure">
    <w:name w:val="Heading Procedure"/>
    <w:basedOn w:val="HeadingBase"/>
    <w:next w:val="Normal"/>
    <w:rsid w:val="00B208D6"/>
    <w:pPr>
      <w:tabs>
        <w:tab w:val="left" w:pos="0"/>
      </w:tabs>
      <w:spacing w:before="120" w:after="60"/>
    </w:pPr>
    <w:rPr>
      <w:i/>
      <w:color w:val="918585"/>
      <w:sz w:val="22"/>
    </w:rPr>
  </w:style>
  <w:style w:type="paragraph" w:customStyle="1" w:styleId="TableBodyText">
    <w:name w:val="Table Body Text"/>
    <w:basedOn w:val="BodyText"/>
    <w:rsid w:val="00B208D6"/>
    <w:pPr>
      <w:spacing w:before="60" w:after="60"/>
    </w:pPr>
  </w:style>
  <w:style w:type="paragraph" w:styleId="ListContinue">
    <w:name w:val="List Continue"/>
    <w:basedOn w:val="List"/>
    <w:rsid w:val="00B208D6"/>
    <w:pPr>
      <w:ind w:firstLine="0"/>
    </w:pPr>
  </w:style>
  <w:style w:type="paragraph" w:customStyle="1" w:styleId="ListNote">
    <w:name w:val="List Note"/>
    <w:basedOn w:val="List"/>
    <w:rsid w:val="00B208D6"/>
    <w:pPr>
      <w:pBdr>
        <w:top w:val="single" w:sz="6" w:space="2" w:color="918585"/>
        <w:bottom w:val="single" w:sz="6" w:space="2" w:color="918585"/>
      </w:pBdr>
      <w:tabs>
        <w:tab w:val="left" w:pos="1021"/>
      </w:tabs>
      <w:ind w:firstLine="0"/>
    </w:pPr>
  </w:style>
  <w:style w:type="paragraph" w:customStyle="1" w:styleId="Warning">
    <w:name w:val="Warning"/>
    <w:basedOn w:val="BodyText"/>
    <w:rsid w:val="00B208D6"/>
    <w:pPr>
      <w:shd w:val="clear" w:color="auto" w:fill="D9D9D9"/>
      <w:tabs>
        <w:tab w:val="left" w:pos="992"/>
      </w:tabs>
      <w:ind w:left="119" w:right="119"/>
    </w:pPr>
    <w:rPr>
      <w:sz w:val="20"/>
    </w:rPr>
  </w:style>
  <w:style w:type="paragraph" w:customStyle="1" w:styleId="MarginIcons">
    <w:name w:val="Margin Icons"/>
    <w:basedOn w:val="BodyText"/>
    <w:rsid w:val="00B20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8D6"/>
    <w:rPr>
      <w:rFonts w:ascii="Courier New" w:hAnsi="Courier New"/>
    </w:rPr>
  </w:style>
  <w:style w:type="paragraph" w:customStyle="1" w:styleId="NoteBullet">
    <w:name w:val="Note Bullet"/>
    <w:basedOn w:val="Note"/>
    <w:rsid w:val="00B208D6"/>
    <w:pPr>
      <w:tabs>
        <w:tab w:val="clear" w:pos="680"/>
      </w:tabs>
      <w:spacing w:before="60" w:after="60"/>
    </w:pPr>
  </w:style>
  <w:style w:type="paragraph" w:customStyle="1" w:styleId="SubHeading2">
    <w:name w:val="SubHeading2"/>
    <w:basedOn w:val="HeadingBase"/>
    <w:rsid w:val="00B208D6"/>
    <w:pPr>
      <w:spacing w:before="240" w:after="60"/>
    </w:pPr>
    <w:rPr>
      <w:sz w:val="20"/>
    </w:rPr>
  </w:style>
  <w:style w:type="paragraph" w:customStyle="1" w:styleId="SubHeading1">
    <w:name w:val="SubHeading1"/>
    <w:basedOn w:val="HeadingBase"/>
    <w:rsid w:val="00B208D6"/>
    <w:pPr>
      <w:spacing w:before="240" w:after="60"/>
    </w:pPr>
    <w:rPr>
      <w:color w:val="918585"/>
      <w:sz w:val="22"/>
    </w:rPr>
  </w:style>
  <w:style w:type="paragraph" w:customStyle="1" w:styleId="SideHeading">
    <w:name w:val="Side Heading"/>
    <w:basedOn w:val="HeadingBase"/>
    <w:rsid w:val="00B20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8D6"/>
    <w:pPr>
      <w:numPr>
        <w:numId w:val="13"/>
      </w:numPr>
    </w:pPr>
  </w:style>
  <w:style w:type="paragraph" w:styleId="PlainText">
    <w:name w:val="Plain Text"/>
    <w:basedOn w:val="Normal"/>
    <w:link w:val="PlainTextChar"/>
    <w:rsid w:val="00B208D6"/>
    <w:rPr>
      <w:sz w:val="20"/>
    </w:rPr>
  </w:style>
  <w:style w:type="character" w:customStyle="1" w:styleId="PlainTextChar">
    <w:name w:val="Plain Text Char"/>
    <w:basedOn w:val="DefaultParagraphFont"/>
    <w:link w:val="PlainText"/>
    <w:rsid w:val="00B208D6"/>
    <w:rPr>
      <w:rFonts w:ascii="Courier New" w:eastAsia="Times New Roman" w:hAnsi="Courier New" w:cs="Times New Roman"/>
      <w:sz w:val="20"/>
      <w:szCs w:val="20"/>
      <w:lang w:eastAsia="en-US"/>
    </w:rPr>
  </w:style>
  <w:style w:type="character" w:customStyle="1" w:styleId="MenuOption">
    <w:name w:val="Menu Option"/>
    <w:basedOn w:val="DefaultParagraphFont"/>
    <w:rsid w:val="00B208D6"/>
    <w:rPr>
      <w:b/>
      <w:smallCaps/>
    </w:rPr>
  </w:style>
  <w:style w:type="paragraph" w:customStyle="1" w:styleId="TableListNumber">
    <w:name w:val="Table List Number"/>
    <w:basedOn w:val="ListNumber"/>
    <w:rsid w:val="00B208D6"/>
    <w:pPr>
      <w:numPr>
        <w:numId w:val="0"/>
      </w:numPr>
    </w:pPr>
  </w:style>
  <w:style w:type="paragraph" w:styleId="TOC4">
    <w:name w:val="toc 4"/>
    <w:basedOn w:val="TOCBase"/>
    <w:next w:val="Normal"/>
    <w:semiHidden/>
    <w:rsid w:val="00B208D6"/>
    <w:pPr>
      <w:tabs>
        <w:tab w:val="right" w:leader="dot" w:pos="9071"/>
      </w:tabs>
      <w:ind w:left="1701"/>
    </w:pPr>
  </w:style>
  <w:style w:type="paragraph" w:customStyle="1" w:styleId="ListAlpha">
    <w:name w:val="List Alpha"/>
    <w:basedOn w:val="List"/>
    <w:rsid w:val="00B208D6"/>
    <w:pPr>
      <w:numPr>
        <w:numId w:val="10"/>
      </w:numPr>
    </w:pPr>
  </w:style>
  <w:style w:type="paragraph" w:customStyle="1" w:styleId="ListAlpha2">
    <w:name w:val="List Alpha 2"/>
    <w:basedOn w:val="List2"/>
    <w:rsid w:val="00B208D6"/>
    <w:pPr>
      <w:numPr>
        <w:numId w:val="9"/>
      </w:numPr>
    </w:pPr>
  </w:style>
  <w:style w:type="paragraph" w:styleId="List2">
    <w:name w:val="List 2"/>
    <w:basedOn w:val="BodyText"/>
    <w:rsid w:val="00B208D6"/>
    <w:pPr>
      <w:tabs>
        <w:tab w:val="left" w:pos="680"/>
      </w:tabs>
      <w:spacing w:before="60" w:after="60"/>
      <w:ind w:left="680" w:hanging="340"/>
    </w:pPr>
  </w:style>
  <w:style w:type="paragraph" w:styleId="List3">
    <w:name w:val="List 3"/>
    <w:basedOn w:val="BodyText"/>
    <w:rsid w:val="00B208D6"/>
    <w:pPr>
      <w:tabs>
        <w:tab w:val="left" w:pos="1021"/>
      </w:tabs>
      <w:spacing w:before="60" w:after="60"/>
      <w:ind w:left="1020" w:hanging="340"/>
    </w:pPr>
  </w:style>
  <w:style w:type="paragraph" w:styleId="List4">
    <w:name w:val="List 4"/>
    <w:basedOn w:val="BodyText"/>
    <w:rsid w:val="00B208D6"/>
    <w:pPr>
      <w:tabs>
        <w:tab w:val="left" w:pos="1361"/>
      </w:tabs>
      <w:spacing w:before="60" w:after="60"/>
      <w:ind w:left="1361" w:hanging="340"/>
    </w:pPr>
  </w:style>
  <w:style w:type="paragraph" w:styleId="List5">
    <w:name w:val="List 5"/>
    <w:basedOn w:val="BodyText"/>
    <w:rsid w:val="00B208D6"/>
    <w:pPr>
      <w:tabs>
        <w:tab w:val="left" w:pos="1701"/>
      </w:tabs>
      <w:spacing w:before="60" w:after="60"/>
      <w:ind w:left="1701" w:hanging="340"/>
    </w:pPr>
  </w:style>
  <w:style w:type="paragraph" w:styleId="ListBullet3">
    <w:name w:val="List Bullet 3"/>
    <w:basedOn w:val="List3"/>
    <w:rsid w:val="00B208D6"/>
    <w:pPr>
      <w:numPr>
        <w:numId w:val="16"/>
      </w:numPr>
      <w:tabs>
        <w:tab w:val="clear" w:pos="1021"/>
      </w:tabs>
      <w:ind w:left="1037" w:hanging="357"/>
    </w:pPr>
  </w:style>
  <w:style w:type="paragraph" w:styleId="ListBullet4">
    <w:name w:val="List Bullet 4"/>
    <w:basedOn w:val="List4"/>
    <w:rsid w:val="00B208D6"/>
    <w:pPr>
      <w:numPr>
        <w:numId w:val="4"/>
      </w:numPr>
    </w:pPr>
  </w:style>
  <w:style w:type="paragraph" w:styleId="ListBullet5">
    <w:name w:val="List Bullet 5"/>
    <w:basedOn w:val="List5"/>
    <w:rsid w:val="00B208D6"/>
    <w:pPr>
      <w:numPr>
        <w:numId w:val="5"/>
      </w:numPr>
    </w:pPr>
  </w:style>
  <w:style w:type="paragraph" w:styleId="ListContinue2">
    <w:name w:val="List Continue 2"/>
    <w:basedOn w:val="List2"/>
    <w:rsid w:val="00B208D6"/>
    <w:pPr>
      <w:ind w:firstLine="0"/>
    </w:pPr>
  </w:style>
  <w:style w:type="paragraph" w:styleId="ListContinue3">
    <w:name w:val="List Continue 3"/>
    <w:basedOn w:val="List3"/>
    <w:rsid w:val="00B208D6"/>
    <w:pPr>
      <w:ind w:left="1021" w:firstLine="0"/>
    </w:pPr>
  </w:style>
  <w:style w:type="paragraph" w:styleId="ListContinue4">
    <w:name w:val="List Continue 4"/>
    <w:basedOn w:val="List4"/>
    <w:rsid w:val="00B208D6"/>
    <w:pPr>
      <w:ind w:firstLine="0"/>
    </w:pPr>
  </w:style>
  <w:style w:type="paragraph" w:styleId="ListContinue5">
    <w:name w:val="List Continue 5"/>
    <w:basedOn w:val="List5"/>
    <w:rsid w:val="00B208D6"/>
    <w:pPr>
      <w:ind w:firstLine="0"/>
    </w:pPr>
  </w:style>
  <w:style w:type="paragraph" w:styleId="ListNumber3">
    <w:name w:val="List Number 3"/>
    <w:basedOn w:val="List3"/>
    <w:rsid w:val="00B208D6"/>
    <w:pPr>
      <w:numPr>
        <w:numId w:val="6"/>
      </w:numPr>
    </w:pPr>
  </w:style>
  <w:style w:type="paragraph" w:styleId="ListNumber4">
    <w:name w:val="List Number 4"/>
    <w:basedOn w:val="List4"/>
    <w:rsid w:val="00B208D6"/>
    <w:pPr>
      <w:numPr>
        <w:numId w:val="7"/>
      </w:numPr>
    </w:pPr>
  </w:style>
  <w:style w:type="paragraph" w:styleId="ListNumber5">
    <w:name w:val="List Number 5"/>
    <w:basedOn w:val="List5"/>
    <w:rsid w:val="00B208D6"/>
    <w:pPr>
      <w:numPr>
        <w:numId w:val="8"/>
      </w:numPr>
    </w:pPr>
  </w:style>
  <w:style w:type="paragraph" w:styleId="BlockText">
    <w:name w:val="Block Text"/>
    <w:basedOn w:val="Normal"/>
    <w:rsid w:val="00B208D6"/>
    <w:pPr>
      <w:spacing w:after="120"/>
      <w:ind w:left="1440" w:right="1440"/>
    </w:pPr>
  </w:style>
  <w:style w:type="character" w:customStyle="1" w:styleId="Subscript">
    <w:name w:val="Subscript"/>
    <w:basedOn w:val="DefaultParagraphFont"/>
    <w:rsid w:val="00B208D6"/>
    <w:rPr>
      <w:sz w:val="16"/>
      <w:vertAlign w:val="subscript"/>
    </w:rPr>
  </w:style>
  <w:style w:type="character" w:customStyle="1" w:styleId="Superscript">
    <w:name w:val="Superscript"/>
    <w:basedOn w:val="DefaultParagraphFont"/>
    <w:rsid w:val="00B208D6"/>
    <w:rPr>
      <w:sz w:val="16"/>
      <w:vertAlign w:val="superscript"/>
    </w:rPr>
  </w:style>
  <w:style w:type="character" w:customStyle="1" w:styleId="Symbols">
    <w:name w:val="Symbols"/>
    <w:basedOn w:val="DefaultParagraphFont"/>
    <w:rsid w:val="00B208D6"/>
    <w:rPr>
      <w:rFonts w:ascii="Symbol" w:hAnsi="Symbol"/>
    </w:rPr>
  </w:style>
  <w:style w:type="character" w:customStyle="1" w:styleId="MenuOptions">
    <w:name w:val="Menu Options"/>
    <w:basedOn w:val="DefaultParagraphFont"/>
    <w:rsid w:val="00B208D6"/>
    <w:rPr>
      <w:rFonts w:ascii="Arial Narrow" w:hAnsi="Arial Narrow"/>
      <w:smallCaps/>
    </w:rPr>
  </w:style>
  <w:style w:type="character" w:customStyle="1" w:styleId="Buttons">
    <w:name w:val="Buttons"/>
    <w:basedOn w:val="DefaultParagraphFont"/>
    <w:rsid w:val="00B208D6"/>
    <w:rPr>
      <w:b/>
    </w:rPr>
  </w:style>
  <w:style w:type="character" w:customStyle="1" w:styleId="Underlined">
    <w:name w:val="Underlined"/>
    <w:basedOn w:val="DefaultParagraphFont"/>
    <w:rsid w:val="00B208D6"/>
    <w:rPr>
      <w:u w:val="single"/>
    </w:rPr>
  </w:style>
  <w:style w:type="paragraph" w:customStyle="1" w:styleId="TableBodyTextRight">
    <w:name w:val="Table Body Text Right"/>
    <w:basedOn w:val="TableBodyText"/>
    <w:rsid w:val="00B208D6"/>
    <w:pPr>
      <w:widowControl w:val="0"/>
      <w:autoSpaceDE w:val="0"/>
      <w:autoSpaceDN w:val="0"/>
      <w:adjustRightInd w:val="0"/>
      <w:jc w:val="right"/>
    </w:pPr>
    <w:rPr>
      <w:rFonts w:cs="Arial"/>
      <w:szCs w:val="18"/>
    </w:rPr>
  </w:style>
  <w:style w:type="paragraph" w:customStyle="1" w:styleId="CopyrightText">
    <w:name w:val="Copyright Text"/>
    <w:basedOn w:val="BodyText"/>
    <w:rsid w:val="00B208D6"/>
    <w:rPr>
      <w:sz w:val="18"/>
    </w:rPr>
  </w:style>
  <w:style w:type="paragraph" w:customStyle="1" w:styleId="BodySmallRight">
    <w:name w:val="Body Small Right"/>
    <w:basedOn w:val="BodyTextRight"/>
    <w:rsid w:val="00B208D6"/>
    <w:rPr>
      <w:sz w:val="18"/>
      <w:szCs w:val="18"/>
    </w:rPr>
  </w:style>
  <w:style w:type="paragraph" w:customStyle="1" w:styleId="MarginEdition">
    <w:name w:val="Margin Edition"/>
    <w:basedOn w:val="MarginNote"/>
    <w:rsid w:val="00B208D6"/>
    <w:pPr>
      <w:spacing w:before="0" w:after="0"/>
    </w:pPr>
    <w:rPr>
      <w:rFonts w:ascii="Times New Roman" w:hAnsi="Times New Roman"/>
      <w:color w:val="999999"/>
    </w:rPr>
  </w:style>
  <w:style w:type="paragraph" w:customStyle="1" w:styleId="Spacer">
    <w:name w:val="Spacer"/>
    <w:basedOn w:val="Normal"/>
    <w:rsid w:val="00B208D6"/>
    <w:rPr>
      <w:sz w:val="2"/>
      <w:szCs w:val="2"/>
    </w:rPr>
  </w:style>
  <w:style w:type="character" w:customStyle="1" w:styleId="Small">
    <w:name w:val="Small"/>
    <w:basedOn w:val="DefaultParagraphFont"/>
    <w:rsid w:val="00B208D6"/>
    <w:rPr>
      <w:sz w:val="16"/>
    </w:rPr>
  </w:style>
  <w:style w:type="paragraph" w:customStyle="1" w:styleId="WideTable">
    <w:name w:val="Wide Table"/>
    <w:basedOn w:val="Normal"/>
    <w:rsid w:val="00B208D6"/>
    <w:pPr>
      <w:ind w:left="-1418"/>
    </w:pPr>
    <w:rPr>
      <w:sz w:val="2"/>
      <w:szCs w:val="2"/>
    </w:rPr>
  </w:style>
  <w:style w:type="character" w:styleId="PageNumber">
    <w:name w:val="page number"/>
    <w:basedOn w:val="DefaultParagraphFont"/>
    <w:rsid w:val="00B208D6"/>
  </w:style>
  <w:style w:type="paragraph" w:styleId="Quote">
    <w:name w:val="Quote"/>
    <w:basedOn w:val="Heading1"/>
    <w:link w:val="QuoteChar"/>
    <w:qFormat/>
    <w:rsid w:val="00B208D6"/>
    <w:rPr>
      <w:b w:val="0"/>
      <w:sz w:val="72"/>
      <w:szCs w:val="72"/>
      <w:lang w:val="en-NZ"/>
    </w:rPr>
  </w:style>
  <w:style w:type="character" w:customStyle="1" w:styleId="QuoteChar">
    <w:name w:val="Quote Char"/>
    <w:basedOn w:val="DefaultParagraphFont"/>
    <w:link w:val="Quote"/>
    <w:rsid w:val="00B20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8D6"/>
    <w:pPr>
      <w:pageBreakBefore/>
    </w:pPr>
  </w:style>
  <w:style w:type="paragraph" w:customStyle="1" w:styleId="Border">
    <w:name w:val="Border"/>
    <w:basedOn w:val="Normal"/>
    <w:qFormat/>
    <w:rsid w:val="00B20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8D6"/>
    <w:rPr>
      <w:b/>
      <w:bCs/>
      <w:i/>
      <w:iCs/>
      <w:color w:val="auto"/>
    </w:rPr>
  </w:style>
  <w:style w:type="paragraph" w:styleId="IntenseQuote">
    <w:name w:val="Intense Quote"/>
    <w:basedOn w:val="Normal"/>
    <w:next w:val="Normal"/>
    <w:link w:val="IntenseQuoteChar"/>
    <w:uiPriority w:val="30"/>
    <w:qFormat/>
    <w:rsid w:val="00B20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8D6"/>
    <w:rPr>
      <w:smallCaps/>
      <w:color w:val="auto"/>
      <w:u w:val="single"/>
    </w:rPr>
  </w:style>
  <w:style w:type="character" w:styleId="IntenseReference">
    <w:name w:val="Intense Reference"/>
    <w:basedOn w:val="DefaultParagraphFont"/>
    <w:uiPriority w:val="32"/>
    <w:qFormat/>
    <w:rsid w:val="00B208D6"/>
    <w:rPr>
      <w:b/>
      <w:bCs/>
      <w:smallCaps/>
      <w:color w:val="auto"/>
      <w:spacing w:val="5"/>
      <w:u w:val="single"/>
    </w:rPr>
  </w:style>
  <w:style w:type="paragraph" w:customStyle="1" w:styleId="2ColumnHeading">
    <w:name w:val="2Column Heading"/>
    <w:basedOn w:val="BodyText"/>
    <w:qFormat/>
    <w:rsid w:val="00B208D6"/>
    <w:pPr>
      <w:spacing w:after="60"/>
      <w:ind w:left="-2268"/>
    </w:pPr>
    <w:rPr>
      <w:b/>
    </w:rPr>
  </w:style>
  <w:style w:type="paragraph" w:customStyle="1" w:styleId="Heading1TOC">
    <w:name w:val="Heading1 TOC"/>
    <w:basedOn w:val="Normal"/>
    <w:qFormat/>
    <w:rsid w:val="00B208D6"/>
    <w:pPr>
      <w:spacing w:before="240" w:after="120"/>
    </w:pPr>
    <w:rPr>
      <w:rFonts w:ascii="Times New Roman" w:hAnsi="Times New Roman"/>
      <w:b/>
      <w:sz w:val="32"/>
    </w:rPr>
  </w:style>
  <w:style w:type="paragraph" w:customStyle="1" w:styleId="Heading2TOC">
    <w:name w:val="Heading2 TOC"/>
    <w:basedOn w:val="Normal"/>
    <w:qFormat/>
    <w:rsid w:val="00B208D6"/>
    <w:pPr>
      <w:spacing w:before="240" w:after="60"/>
    </w:pPr>
    <w:rPr>
      <w:rFonts w:ascii="Times New Roman" w:hAnsi="Times New Roman"/>
      <w:b/>
      <w:sz w:val="28"/>
    </w:rPr>
  </w:style>
  <w:style w:type="character" w:customStyle="1" w:styleId="Underline">
    <w:name w:val="Underline"/>
    <w:basedOn w:val="DefaultParagraphFont"/>
    <w:qFormat/>
    <w:rsid w:val="00B208D6"/>
    <w:rPr>
      <w:u w:val="single"/>
    </w:rPr>
  </w:style>
  <w:style w:type="character" w:customStyle="1" w:styleId="BoldandItalics">
    <w:name w:val="Bold and Italics"/>
    <w:qFormat/>
    <w:rsid w:val="00B208D6"/>
    <w:rPr>
      <w:b/>
      <w:i/>
      <w:u w:val="none"/>
    </w:rPr>
  </w:style>
  <w:style w:type="paragraph" w:styleId="BalloonText">
    <w:name w:val="Balloon Text"/>
    <w:basedOn w:val="Normal"/>
    <w:link w:val="BalloonTextChar"/>
    <w:rsid w:val="00B208D6"/>
    <w:rPr>
      <w:rFonts w:ascii="Tahoma" w:hAnsi="Tahoma" w:cs="Tahoma"/>
      <w:sz w:val="16"/>
      <w:szCs w:val="16"/>
    </w:rPr>
  </w:style>
  <w:style w:type="character" w:customStyle="1" w:styleId="BalloonTextChar">
    <w:name w:val="Balloon Text Char"/>
    <w:basedOn w:val="DefaultParagraphFont"/>
    <w:link w:val="BalloonText"/>
    <w:rsid w:val="00B20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8D6"/>
    <w:rPr>
      <w:b/>
      <w:color w:val="660033"/>
      <w:spacing w:val="0"/>
    </w:rPr>
  </w:style>
  <w:style w:type="paragraph" w:customStyle="1" w:styleId="Nameditemlist">
    <w:name w:val="Named item list"/>
    <w:basedOn w:val="BodyText"/>
    <w:qFormat/>
    <w:rsid w:val="00B208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2769</Words>
  <Characters>17279</Characters>
  <Application>Microsoft Office Word</Application>
  <DocSecurity>0</DocSecurity>
  <Lines>730</Lines>
  <Paragraphs>301</Paragraphs>
  <ScaleCrop>false</ScaleCrop>
  <Company>Author-it Software Corporation Ltd.</Company>
  <LinksUpToDate>false</LinksUpToDate>
  <CharactersWithSpaces>19877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UEGNSG411A Maintain cathodic protection systems</dc:title>
  <dc:subject>Approved</dc:subject>
  <dc:creator>E-Oz Training Standards</dc:creator>
  <cp:keywords>Release 1</cp:keywords>
  <dc:description>Review Date: 12 April 2008</dc:description>
  <cp:lastModifiedBy>HSD_TPCMSd.prod</cp:lastModifiedBy>
  <cp:revision>3</cp:revision>
  <dcterms:created xsi:type="dcterms:W3CDTF">2014-03-13T15:19:12Z</dcterms:created>
  <dcterms:modified xsi:type="dcterms:W3CDTF">2014-03-13T03:49:00Z</dcterms:modified>
</cp:coreProperties>
</file>