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5FFF" w:rsidP="00EA5FFF">
      <w:pPr>
        <w:pStyle w:val="Title"/>
      </w:pPr>
      <w:r>
        <w:fldChar w:fldCharType="begin"/>
      </w:r>
      <w:r>
        <w:instrText xml:space="preserve"> TITLE   \* MERGEFORMAT </w:instrText>
      </w:r>
      <w:r>
        <w:fldChar w:fldCharType="separate"/>
      </w:r>
      <w:r>
        <w:t>UEGNSG402B Install cathodic protection systems</w:t>
      </w:r>
      <w:r>
        <w:fldChar w:fldCharType="end"/>
      </w:r>
    </w:p>
    <w:p w:rsidR="00EA5FFF" w:rsidP="00EA5FFF">
      <w:pPr>
        <w:pStyle w:val="Version"/>
        <w:sectPr w:rsidSect="007953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53D3" w:rsidP="007953D3">
      <w:pPr>
        <w:pStyle w:val="SuperHeading"/>
      </w:pPr>
      <w:r w:rsidRPr="007953D3">
        <w:t>UEGNSG402B Install cathodic protection systems</w:t>
      </w:r>
    </w:p>
    <w:p w:rsidR="00000000" w:rsidRPr="007953D3" w:rsidP="007953D3">
      <w:pPr>
        <w:pStyle w:val="Heading1"/>
      </w:pPr>
      <w:bookmarkStart w:id="1" w:name="O_403067"/>
      <w:bookmarkEnd w:id="1"/>
      <w:r w:rsidRPr="007953D3">
        <w:t>Modification History</w:t>
      </w:r>
    </w:p>
    <w:p w:rsidR="00000000" w:rsidRPr="007953D3" w:rsidP="007953D3">
      <w:pPr>
        <w:pStyle w:val="BodyText"/>
      </w:pPr>
      <w:r w:rsidRPr="007953D3">
        <w:t>Not applicable.</w:t>
      </w:r>
    </w:p>
    <w:p w:rsidR="00000000" w:rsidRPr="007953D3" w:rsidP="007953D3">
      <w:pPr>
        <w:pStyle w:val="AllowPageBreak"/>
      </w:pPr>
    </w:p>
    <w:p w:rsidR="00000000" w:rsidRPr="007953D3" w:rsidP="007953D3">
      <w:pPr>
        <w:pStyle w:val="Heading1"/>
      </w:pPr>
      <w:bookmarkStart w:id="2" w:name="O_403065"/>
      <w:bookmarkEnd w:id="2"/>
      <w:r w:rsidRPr="007953D3">
        <w:t>Unit Descriptor</w:t>
      </w:r>
    </w:p>
    <w:tbl>
      <w:tblPr>
        <w:tblW w:w="0" w:type="auto"/>
        <w:tblLayout w:type="fixed"/>
        <w:tblCellMar>
          <w:left w:w="62" w:type="dxa"/>
          <w:right w:w="62" w:type="dxa"/>
        </w:tblCellMar>
        <w:tblLook w:val="0000"/>
      </w:tblPr>
      <w:tblGrid>
        <w:gridCol w:w="2700"/>
        <w:gridCol w:w="5760"/>
      </w:tblGrid>
      <w:tr w:rsidTr="00EA5FF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953D3" w:rsidP="007953D3">
            <w:pPr>
              <w:pStyle w:val="BodyText"/>
            </w:pPr>
            <w:r w:rsidRPr="007953D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rPr>
                <w:rStyle w:val="SpecialBold"/>
              </w:rPr>
              <w:t>1) Scope:</w:t>
            </w:r>
          </w:p>
        </w:tc>
      </w:tr>
      <w:tr w:rsidTr="00EA5F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953D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rPr>
                <w:rStyle w:val="SpecialBold"/>
              </w:rPr>
              <w:t>1.1) Descriptor</w:t>
            </w:r>
          </w:p>
        </w:tc>
      </w:tr>
      <w:tr w:rsidTr="00EA5F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953D3" w:rsidP="007953D3">
            <w:pPr>
              <w:pStyle w:val="BodyText"/>
            </w:pPr>
            <w:r w:rsidRPr="007953D3">
              <w:t>This Unit covers the installing of cathodic protection (CP) to prevent corrosion in steel pipelines. The competency standard also covers the appropriate Australian standards and the location for maintaining cathodic protection system; components of the sys</w:t>
            </w:r>
            <w:r w:rsidRPr="007953D3">
              <w:t>tem; representation of other utilities; types of drawings and specifications; test equipment; types of cathodic protection faults.</w:t>
            </w:r>
          </w:p>
        </w:tc>
      </w:tr>
    </w:tbl>
    <w:p w:rsidR="00000000" w:rsidRPr="007953D3" w:rsidP="007953D3">
      <w:pPr>
        <w:pStyle w:val="BodyText"/>
      </w:pPr>
    </w:p>
    <w:p w:rsidR="00000000" w:rsidRPr="007953D3" w:rsidP="007953D3">
      <w:pPr>
        <w:pStyle w:val="AllowPageBreak"/>
      </w:pPr>
    </w:p>
    <w:p w:rsidR="00000000" w:rsidRPr="007953D3" w:rsidP="007953D3">
      <w:pPr>
        <w:pStyle w:val="Heading1"/>
      </w:pPr>
      <w:bookmarkStart w:id="3" w:name="O_403054"/>
      <w:bookmarkEnd w:id="3"/>
      <w:r w:rsidRPr="007953D3">
        <w:t>Application of the Unit</w:t>
      </w:r>
    </w:p>
    <w:tbl>
      <w:tblPr>
        <w:tblW w:w="0" w:type="auto"/>
        <w:tblLayout w:type="fixed"/>
        <w:tblCellMar>
          <w:left w:w="62" w:type="dxa"/>
          <w:right w:w="62" w:type="dxa"/>
        </w:tblCellMar>
        <w:tblLook w:val="0000"/>
      </w:tblPr>
      <w:tblGrid>
        <w:gridCol w:w="2672"/>
        <w:gridCol w:w="5699"/>
      </w:tblGrid>
      <w:tr w:rsidTr="00EA5FF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7953D3" w:rsidP="007953D3">
            <w:pPr>
              <w:pStyle w:val="BodyText"/>
            </w:pPr>
            <w:r w:rsidRPr="007953D3">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rPr>
                <w:rStyle w:val="SpecialBold"/>
              </w:rPr>
              <w:t>2)</w:t>
            </w:r>
          </w:p>
        </w:tc>
      </w:tr>
      <w:tr w:rsidTr="00EA5FF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7953D3" w:rsidP="007953D3">
            <w:pPr>
              <w:pStyle w:val="BodyText"/>
            </w:pPr>
            <w:r w:rsidRPr="007953D3">
              <w:t>This competency standard shall apply to any basic and safe work site where Gas Industry operations occur. It could also apply, where applicable to other workplaces in the electricity supply industry (transmission and distribution and generation), the elect</w:t>
            </w:r>
            <w:r w:rsidRPr="007953D3">
              <w:t>rotechnology industry and the water industry, subject to all Occupational Health and Safety and duty of care requirements being met for the workplace.</w:t>
            </w:r>
          </w:p>
        </w:tc>
      </w:tr>
    </w:tbl>
    <w:p w:rsidR="00000000" w:rsidRPr="007953D3" w:rsidP="007953D3">
      <w:pPr>
        <w:pStyle w:val="BodyText"/>
      </w:pPr>
    </w:p>
    <w:p w:rsidR="00000000" w:rsidRPr="007953D3" w:rsidP="007953D3">
      <w:pPr>
        <w:pStyle w:val="AllowPageBreak"/>
      </w:pPr>
    </w:p>
    <w:p w:rsidR="00000000" w:rsidRPr="007953D3" w:rsidP="007953D3">
      <w:pPr>
        <w:pStyle w:val="Heading1"/>
      </w:pPr>
      <w:bookmarkStart w:id="4" w:name="O_403061"/>
      <w:bookmarkEnd w:id="4"/>
      <w:r w:rsidRPr="007953D3">
        <w:t>Licensing/Regulatory Information</w:t>
      </w:r>
    </w:p>
    <w:tbl>
      <w:tblPr>
        <w:tblW w:w="0" w:type="auto"/>
        <w:tblLayout w:type="fixed"/>
        <w:tblCellMar>
          <w:left w:w="62" w:type="dxa"/>
          <w:right w:w="62" w:type="dxa"/>
        </w:tblCellMar>
        <w:tblLook w:val="0000"/>
      </w:tblPr>
      <w:tblGrid>
        <w:gridCol w:w="2700"/>
        <w:gridCol w:w="5760"/>
      </w:tblGrid>
      <w:tr w:rsidTr="00EA5FF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953D3" w:rsidP="007953D3">
            <w:pPr>
              <w:pStyle w:val="BodyText"/>
            </w:pPr>
            <w:r w:rsidRPr="007953D3">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rPr>
                <w:rStyle w:val="SpecialBold"/>
              </w:rPr>
              <w:t xml:space="preserve">3) </w:t>
            </w:r>
          </w:p>
        </w:tc>
      </w:tr>
      <w:tr w:rsidTr="00EA5F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953D3" w:rsidP="007953D3">
            <w:pPr>
              <w:pStyle w:val="BodyText"/>
            </w:pPr>
            <w:r w:rsidRPr="007953D3">
              <w:t xml:space="preserve">The skills and knowledge described in this unit are not subject to licence regulation other than those directly related to Occupational Health and Safety, gas/electricity/water industry safety and compliance, </w:t>
            </w:r>
            <w:r w:rsidRPr="007953D3">
              <w:t>industrial relations, environmental protection,</w:t>
            </w:r>
            <w:r w:rsidRPr="007953D3">
              <w:t xml:space="preserve"> telecommunications, anti discrimination and training. Commonwealth, State/Territory or Local Government legislation and regulations may exist that limits the age of operating certain equipment.</w:t>
            </w:r>
          </w:p>
        </w:tc>
      </w:tr>
    </w:tbl>
    <w:p w:rsidR="00000000" w:rsidRPr="007953D3" w:rsidP="007953D3">
      <w:pPr>
        <w:pStyle w:val="BodyText"/>
      </w:pPr>
    </w:p>
    <w:p w:rsidR="00000000" w:rsidRPr="007953D3" w:rsidP="007953D3">
      <w:pPr>
        <w:pStyle w:val="AllowPageBreak"/>
      </w:pPr>
    </w:p>
    <w:p w:rsidR="00000000" w:rsidRPr="007953D3" w:rsidP="007953D3">
      <w:pPr>
        <w:pStyle w:val="Heading1"/>
      </w:pPr>
      <w:bookmarkStart w:id="5" w:name="O_403062"/>
      <w:bookmarkEnd w:id="5"/>
      <w:r w:rsidRPr="007953D3">
        <w:t>Pre-Requisites</w:t>
      </w:r>
    </w:p>
    <w:tbl>
      <w:tblPr>
        <w:tblW w:w="0" w:type="auto"/>
        <w:tblLayout w:type="fixed"/>
        <w:tblCellMar>
          <w:left w:w="62" w:type="dxa"/>
          <w:right w:w="62" w:type="dxa"/>
        </w:tblCellMar>
        <w:tblLook w:val="0000"/>
      </w:tblPr>
      <w:tblGrid>
        <w:gridCol w:w="2700"/>
        <w:gridCol w:w="1800"/>
        <w:gridCol w:w="3960"/>
      </w:tblGrid>
      <w:tr w:rsidTr="00EA5FF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953D3" w:rsidP="007953D3">
            <w:pPr>
              <w:pStyle w:val="BodyText"/>
            </w:pPr>
            <w:r w:rsidRPr="007953D3">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rPr>
                <w:rStyle w:val="SpecialBold"/>
              </w:rPr>
              <w:t xml:space="preserve">4) </w:t>
            </w:r>
          </w:p>
        </w:tc>
      </w:tr>
      <w:tr w:rsidTr="00EA5F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953D3" w:rsidP="007953D3">
            <w:pPr>
              <w:pStyle w:val="BodyText"/>
            </w:pPr>
            <w:r w:rsidRPr="007953D3">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rPr>
                <w:rStyle w:val="SpecialBold"/>
              </w:rPr>
              <w:t>4.1)</w:t>
            </w:r>
          </w:p>
        </w:tc>
      </w:tr>
      <w:tr w:rsidTr="00EA5F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Granting of competency in this unit shall be made only after competency in the following unit(s) has/have been confirmed:</w:t>
            </w:r>
          </w:p>
        </w:tc>
      </w:tr>
      <w:tr w:rsidTr="00EA5F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Nil</w:t>
            </w:r>
          </w:p>
        </w:tc>
        <w:tc>
          <w:tcPr>
            <w:tcW w:w="3960" w:type="dxa"/>
            <w:tcBorders>
              <w:top w:val="nil"/>
              <w:left w:val="nil"/>
              <w:bottom w:val="nil"/>
              <w:right w:val="nil"/>
            </w:tcBorders>
            <w:tcMar>
              <w:top w:w="0" w:type="dxa"/>
              <w:left w:w="62" w:type="dxa"/>
              <w:bottom w:w="0" w:type="dxa"/>
              <w:right w:w="62" w:type="dxa"/>
            </w:tcMar>
          </w:tcPr>
          <w:p w:rsidR="00000000" w:rsidRPr="007953D3" w:rsidP="007953D3">
            <w:pPr>
              <w:pStyle w:val="BodyText"/>
            </w:pPr>
          </w:p>
        </w:tc>
      </w:tr>
    </w:tbl>
    <w:p w:rsidR="00000000" w:rsidRPr="007953D3" w:rsidP="007953D3">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EA5F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953D3" w:rsidP="007953D3">
            <w:pPr>
              <w:pStyle w:val="BodyText"/>
            </w:pPr>
            <w:r w:rsidRPr="007953D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7953D3" w:rsidP="007953D3">
            <w:pPr>
              <w:pStyle w:val="BodyText"/>
            </w:pPr>
            <w:r w:rsidRPr="007953D3">
              <w:rPr>
                <w:rStyle w:val="SpecialBold"/>
              </w:rPr>
              <w:t xml:space="preserve">4.2) </w:t>
            </w:r>
          </w:p>
          <w:p w:rsidR="00000000" w:rsidP="007953D3">
            <w:pPr>
              <w:pStyle w:val="BodyText"/>
              <w:rPr>
                <w:lang w:val="en-NZ"/>
              </w:rPr>
            </w:pPr>
            <w:r w:rsidRPr="007953D3">
              <w:t>Participants are best equipped to achieve this unit if t</w:t>
            </w:r>
            <w:r w:rsidRPr="007953D3">
              <w:t>hey have reading, writing and numeracy skills indicated by the following scales. Description of each scale is given in Volume 2, Part 3 ‘Literacy and Numeracy’</w:t>
            </w:r>
          </w:p>
        </w:tc>
      </w:tr>
      <w:tr w:rsidTr="00EA5F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Reading</w:t>
            </w:r>
          </w:p>
        </w:tc>
        <w:tc>
          <w:tcPr>
            <w:tcW w:w="81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3</w:t>
            </w:r>
          </w:p>
        </w:tc>
        <w:tc>
          <w:tcPr>
            <w:tcW w:w="99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Writing</w:t>
            </w:r>
          </w:p>
        </w:tc>
        <w:tc>
          <w:tcPr>
            <w:tcW w:w="90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3</w:t>
            </w:r>
          </w:p>
        </w:tc>
        <w:tc>
          <w:tcPr>
            <w:tcW w:w="126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Numeracy</w:t>
            </w:r>
          </w:p>
        </w:tc>
        <w:tc>
          <w:tcPr>
            <w:tcW w:w="720" w:type="dxa"/>
            <w:tcBorders>
              <w:top w:val="nil"/>
              <w:left w:val="nil"/>
              <w:bottom w:val="nil"/>
              <w:right w:val="nil"/>
            </w:tcBorders>
            <w:tcMar>
              <w:top w:w="0" w:type="dxa"/>
              <w:left w:w="62" w:type="dxa"/>
              <w:bottom w:w="0" w:type="dxa"/>
              <w:right w:w="62" w:type="dxa"/>
            </w:tcMar>
          </w:tcPr>
          <w:p w:rsidR="00000000" w:rsidRPr="007953D3" w:rsidP="007953D3">
            <w:pPr>
              <w:pStyle w:val="BodyText"/>
            </w:pPr>
            <w:r w:rsidRPr="007953D3">
              <w:t>3</w:t>
            </w:r>
          </w:p>
        </w:tc>
      </w:tr>
    </w:tbl>
    <w:p w:rsidR="00000000" w:rsidRPr="007953D3" w:rsidP="007953D3">
      <w:pPr>
        <w:pStyle w:val="BodyText"/>
      </w:pPr>
    </w:p>
    <w:p w:rsidR="00000000" w:rsidRPr="007953D3" w:rsidP="007953D3">
      <w:pPr>
        <w:pStyle w:val="AllowPageBreak"/>
      </w:pPr>
    </w:p>
    <w:p w:rsidR="00000000" w:rsidRPr="007953D3" w:rsidP="007953D3">
      <w:pPr>
        <w:pStyle w:val="Heading1"/>
      </w:pPr>
      <w:bookmarkStart w:id="6" w:name="O_403058"/>
      <w:bookmarkEnd w:id="6"/>
      <w:r w:rsidRPr="007953D3">
        <w:t>Employability Skills Information</w:t>
      </w:r>
    </w:p>
    <w:tbl>
      <w:tblPr>
        <w:tblW w:w="0" w:type="auto"/>
        <w:tblLayout w:type="fixed"/>
        <w:tblCellMar>
          <w:left w:w="62" w:type="dxa"/>
          <w:right w:w="62" w:type="dxa"/>
        </w:tblCellMar>
        <w:tblLook w:val="0000"/>
      </w:tblPr>
      <w:tblGrid>
        <w:gridCol w:w="2700"/>
        <w:gridCol w:w="5760"/>
      </w:tblGrid>
      <w:tr w:rsidTr="00EA5FF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953D3" w:rsidP="007953D3">
            <w:pPr>
              <w:pStyle w:val="BodyText"/>
            </w:pPr>
            <w:r w:rsidRPr="007953D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rPr>
                <w:rStyle w:val="SpecialBold"/>
              </w:rPr>
              <w:t xml:space="preserve">5) </w:t>
            </w:r>
          </w:p>
        </w:tc>
      </w:tr>
      <w:tr w:rsidTr="00EA5F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953D3" w:rsidP="007953D3">
            <w:pPr>
              <w:pStyle w:val="BodyText"/>
            </w:pPr>
            <w:r w:rsidRPr="007953D3">
              <w:t>This unit contains Employability Skills</w:t>
            </w:r>
          </w:p>
          <w:p w:rsidR="00000000" w:rsidRPr="007953D3" w:rsidP="007953D3">
            <w:pPr>
              <w:pStyle w:val="BodyText"/>
            </w:pPr>
            <w:r w:rsidRPr="007953D3">
              <w:t>The required outcomes described in this unit of competency contain applicable facets of Employability Skills. The Employability Skills Summary of the qualification in which this unit of com</w:t>
            </w:r>
            <w:r w:rsidRPr="007953D3">
              <w:t>petency is packaged will assist in identifying Employability Skill requirements.</w:t>
            </w:r>
          </w:p>
        </w:tc>
      </w:tr>
    </w:tbl>
    <w:p w:rsidR="00000000" w:rsidRPr="007953D3" w:rsidP="007953D3">
      <w:pPr>
        <w:pStyle w:val="BodyText"/>
      </w:pPr>
    </w:p>
    <w:p w:rsidR="00000000" w:rsidRPr="007953D3" w:rsidP="007953D3">
      <w:pPr>
        <w:pStyle w:val="AllowPageBreak"/>
      </w:pPr>
    </w:p>
    <w:p w:rsidR="00000000" w:rsidRPr="007953D3" w:rsidP="007953D3">
      <w:pPr>
        <w:pStyle w:val="Heading1"/>
      </w:pPr>
      <w:bookmarkStart w:id="7" w:name="O_403057"/>
      <w:bookmarkEnd w:id="7"/>
      <w:r w:rsidRPr="007953D3">
        <w:t>Elements and Performance Criteria Pre-Content</w:t>
      </w:r>
    </w:p>
    <w:tbl>
      <w:tblPr>
        <w:tblW w:w="0" w:type="auto"/>
        <w:tblLayout w:type="fixed"/>
        <w:tblCellMar>
          <w:left w:w="62" w:type="dxa"/>
          <w:right w:w="62" w:type="dxa"/>
        </w:tblCellMar>
        <w:tblLook w:val="0000"/>
      </w:tblPr>
      <w:tblGrid>
        <w:gridCol w:w="2700"/>
        <w:gridCol w:w="5760"/>
      </w:tblGrid>
      <w:tr w:rsidTr="00EA5F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rPr>
                <w:rStyle w:val="SpecialBold"/>
              </w:rPr>
              <w:t>6)</w:t>
            </w:r>
            <w:r w:rsidRPr="007953D3">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7953D3" w:rsidP="007953D3">
            <w:pPr>
              <w:pStyle w:val="BodyText"/>
            </w:pPr>
            <w:r w:rsidRPr="007953D3">
              <w:t>Performance Criteria describe the re</w:t>
            </w:r>
            <w:r w:rsidRPr="007953D3">
              <w:t>quired performance needed to demonstrate achievement of the element. Assessment of performance is to be consistent with the Evidence Guide.</w:t>
            </w:r>
          </w:p>
        </w:tc>
      </w:tr>
    </w:tbl>
    <w:p w:rsidR="00000000" w:rsidRPr="007953D3" w:rsidP="007953D3">
      <w:pPr>
        <w:pStyle w:val="BodyText"/>
      </w:pPr>
    </w:p>
    <w:p w:rsidR="00000000" w:rsidRPr="007953D3" w:rsidP="007953D3">
      <w:pPr>
        <w:pStyle w:val="AllowPageBreak"/>
      </w:pPr>
    </w:p>
    <w:p w:rsidR="00000000" w:rsidRPr="007953D3" w:rsidP="007953D3">
      <w:pPr>
        <w:pStyle w:val="Heading1"/>
      </w:pPr>
      <w:bookmarkStart w:id="8" w:name="O_403056"/>
      <w:bookmarkEnd w:id="8"/>
      <w:r w:rsidRPr="007953D3">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EA5FF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953D3" w:rsidP="007953D3">
            <w:pPr>
              <w:pStyle w:val="BodyText"/>
            </w:pPr>
            <w:r w:rsidRPr="007953D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rPr>
                <w:rStyle w:val="SpecialBold"/>
              </w:rPr>
              <w:t>PERFORMANCE CRITERIA</w:t>
            </w:r>
          </w:p>
        </w:tc>
      </w:tr>
      <w:tr w:rsidTr="00EA5F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1</w:t>
            </w:r>
          </w:p>
        </w:tc>
        <w:tc>
          <w:tcPr>
            <w:tcW w:w="2296"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Plan installation of cathodic protection system</w:t>
            </w:r>
          </w:p>
        </w:tc>
        <w:tc>
          <w:tcPr>
            <w:tcW w:w="90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1.1</w:t>
            </w:r>
          </w:p>
        </w:tc>
        <w:tc>
          <w:tcPr>
            <w:tcW w:w="486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 xml:space="preserve">Cathodic protection system installation procedures are planned in accordance with work schedule(s), including drawings, plans, requirements and established procedures </w:t>
            </w:r>
          </w:p>
        </w:tc>
      </w:tr>
      <w:tr w:rsidTr="00EA5F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1.2</w:t>
            </w:r>
          </w:p>
        </w:tc>
        <w:tc>
          <w:tcPr>
            <w:tcW w:w="486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Relevant requirements and established procedures for the work are communicated to all persons and identified for all work sites</w:t>
            </w:r>
          </w:p>
        </w:tc>
      </w:tr>
      <w:tr w:rsidTr="00EA5F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1.3</w:t>
            </w:r>
          </w:p>
        </w:tc>
        <w:tc>
          <w:tcPr>
            <w:tcW w:w="486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OHS, environmental and sustainable energy policies and procedures related to the installation of cathodic protection syst</w:t>
            </w:r>
            <w:r w:rsidRPr="007953D3">
              <w:t xml:space="preserve">ems are obtained and confirmed for the purposes of the work performed and communicated </w:t>
            </w:r>
          </w:p>
        </w:tc>
      </w:tr>
      <w:tr w:rsidTr="00EA5F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1.4</w:t>
            </w:r>
          </w:p>
        </w:tc>
        <w:tc>
          <w:tcPr>
            <w:tcW w:w="486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 xml:space="preserve">Data from completed surveys is analysed and work is prioritised and sequenced following consultation with others for completion within acceptable timeframes and </w:t>
            </w:r>
            <w:r w:rsidRPr="007953D3">
              <w:t>in accordance with established procedures</w:t>
            </w:r>
          </w:p>
        </w:tc>
      </w:tr>
      <w:tr w:rsidTr="00EA5F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1.5</w:t>
            </w:r>
          </w:p>
        </w:tc>
        <w:tc>
          <w:tcPr>
            <w:tcW w:w="486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Risk control measures for identified hazards are prioritised, implemented and monitored against the work schedule</w:t>
            </w:r>
          </w:p>
        </w:tc>
      </w:tr>
      <w:tr w:rsidTr="00EA5F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1.6</w:t>
            </w:r>
          </w:p>
        </w:tc>
        <w:tc>
          <w:tcPr>
            <w:tcW w:w="486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Technical specifications and drawings are drafted from the analysed survey data and th</w:t>
            </w:r>
            <w:r w:rsidRPr="007953D3">
              <w:t>e relevant work permits are obtained to access and perform work according to requirements and established procedures</w:t>
            </w:r>
          </w:p>
        </w:tc>
      </w:tr>
      <w:tr w:rsidTr="00EA5F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1.7</w:t>
            </w:r>
          </w:p>
        </w:tc>
        <w:tc>
          <w:tcPr>
            <w:tcW w:w="486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Resources including persons, equipment, tools and personal protective equipment required for the job are identified, scheduled and obtained and confirmed in working order</w:t>
            </w:r>
          </w:p>
        </w:tc>
      </w:tr>
      <w:tr w:rsidTr="00EA5F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1.8</w:t>
            </w:r>
          </w:p>
        </w:tc>
        <w:tc>
          <w:tcPr>
            <w:tcW w:w="486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Relevant persons at worksite are confirmed to be current in First Aid and othe</w:t>
            </w:r>
            <w:r w:rsidRPr="007953D3">
              <w:t>r related work procedures according to requirements</w:t>
            </w:r>
          </w:p>
        </w:tc>
      </w:tr>
      <w:tr w:rsidTr="00EA5F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1.9</w:t>
            </w:r>
          </w:p>
        </w:tc>
        <w:tc>
          <w:tcPr>
            <w:tcW w:w="486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Liaison and communication issues with authorised persons, authorities, clients and land-owners are resolved to carry out work where necessary</w:t>
            </w:r>
          </w:p>
        </w:tc>
      </w:tr>
      <w:tr w:rsidTr="00EA5F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1.10</w:t>
            </w:r>
          </w:p>
        </w:tc>
        <w:tc>
          <w:tcPr>
            <w:tcW w:w="486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Site is prepared according to the work schedule</w:t>
            </w:r>
            <w:r w:rsidRPr="007953D3">
              <w:t xml:space="preserve"> and to minimise risk and damage to property, commerce and individuals in accordance with established procedures</w:t>
            </w:r>
          </w:p>
        </w:tc>
      </w:tr>
      <w:tr w:rsidTr="00EA5F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1.11</w:t>
            </w:r>
          </w:p>
        </w:tc>
        <w:tc>
          <w:tcPr>
            <w:tcW w:w="486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 xml:space="preserve">Persons participating in the work, including plant operators and contractors are fully briefed and respective responsibilities confirmed where applicable in accordance with established procedures </w:t>
            </w:r>
          </w:p>
        </w:tc>
      </w:tr>
      <w:tr w:rsidTr="00EA5F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2</w:t>
            </w:r>
          </w:p>
        </w:tc>
        <w:tc>
          <w:tcPr>
            <w:tcW w:w="2296"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Install cathodic protection system</w:t>
            </w:r>
          </w:p>
        </w:tc>
        <w:tc>
          <w:tcPr>
            <w:tcW w:w="90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2.1</w:t>
            </w:r>
          </w:p>
        </w:tc>
        <w:tc>
          <w:tcPr>
            <w:tcW w:w="486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 xml:space="preserve">OHS policies and </w:t>
            </w:r>
            <w:r w:rsidRPr="007953D3">
              <w:t>procedures and safe work practices are followed to eliminate or minimise incidents and hazards</w:t>
            </w:r>
          </w:p>
        </w:tc>
      </w:tr>
      <w:tr w:rsidTr="00EA5F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2.2</w:t>
            </w:r>
          </w:p>
        </w:tc>
        <w:tc>
          <w:tcPr>
            <w:tcW w:w="486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Lifting, climbing, working in confined spaces, excavations, trenches, or aloft, and use of power tools, techniques and practices are safely followed and c</w:t>
            </w:r>
            <w:r w:rsidRPr="007953D3">
              <w:t>urrency according to requirements confirmed</w:t>
            </w:r>
          </w:p>
        </w:tc>
      </w:tr>
      <w:tr w:rsidTr="00EA5F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2.3</w:t>
            </w:r>
          </w:p>
        </w:tc>
        <w:tc>
          <w:tcPr>
            <w:tcW w:w="486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Essential Knowledge and Associated Skills for the installation of cathodic protection systems are applied to ensure completion in an agreed timeframe and to quality standards with a minimum of waste accord</w:t>
            </w:r>
            <w:r w:rsidRPr="007953D3">
              <w:t>ing to requirements</w:t>
            </w:r>
          </w:p>
        </w:tc>
      </w:tr>
      <w:tr w:rsidTr="00EA5F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2.4</w:t>
            </w:r>
          </w:p>
        </w:tc>
        <w:tc>
          <w:tcPr>
            <w:tcW w:w="486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Approved specifications and drawings are reviewed and the performing of the installation of cathodic protection systems is carried out in accordance with the work schedule and to established procedures</w:t>
            </w:r>
          </w:p>
        </w:tc>
      </w:tr>
      <w:tr w:rsidTr="00EA5F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2.5</w:t>
            </w:r>
          </w:p>
        </w:tc>
        <w:tc>
          <w:tcPr>
            <w:tcW w:w="486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Hazard warnings and safety signs are recognised and hazards and assessed OHS risks are reported to the immediate authorised persons for directions according to established procedures</w:t>
            </w:r>
          </w:p>
        </w:tc>
      </w:tr>
      <w:tr w:rsidTr="00EA5F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2.6</w:t>
            </w:r>
          </w:p>
        </w:tc>
        <w:tc>
          <w:tcPr>
            <w:tcW w:w="486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Unplanned events in the installation of cathodic protection system</w:t>
            </w:r>
            <w:r w:rsidRPr="007953D3">
              <w:t xml:space="preserve">s are undertaken with the scope of established procedures </w:t>
            </w:r>
          </w:p>
        </w:tc>
      </w:tr>
      <w:tr w:rsidTr="00EA5F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2.7</w:t>
            </w:r>
          </w:p>
        </w:tc>
        <w:tc>
          <w:tcPr>
            <w:tcW w:w="486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Known solutions to a variety of problems are applied using Essential Knowledge and Associated Skills</w:t>
            </w:r>
          </w:p>
        </w:tc>
      </w:tr>
      <w:tr w:rsidTr="00EA5F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2.8</w:t>
            </w:r>
          </w:p>
        </w:tc>
        <w:tc>
          <w:tcPr>
            <w:tcW w:w="486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Ongoing checks of quality of the work are undertaken in accordance with given inst</w:t>
            </w:r>
            <w:r w:rsidRPr="007953D3">
              <w:t>ructions and established procedures</w:t>
            </w:r>
          </w:p>
        </w:tc>
      </w:tr>
      <w:tr w:rsidTr="00EA5F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3</w:t>
            </w:r>
          </w:p>
        </w:tc>
        <w:tc>
          <w:tcPr>
            <w:tcW w:w="2296"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 xml:space="preserve">Test and commission CP System </w:t>
            </w:r>
          </w:p>
        </w:tc>
        <w:tc>
          <w:tcPr>
            <w:tcW w:w="90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3.1</w:t>
            </w:r>
          </w:p>
        </w:tc>
        <w:tc>
          <w:tcPr>
            <w:tcW w:w="486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 xml:space="preserve">Commissioning of the installed CP system and components is conducted against works schedule for conformance with requirements, anomalies are </w:t>
            </w:r>
            <w:r w:rsidRPr="007953D3">
              <w:t>reported in accordance with established procedures</w:t>
            </w:r>
          </w:p>
        </w:tc>
      </w:tr>
      <w:tr w:rsidTr="00EA5F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3.2</w:t>
            </w:r>
          </w:p>
        </w:tc>
        <w:tc>
          <w:tcPr>
            <w:tcW w:w="486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Accidents and injuries are reported in accordance with requirements and established procedures where applicable</w:t>
            </w:r>
          </w:p>
        </w:tc>
      </w:tr>
      <w:tr w:rsidTr="00EA5F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3.3</w:t>
            </w:r>
          </w:p>
        </w:tc>
        <w:tc>
          <w:tcPr>
            <w:tcW w:w="486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Work site is rehabilitated, cleaned up and made safe in accordance with given i</w:t>
            </w:r>
            <w:r w:rsidRPr="007953D3">
              <w:t>nstructions and established procedures</w:t>
            </w:r>
          </w:p>
        </w:tc>
      </w:tr>
      <w:tr w:rsidTr="00EA5F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3.4</w:t>
            </w:r>
          </w:p>
        </w:tc>
        <w:tc>
          <w:tcPr>
            <w:tcW w:w="486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Tools, equipment and any surplus resources and materials are, where appropriate, cleaned, checked and returned to storage in accordance with established procedures</w:t>
            </w:r>
          </w:p>
        </w:tc>
      </w:tr>
      <w:tr w:rsidTr="00EA5F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3.5</w:t>
            </w:r>
          </w:p>
        </w:tc>
        <w:tc>
          <w:tcPr>
            <w:tcW w:w="486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Relevant work permit(s) are signed off and equipment is returned to service in accordance with requirements</w:t>
            </w:r>
          </w:p>
        </w:tc>
      </w:tr>
      <w:tr w:rsidTr="00EA5F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3.6</w:t>
            </w:r>
          </w:p>
        </w:tc>
        <w:tc>
          <w:tcPr>
            <w:tcW w:w="4860" w:type="dxa"/>
            <w:tcBorders>
              <w:top w:val="nil"/>
              <w:left w:val="nil"/>
              <w:bottom w:val="nil"/>
              <w:right w:val="nil"/>
            </w:tcBorders>
            <w:tcMar>
              <w:top w:w="0" w:type="dxa"/>
              <w:left w:w="62" w:type="dxa"/>
              <w:bottom w:w="0" w:type="dxa"/>
              <w:right w:w="62" w:type="dxa"/>
            </w:tcMar>
          </w:tcPr>
          <w:p w:rsidR="00000000" w:rsidRPr="007953D3" w:rsidP="007953D3">
            <w:pPr>
              <w:pStyle w:val="BodyText"/>
            </w:pPr>
            <w:r w:rsidRPr="007953D3">
              <w:t>Cathodic protection system is tested and further survey data collected and work completion records and documentation is finalised and process</w:t>
            </w:r>
            <w:r w:rsidRPr="007953D3">
              <w:t>ed and appropriate persons notified</w:t>
            </w:r>
          </w:p>
        </w:tc>
      </w:tr>
    </w:tbl>
    <w:p w:rsidR="00000000" w:rsidRPr="007953D3" w:rsidP="007953D3">
      <w:pPr>
        <w:pStyle w:val="BodyText"/>
      </w:pPr>
    </w:p>
    <w:p w:rsidR="00000000" w:rsidRPr="007953D3" w:rsidP="007953D3">
      <w:pPr>
        <w:pStyle w:val="AllowPageBreak"/>
      </w:pPr>
    </w:p>
    <w:p w:rsidR="00000000" w:rsidRPr="007953D3" w:rsidP="007953D3">
      <w:pPr>
        <w:pStyle w:val="Heading1"/>
      </w:pPr>
      <w:bookmarkStart w:id="9" w:name="O_403064"/>
      <w:bookmarkEnd w:id="9"/>
      <w:r w:rsidRPr="007953D3">
        <w:t>Required Skills and Knowledge</w:t>
      </w:r>
    </w:p>
    <w:tbl>
      <w:tblPr>
        <w:tblW w:w="0" w:type="auto"/>
        <w:tblLayout w:type="fixed"/>
        <w:tblCellMar>
          <w:left w:w="62" w:type="dxa"/>
          <w:right w:w="62" w:type="dxa"/>
        </w:tblCellMar>
        <w:tblLook w:val="0000"/>
      </w:tblPr>
      <w:tblGrid>
        <w:gridCol w:w="8460"/>
      </w:tblGrid>
      <w:tr w:rsidTr="00EA5FF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953D3">
            <w:pPr>
              <w:pStyle w:val="Heading4"/>
            </w:pPr>
            <w:r w:rsidRPr="007953D3">
              <w:t>REQUIRED SKILLS AND KNOWLEDGE</w:t>
            </w:r>
          </w:p>
        </w:tc>
      </w:tr>
      <w:tr w:rsidTr="00EA5F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8) This describes the essential skills and knowledge and their level, required for this unit.</w:t>
            </w:r>
          </w:p>
        </w:tc>
      </w:tr>
      <w:tr w:rsidTr="00EA5F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Evid</w:t>
            </w:r>
            <w:r w:rsidRPr="007953D3">
              <w:t>ence shall show that knowledge has been acquired of safe working practices for installing cathodic protection systems.</w:t>
            </w:r>
          </w:p>
        </w:tc>
      </w:tr>
      <w:tr w:rsidTr="00EA5FFF">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7953D3" w:rsidP="007953D3">
            <w:pPr>
              <w:pStyle w:val="BodyText"/>
            </w:pPr>
            <w:r w:rsidRPr="007953D3">
              <w:t>All knowledge and skills detailed in this unit should be contextualised to current industry practices and technologies.</w:t>
            </w:r>
          </w:p>
        </w:tc>
      </w:tr>
    </w:tbl>
    <w:p w:rsidR="00000000" w:rsidRPr="007953D3" w:rsidP="007953D3">
      <w:pPr>
        <w:pStyle w:val="BodyText"/>
      </w:pPr>
    </w:p>
    <w:tbl>
      <w:tblPr>
        <w:tblW w:w="0" w:type="auto"/>
        <w:tblLayout w:type="fixed"/>
        <w:tblCellMar>
          <w:left w:w="62" w:type="dxa"/>
          <w:right w:w="62" w:type="dxa"/>
        </w:tblCellMar>
        <w:tblLook w:val="0000"/>
      </w:tblPr>
      <w:tblGrid>
        <w:gridCol w:w="1440"/>
        <w:gridCol w:w="990"/>
        <w:gridCol w:w="6030"/>
      </w:tblGrid>
      <w:tr w:rsidTr="00EA5FFF">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7953D3" w:rsidP="007953D3">
            <w:pPr>
              <w:pStyle w:val="BodyText"/>
            </w:pPr>
            <w:r w:rsidRPr="007953D3">
              <w:rPr>
                <w:rStyle w:val="SpecialBold"/>
              </w:rPr>
              <w:t>KS01-G402B</w:t>
            </w:r>
          </w:p>
        </w:tc>
        <w:tc>
          <w:tcPr>
            <w:tcW w:w="7020" w:type="dxa"/>
            <w:gridSpan w:val="2"/>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rPr>
                <w:rStyle w:val="SpecialBold"/>
              </w:rPr>
              <w:t>Cat</w:t>
            </w:r>
            <w:r w:rsidRPr="007953D3">
              <w:rPr>
                <w:rStyle w:val="SpecialBold"/>
              </w:rPr>
              <w:t>hodic protection system installation</w:t>
            </w:r>
          </w:p>
        </w:tc>
      </w:tr>
      <w:tr w:rsidTr="00EA5FF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G 3.4.1</w:t>
            </w:r>
          </w:p>
        </w:tc>
        <w:tc>
          <w:tcPr>
            <w:tcW w:w="6030" w:type="dxa"/>
            <w:tcBorders>
              <w:top w:val="nil"/>
              <w:left w:val="nil"/>
              <w:bottom w:val="nil"/>
              <w:right w:val="nil"/>
            </w:tcBorders>
            <w:tcMar>
              <w:top w:w="0" w:type="dxa"/>
              <w:left w:w="62" w:type="dxa"/>
              <w:bottom w:w="0" w:type="dxa"/>
              <w:right w:w="62" w:type="dxa"/>
            </w:tcMar>
          </w:tcPr>
          <w:p w:rsidR="00000000" w:rsidRPr="007953D3" w:rsidP="007953D3">
            <w:pPr>
              <w:pStyle w:val="BodyText"/>
            </w:pPr>
            <w:r w:rsidRPr="007953D3">
              <w:t>Understanding corrosion processes</w:t>
            </w:r>
          </w:p>
          <w:p w:rsidR="00000000" w:rsidRPr="007953D3" w:rsidP="007953D3">
            <w:pPr>
              <w:pStyle w:val="BodyText"/>
            </w:pPr>
            <w:r w:rsidRPr="007953D3">
              <w:t>Evidence shall show an understanding of corrosion as it applies to cathodic protection on a Gas Industry pipeline, indicated by the following:</w:t>
            </w:r>
          </w:p>
          <w:p w:rsidR="00000000" w:rsidP="007953D3">
            <w:pPr>
              <w:pStyle w:val="ListBullet"/>
              <w:rPr>
                <w:lang w:val="en-NZ"/>
              </w:rPr>
            </w:pPr>
            <w:r w:rsidRPr="007953D3">
              <w:t>understanding corrosion processes.</w:t>
            </w:r>
          </w:p>
        </w:tc>
      </w:tr>
      <w:tr w:rsidTr="00EA5FF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G 3.4.2</w:t>
            </w:r>
          </w:p>
        </w:tc>
        <w:tc>
          <w:tcPr>
            <w:tcW w:w="6030" w:type="dxa"/>
            <w:tcBorders>
              <w:top w:val="nil"/>
              <w:left w:val="nil"/>
              <w:bottom w:val="nil"/>
              <w:right w:val="nil"/>
            </w:tcBorders>
            <w:tcMar>
              <w:top w:w="0" w:type="dxa"/>
              <w:left w:w="62" w:type="dxa"/>
              <w:bottom w:w="0" w:type="dxa"/>
              <w:right w:w="62" w:type="dxa"/>
            </w:tcMar>
          </w:tcPr>
          <w:p w:rsidR="00000000" w:rsidRPr="007953D3" w:rsidP="007953D3">
            <w:pPr>
              <w:pStyle w:val="BodyText"/>
            </w:pPr>
            <w:r w:rsidRPr="007953D3">
              <w:t>Interpreting system design, planning and operation</w:t>
            </w:r>
          </w:p>
          <w:p w:rsidR="00000000" w:rsidRPr="007953D3" w:rsidP="007953D3">
            <w:pPr>
              <w:pStyle w:val="BodyText"/>
            </w:pPr>
            <w:r w:rsidRPr="007953D3">
              <w:t>Evidence shall show an understanding of interpreting system design, planning and operati</w:t>
            </w:r>
            <w:r w:rsidRPr="007953D3">
              <w:t>on as it applies to cathodic protection on a Gas Industry pipeline, indicated by the following:</w:t>
            </w:r>
          </w:p>
          <w:p w:rsidR="00000000" w:rsidP="007953D3">
            <w:pPr>
              <w:pStyle w:val="ListBullet"/>
              <w:rPr>
                <w:lang w:val="en-NZ"/>
              </w:rPr>
            </w:pPr>
            <w:r w:rsidRPr="007953D3">
              <w:t>understanding system design, planning and operation including safe design principles.</w:t>
            </w:r>
          </w:p>
        </w:tc>
      </w:tr>
      <w:tr w:rsidTr="00EA5FF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G 3.4.3</w:t>
            </w:r>
          </w:p>
        </w:tc>
        <w:tc>
          <w:tcPr>
            <w:tcW w:w="6030" w:type="dxa"/>
            <w:tcBorders>
              <w:top w:val="nil"/>
              <w:left w:val="nil"/>
              <w:bottom w:val="nil"/>
              <w:right w:val="nil"/>
            </w:tcBorders>
            <w:tcMar>
              <w:top w:w="0" w:type="dxa"/>
              <w:left w:w="62" w:type="dxa"/>
              <w:bottom w:w="0" w:type="dxa"/>
              <w:right w:w="62" w:type="dxa"/>
            </w:tcMar>
          </w:tcPr>
          <w:p w:rsidR="00000000" w:rsidRPr="007953D3" w:rsidP="007953D3">
            <w:pPr>
              <w:pStyle w:val="BodyText"/>
            </w:pPr>
            <w:r w:rsidRPr="007953D3">
              <w:t>Use and understand cathodic protection systems</w:t>
            </w:r>
          </w:p>
          <w:p w:rsidR="00000000" w:rsidRPr="007953D3" w:rsidP="007953D3">
            <w:pPr>
              <w:pStyle w:val="BodyText"/>
            </w:pPr>
            <w:r w:rsidRPr="007953D3">
              <w:t>Evidence shall s</w:t>
            </w:r>
            <w:r w:rsidRPr="007953D3">
              <w:t>how an understanding of how to use the systems required in relation to cathodic protection on a Gas Industry pipeline, indicated by the following:</w:t>
            </w:r>
          </w:p>
          <w:p w:rsidR="00000000" w:rsidRPr="007953D3" w:rsidP="007953D3">
            <w:pPr>
              <w:pStyle w:val="ListBullet"/>
            </w:pPr>
            <w:r w:rsidRPr="007953D3">
              <w:t>interpret system design, planning and operation</w:t>
            </w:r>
          </w:p>
          <w:p w:rsidR="00000000" w:rsidRPr="007953D3" w:rsidP="007953D3">
            <w:pPr>
              <w:pStyle w:val="ListBullet"/>
            </w:pPr>
            <w:r w:rsidRPr="007953D3">
              <w:t>using CP system in relation to other services</w:t>
            </w:r>
          </w:p>
          <w:p w:rsidR="00000000" w:rsidRPr="007953D3" w:rsidP="007953D3">
            <w:pPr>
              <w:pStyle w:val="ListBullet"/>
            </w:pPr>
            <w:r w:rsidRPr="007953D3">
              <w:t>undertaking ba</w:t>
            </w:r>
            <w:r w:rsidRPr="007953D3">
              <w:t>sic electrical measurement and adherence of electrical principles</w:t>
            </w:r>
          </w:p>
          <w:p w:rsidR="00000000" w:rsidP="007953D3">
            <w:pPr>
              <w:pStyle w:val="ListBullet"/>
              <w:rPr>
                <w:lang w:val="en-NZ"/>
              </w:rPr>
            </w:pPr>
            <w:r w:rsidRPr="007953D3">
              <w:t>understanding of coating requirements and their purpose.</w:t>
            </w:r>
          </w:p>
        </w:tc>
      </w:tr>
      <w:tr w:rsidTr="00EA5FF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G 3.4.4</w:t>
            </w:r>
          </w:p>
        </w:tc>
        <w:tc>
          <w:tcPr>
            <w:tcW w:w="6030" w:type="dxa"/>
            <w:tcBorders>
              <w:top w:val="nil"/>
              <w:left w:val="nil"/>
              <w:bottom w:val="nil"/>
              <w:right w:val="nil"/>
            </w:tcBorders>
            <w:tcMar>
              <w:top w:w="0" w:type="dxa"/>
              <w:left w:w="62" w:type="dxa"/>
              <w:bottom w:w="0" w:type="dxa"/>
              <w:right w:w="62" w:type="dxa"/>
            </w:tcMar>
          </w:tcPr>
          <w:p w:rsidR="00000000" w:rsidRPr="007953D3" w:rsidP="007953D3">
            <w:pPr>
              <w:pStyle w:val="BodyText"/>
            </w:pPr>
            <w:r w:rsidRPr="007953D3">
              <w:t>Select and use appropriate tools and equipment for cathodic protection</w:t>
            </w:r>
          </w:p>
          <w:p w:rsidR="00000000" w:rsidRPr="007953D3" w:rsidP="007953D3">
            <w:pPr>
              <w:pStyle w:val="BodyText"/>
            </w:pPr>
            <w:r w:rsidRPr="007953D3">
              <w:t>Evidence shall show an understanding of the requirements to select and use the appropriate tools and equipment for cathodic protection, indicated by the following:</w:t>
            </w:r>
          </w:p>
          <w:p w:rsidR="00000000" w:rsidRPr="007953D3" w:rsidP="007953D3">
            <w:pPr>
              <w:pStyle w:val="ListBullet"/>
            </w:pPr>
            <w:r w:rsidRPr="007953D3">
              <w:t>testing and inspection methods and their appropriate applications</w:t>
            </w:r>
          </w:p>
          <w:p w:rsidR="00000000" w:rsidP="007953D3">
            <w:pPr>
              <w:pStyle w:val="ListBullet"/>
              <w:rPr>
                <w:lang w:val="en-NZ"/>
              </w:rPr>
            </w:pPr>
            <w:r w:rsidRPr="007953D3">
              <w:t>appropriate use of test a</w:t>
            </w:r>
            <w:r w:rsidRPr="007953D3">
              <w:t>nd inspection equipment.</w:t>
            </w:r>
          </w:p>
        </w:tc>
      </w:tr>
      <w:tr w:rsidTr="00EA5FF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G 3.4.5</w:t>
            </w:r>
          </w:p>
        </w:tc>
        <w:tc>
          <w:tcPr>
            <w:tcW w:w="6030" w:type="dxa"/>
            <w:tcBorders>
              <w:top w:val="nil"/>
              <w:left w:val="nil"/>
              <w:bottom w:val="nil"/>
              <w:right w:val="nil"/>
            </w:tcBorders>
            <w:tcMar>
              <w:top w:w="0" w:type="dxa"/>
              <w:left w:w="62" w:type="dxa"/>
              <w:bottom w:w="0" w:type="dxa"/>
              <w:right w:w="62" w:type="dxa"/>
            </w:tcMar>
          </w:tcPr>
          <w:p w:rsidR="00000000" w:rsidRPr="007953D3" w:rsidP="007953D3">
            <w:pPr>
              <w:pStyle w:val="BodyText"/>
            </w:pPr>
            <w:r w:rsidRPr="007953D3">
              <w:t>Interpreting topographical and geographical maps and information</w:t>
            </w:r>
          </w:p>
          <w:p w:rsidR="00000000" w:rsidRPr="007953D3" w:rsidP="007953D3">
            <w:pPr>
              <w:pStyle w:val="BodyText"/>
            </w:pPr>
            <w:r w:rsidRPr="007953D3">
              <w:t>Evidence shall show an understanding of the requirements to interpret topographical and geographical information and maps for cathodic protection, indicated</w:t>
            </w:r>
            <w:r w:rsidRPr="007953D3">
              <w:t xml:space="preserve"> by the following:</w:t>
            </w:r>
          </w:p>
          <w:p w:rsidR="00000000" w:rsidRPr="007953D3" w:rsidP="007953D3">
            <w:pPr>
              <w:pStyle w:val="ListBullet"/>
            </w:pPr>
            <w:r w:rsidRPr="007953D3">
              <w:t>interpreting topographical and geographical maps and information.</w:t>
            </w:r>
          </w:p>
        </w:tc>
      </w:tr>
    </w:tbl>
    <w:p w:rsidR="00EA5FFF" w:rsidP="007953D3">
      <w:pPr>
        <w:pStyle w:val="BodyText"/>
      </w:pPr>
    </w:p>
    <w:p w:rsidR="00EA5FFF" w:rsidP="007953D3">
      <w:pPr>
        <w:pStyle w:val="BodyText"/>
      </w:pPr>
    </w:p>
    <w:p w:rsidR="00000000" w:rsidRPr="007953D3" w:rsidP="007953D3">
      <w:pPr>
        <w:pStyle w:val="Heading1"/>
      </w:pPr>
      <w:bookmarkStart w:id="10" w:name="O_403059"/>
      <w:bookmarkEnd w:id="10"/>
      <w:r w:rsidRPr="007953D3">
        <w:t>Evidence Guide</w:t>
      </w:r>
    </w:p>
    <w:tbl>
      <w:tblPr>
        <w:tblW w:w="0" w:type="auto"/>
        <w:tblLayout w:type="fixed"/>
        <w:tblCellMar>
          <w:left w:w="62" w:type="dxa"/>
          <w:right w:w="62" w:type="dxa"/>
        </w:tblCellMar>
        <w:tblLook w:val="0000"/>
      </w:tblPr>
      <w:tblGrid>
        <w:gridCol w:w="8460"/>
      </w:tblGrid>
      <w:tr w:rsidTr="00EA5FF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rPr>
                <w:rStyle w:val="SpecialBold"/>
              </w:rPr>
              <w:t>EVIDENCE GUIDE</w:t>
            </w:r>
          </w:p>
        </w:tc>
      </w:tr>
      <w:tr w:rsidTr="00EA5F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953D3" w:rsidP="007953D3">
            <w:pPr>
              <w:pStyle w:val="BodyText"/>
            </w:pPr>
            <w:r w:rsidRPr="007953D3">
              <w:rPr>
                <w:rStyle w:val="SpecialBold"/>
              </w:rPr>
              <w:t>9)</w:t>
            </w:r>
            <w:r w:rsidRPr="007953D3">
              <w:t xml:space="preserve"> The Evidence Guide forms an integral part of this Competency Standard Units and shall be used </w:t>
            </w:r>
            <w:r w:rsidRPr="007953D3">
              <w:t>in conjunction with all components parts of this unit and, performed in accordance with the Assessment Guidelines of this Training Package.</w:t>
            </w:r>
          </w:p>
        </w:tc>
      </w:tr>
    </w:tbl>
    <w:p w:rsidR="00000000" w:rsidRPr="007953D3" w:rsidP="007953D3">
      <w:pPr>
        <w:pStyle w:val="BodyText"/>
      </w:pPr>
    </w:p>
    <w:tbl>
      <w:tblPr>
        <w:tblW w:w="0" w:type="auto"/>
        <w:tblLayout w:type="fixed"/>
        <w:tblCellMar>
          <w:left w:w="62" w:type="dxa"/>
          <w:right w:w="62" w:type="dxa"/>
        </w:tblCellMar>
        <w:tblLook w:val="0000"/>
      </w:tblPr>
      <w:tblGrid>
        <w:gridCol w:w="1890"/>
        <w:gridCol w:w="6570"/>
      </w:tblGrid>
      <w:tr w:rsidTr="00EA5F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953D3" w:rsidP="007953D3">
            <w:pPr>
              <w:pStyle w:val="BodyText"/>
            </w:pPr>
            <w:r w:rsidRPr="007953D3">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rPr>
                <w:rStyle w:val="SpecialBold"/>
              </w:rPr>
              <w:t>9.1)</w:t>
            </w:r>
          </w:p>
        </w:tc>
      </w:tr>
      <w:tr w:rsidTr="00EA5F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Longitudinal competency development approaches to assessment, such as Profiling, require data to be reliably gathered in a form that can be consistently interpreted over time. This approach is best utilised in Apprenticeship programs and reduces assessment</w:t>
            </w:r>
            <w:r w:rsidRPr="007953D3">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7953D3">
              <w:t>tency in a realistically simulated work environment. It is recognised that, in some circumstances, assessment in part or full can occur outside the workplace. However, it must be in accord with Industry and, Regulatory policy in this regard.</w:t>
            </w:r>
          </w:p>
        </w:tc>
      </w:tr>
      <w:tr w:rsidTr="00EA5F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Methods chos</w:t>
            </w:r>
            <w:r w:rsidRPr="007953D3">
              <w:t>en for a particular assessment will be influenced by various factors. These include the extent of the assessment, the most effective locations for the assessment activities to take place, access to physical resources, additional safety measures that may be</w:t>
            </w:r>
            <w:r w:rsidRPr="007953D3">
              <w:t xml:space="preserve"> required and the critical nature of the competencies being assessed.</w:t>
            </w:r>
          </w:p>
        </w:tc>
      </w:tr>
      <w:tr w:rsidTr="00EA5F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The critical safety nature of working with electricity, electrical equipment, gas or any other hazardous substance/material carries risk in deeming a person competent. Hence, sources o</w:t>
            </w:r>
            <w:r w:rsidRPr="007953D3">
              <w:t>f evidence need to be ‘rich’ in nature so as to minimise error in judgment.</w:t>
            </w:r>
          </w:p>
        </w:tc>
      </w:tr>
      <w:tr w:rsidTr="00EA5F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953D3" w:rsidP="007953D3">
            <w:pPr>
              <w:pStyle w:val="BodyText"/>
            </w:pPr>
            <w:r w:rsidRPr="007953D3">
              <w:t>Activities associated with normal every day work have a bearing on the decision as to how much and how detailed the data gathered will contribute to its ‘richness’. Some skills a</w:t>
            </w:r>
            <w:r w:rsidRPr="007953D3">
              <w:t>re more critical to safety and operational requirements while the same skills may be more or less frequently practiced. These points are raised for the assessors to consider when choosing an assessment method and developing assessment instruments. Sample a</w:t>
            </w:r>
            <w:r w:rsidRPr="007953D3">
              <w:t>ssessment instruments are included for Assessors in the Assessment Guidelines of this Training Package.</w:t>
            </w:r>
          </w:p>
        </w:tc>
      </w:tr>
    </w:tbl>
    <w:p w:rsidR="00000000" w:rsidRPr="007953D3" w:rsidP="007953D3">
      <w:pPr>
        <w:pStyle w:val="BodyText"/>
      </w:pPr>
    </w:p>
    <w:tbl>
      <w:tblPr>
        <w:tblW w:w="0" w:type="auto"/>
        <w:tblLayout w:type="fixed"/>
        <w:tblCellMar>
          <w:left w:w="62" w:type="dxa"/>
          <w:right w:w="62" w:type="dxa"/>
        </w:tblCellMar>
        <w:tblLook w:val="0000"/>
      </w:tblPr>
      <w:tblGrid>
        <w:gridCol w:w="1890"/>
        <w:gridCol w:w="6570"/>
      </w:tblGrid>
      <w:tr w:rsidTr="00EA5F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953D3" w:rsidP="007953D3">
            <w:pPr>
              <w:pStyle w:val="BodyText"/>
            </w:pPr>
            <w:r w:rsidRPr="007953D3">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rPr>
                <w:rStyle w:val="SpecialBold"/>
              </w:rPr>
              <w:t>9.2)</w:t>
            </w:r>
          </w:p>
        </w:tc>
      </w:tr>
      <w:tr w:rsidTr="00EA5F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Before the critical aspects of evidence are considered all prerequ</w:t>
            </w:r>
            <w:r w:rsidRPr="007953D3">
              <w:t>isites shall be met.</w:t>
            </w:r>
          </w:p>
        </w:tc>
      </w:tr>
      <w:tr w:rsidTr="00EA5F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 xml:space="preserve">Evidence for competence in this unit shall be considered holistically. Each element and associated Performance Criteria shall be demonstrated on at least two occasions in accordance with the ‘Assessment Guidelines — UEG11’. Evidence </w:t>
            </w:r>
            <w:r w:rsidRPr="007953D3">
              <w:t>shall also comprise:</w:t>
            </w:r>
          </w:p>
        </w:tc>
      </w:tr>
      <w:tr w:rsidTr="00EA5F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953D3">
            <w:pPr>
              <w:pStyle w:val="ListBullet"/>
              <w:rPr>
                <w:lang w:val="en-NZ"/>
              </w:rPr>
            </w:pPr>
            <w:r w:rsidRPr="007953D3">
              <w:t xml:space="preserve">A representative body of work performance demonstrated within the timeframes typically </w:t>
            </w:r>
            <w:r w:rsidRPr="007953D3">
              <w:t>expected of the discipline, work function and industrial environment. In particular this shall incorporate evidence that shows a candidate is able to:</w:t>
            </w:r>
          </w:p>
        </w:tc>
      </w:tr>
      <w:tr w:rsidTr="00EA5F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953D3">
            <w:pPr>
              <w:pStyle w:val="ListBullet2"/>
              <w:rPr>
                <w:lang w:val="en-NZ"/>
              </w:rPr>
            </w:pPr>
            <w:r w:rsidRPr="007953D3">
              <w:t xml:space="preserve">Implement Occupational Health and Safety workplace procedures and practices including the use of risk </w:t>
            </w:r>
            <w:r w:rsidRPr="007953D3">
              <w:t>control measures as specified in the Performance Criteria and range</w:t>
            </w:r>
          </w:p>
        </w:tc>
      </w:tr>
      <w:tr w:rsidTr="00EA5F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953D3">
            <w:pPr>
              <w:pStyle w:val="ListBullet2"/>
              <w:rPr>
                <w:lang w:val="en-NZ"/>
              </w:rPr>
            </w:pPr>
            <w:r w:rsidRPr="007953D3">
              <w:t>Apply sustainable energy principles and practices as specified in the Performance Criteria and range</w:t>
            </w:r>
          </w:p>
        </w:tc>
      </w:tr>
      <w:tr w:rsidTr="00EA5F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953D3">
            <w:pPr>
              <w:pStyle w:val="ListBullet2"/>
              <w:rPr>
                <w:lang w:val="en-NZ"/>
              </w:rPr>
            </w:pPr>
            <w:r w:rsidRPr="007953D3">
              <w:t>Demonstrate an understanding of the essential</w:t>
            </w:r>
            <w:r w:rsidRPr="007953D3">
              <w:t xml:space="preserve"> knowledge and associated skills as described in this unit to such an extent that the learner’s performance outcome is reported in accordance with the preferred approach; namely a percentile graded result, where required by the regulated environment</w:t>
            </w:r>
          </w:p>
        </w:tc>
      </w:tr>
      <w:tr w:rsidTr="00EA5F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953D3">
            <w:pPr>
              <w:pStyle w:val="ListBullet2"/>
              <w:rPr>
                <w:lang w:val="en-NZ"/>
              </w:rPr>
            </w:pPr>
            <w:r w:rsidRPr="007953D3">
              <w:t>Dem</w:t>
            </w:r>
            <w:r w:rsidRPr="007953D3">
              <w:t>onstrate an appropriate level of employability skills</w:t>
            </w:r>
          </w:p>
        </w:tc>
      </w:tr>
      <w:tr w:rsidTr="00EA5FFF">
        <w:tblPrEx>
          <w:tblW w:w="0" w:type="auto"/>
          <w:tblLayout w:type="fixed"/>
          <w:tblCellMar>
            <w:left w:w="62" w:type="dxa"/>
            <w:right w:w="62" w:type="dxa"/>
          </w:tblCellMar>
          <w:tblLook w:val="0000"/>
        </w:tblPrEx>
        <w:trPr>
          <w:trHeight w:val="602"/>
        </w:trPr>
        <w:tc>
          <w:tcPr>
            <w:tcW w:w="189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953D3">
            <w:pPr>
              <w:pStyle w:val="ListBullet2"/>
              <w:rPr>
                <w:lang w:val="en-NZ"/>
              </w:rPr>
            </w:pPr>
            <w:r w:rsidRPr="007953D3">
              <w:t>Conduct work observing the relevant Anti Discrimination legislation, regulations, polices and workplace procedures</w:t>
            </w:r>
          </w:p>
        </w:tc>
      </w:tr>
      <w:tr w:rsidTr="00EA5F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7953D3" w:rsidP="007953D3">
            <w:pPr>
              <w:pStyle w:val="ListBullet"/>
            </w:pPr>
            <w:r w:rsidRPr="007953D3">
              <w:t>Demonstrate performance across a representative range of contexts from the prescribed items below.</w:t>
            </w:r>
          </w:p>
        </w:tc>
      </w:tr>
    </w:tbl>
    <w:p w:rsidR="00000000" w:rsidRPr="007953D3" w:rsidP="007953D3">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EA5FFF">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7953D3">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3D3">
            <w:pPr>
              <w:pStyle w:val="BodyText"/>
              <w:rPr>
                <w:lang w:val="en-NZ"/>
              </w:rPr>
            </w:pPr>
            <w:r w:rsidRPr="007953D3">
              <w:rPr>
                <w:rStyle w:val="SpecialBold"/>
              </w:rPr>
              <w:t>Range of tools/equipment/procedures/workplace</w:t>
            </w:r>
          </w:p>
        </w:tc>
      </w:tr>
      <w:tr w:rsidTr="00EA5F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7953D3">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3D3" w:rsidP="007953D3">
            <w:pPr>
              <w:pStyle w:val="BodyText"/>
            </w:pPr>
            <w:r w:rsidRPr="007953D3">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3D3" w:rsidP="007953D3">
            <w:pPr>
              <w:pStyle w:val="BodyText"/>
            </w:pPr>
            <w:r w:rsidRPr="007953D3">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3D3">
            <w:pPr>
              <w:pStyle w:val="BodyText"/>
              <w:rPr>
                <w:lang w:val="en-NZ"/>
              </w:rPr>
            </w:pPr>
            <w:r w:rsidRPr="007953D3">
              <w:rPr>
                <w:rStyle w:val="SpecialBold"/>
              </w:rPr>
              <w:t>Item List</w:t>
            </w:r>
          </w:p>
        </w:tc>
      </w:tr>
      <w:tr w:rsidTr="00EA5F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3D3">
            <w:pPr>
              <w:pStyle w:val="BodyText"/>
              <w:rPr>
                <w:lang w:val="en-NZ"/>
              </w:rPr>
            </w:pPr>
            <w:r w:rsidRPr="007953D3">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3D3">
            <w:pPr>
              <w:pStyle w:val="BodyText"/>
              <w:rPr>
                <w:lang w:val="en-NZ"/>
              </w:rPr>
            </w:pPr>
            <w:r w:rsidRPr="007953D3">
              <w:t>At least 5</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3D3" w:rsidP="007953D3">
            <w:pPr>
              <w:pStyle w:val="BodyText"/>
            </w:pPr>
            <w:r w:rsidRPr="007953D3">
              <w:t>Components and system:</w:t>
            </w:r>
          </w:p>
          <w:p w:rsidR="00000000" w:rsidRPr="007953D3" w:rsidP="007953D3">
            <w:pPr>
              <w:pStyle w:val="BodyText"/>
            </w:pPr>
            <w:r w:rsidRPr="007953D3">
              <w:t>Solar powered generation systems</w:t>
            </w:r>
          </w:p>
          <w:p w:rsidR="00000000" w:rsidRPr="007953D3" w:rsidP="007953D3">
            <w:pPr>
              <w:pStyle w:val="BodyText"/>
            </w:pPr>
            <w:r w:rsidRPr="007953D3">
              <w:t>240 volt power generation systems</w:t>
            </w:r>
          </w:p>
          <w:p w:rsidR="00000000" w:rsidRPr="007953D3" w:rsidP="007953D3">
            <w:pPr>
              <w:pStyle w:val="BodyText"/>
            </w:pPr>
            <w:r w:rsidRPr="007953D3">
              <w:t>Insulation and monolithic joints</w:t>
            </w:r>
          </w:p>
          <w:p w:rsidR="00000000" w:rsidRPr="007953D3" w:rsidP="007953D3">
            <w:pPr>
              <w:pStyle w:val="BodyText"/>
            </w:pPr>
            <w:r w:rsidRPr="007953D3">
              <w:t>Galvanic anode beds</w:t>
            </w:r>
          </w:p>
          <w:p w:rsidR="00000000" w:rsidRPr="007953D3" w:rsidP="007953D3">
            <w:pPr>
              <w:pStyle w:val="BodyText"/>
            </w:pPr>
            <w:r w:rsidRPr="007953D3">
              <w:t>Battery banks — acid and lead acid</w:t>
            </w:r>
          </w:p>
          <w:p w:rsidR="00000000" w:rsidRPr="007953D3" w:rsidP="007953D3">
            <w:pPr>
              <w:pStyle w:val="BodyText"/>
            </w:pPr>
            <w:r w:rsidRPr="007953D3">
              <w:t>Transformer rectifiers and CPUs</w:t>
            </w:r>
          </w:p>
          <w:p w:rsidR="00000000" w:rsidRPr="007953D3" w:rsidP="007953D3">
            <w:pPr>
              <w:pStyle w:val="BodyText"/>
            </w:pPr>
            <w:r w:rsidRPr="007953D3">
              <w:t>Lighting protection equipment</w:t>
            </w:r>
          </w:p>
          <w:p w:rsidR="00000000" w:rsidRPr="007953D3" w:rsidP="007953D3">
            <w:pPr>
              <w:pStyle w:val="BodyText"/>
            </w:pPr>
            <w:r w:rsidRPr="007953D3">
              <w:t>CP test points</w:t>
            </w:r>
          </w:p>
          <w:p w:rsidR="00000000" w:rsidP="007953D3">
            <w:pPr>
              <w:pStyle w:val="BodyText"/>
              <w:rPr>
                <w:lang w:val="en-NZ"/>
              </w:rPr>
            </w:pPr>
            <w:r w:rsidRPr="007953D3">
              <w:t>K</w:t>
            </w:r>
            <w:r w:rsidRPr="007953D3">
              <w:t>irk cells</w:t>
            </w:r>
          </w:p>
        </w:tc>
      </w:tr>
      <w:tr w:rsidTr="00EA5F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3D3">
            <w:pPr>
              <w:pStyle w:val="BodyText"/>
              <w:rPr>
                <w:lang w:val="en-NZ"/>
              </w:rPr>
            </w:pPr>
            <w:r w:rsidRPr="007953D3">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3D3">
            <w:pPr>
              <w:pStyle w:val="BodyText"/>
              <w:rPr>
                <w:lang w:val="en-NZ"/>
              </w:rPr>
            </w:pPr>
            <w:r w:rsidRPr="007953D3">
              <w:t>At least 4</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3D3" w:rsidP="007953D3">
            <w:pPr>
              <w:pStyle w:val="BodyText"/>
            </w:pPr>
            <w:r w:rsidRPr="007953D3">
              <w:t>Checks and tests on CP systems:</w:t>
            </w:r>
          </w:p>
          <w:p w:rsidR="00000000" w:rsidRPr="007953D3" w:rsidP="007953D3">
            <w:pPr>
              <w:pStyle w:val="BodyText"/>
            </w:pPr>
            <w:r w:rsidRPr="007953D3">
              <w:t>Potential surveys</w:t>
            </w:r>
          </w:p>
          <w:p w:rsidR="00000000" w:rsidRPr="007953D3" w:rsidP="007953D3">
            <w:pPr>
              <w:pStyle w:val="BodyText"/>
            </w:pPr>
            <w:r w:rsidRPr="007953D3">
              <w:t>On/off potential surveys</w:t>
            </w:r>
          </w:p>
          <w:p w:rsidR="00000000" w:rsidRPr="007953D3" w:rsidP="007953D3">
            <w:pPr>
              <w:pStyle w:val="BodyText"/>
            </w:pPr>
            <w:r w:rsidRPr="007953D3">
              <w:t>Coating defect assessment surveys (DCVG method, Peason technique/method, over pipeline potential method)</w:t>
            </w:r>
          </w:p>
          <w:p w:rsidR="00000000" w:rsidRPr="007953D3" w:rsidP="007953D3">
            <w:pPr>
              <w:pStyle w:val="BodyText"/>
            </w:pPr>
            <w:r w:rsidRPr="007953D3">
              <w:t>Loop impedance testing</w:t>
            </w:r>
          </w:p>
          <w:p w:rsidR="00000000" w:rsidRPr="007953D3" w:rsidP="007953D3">
            <w:pPr>
              <w:pStyle w:val="BodyText"/>
            </w:pPr>
            <w:r w:rsidRPr="007953D3">
              <w:t>Anode bed testing</w:t>
            </w:r>
          </w:p>
          <w:p w:rsidR="00000000" w:rsidRPr="007953D3" w:rsidP="007953D3">
            <w:pPr>
              <w:pStyle w:val="BodyText"/>
            </w:pPr>
            <w:r w:rsidRPr="007953D3">
              <w:t>Soil resistivity testing</w:t>
            </w:r>
          </w:p>
          <w:p w:rsidR="00000000" w:rsidP="007953D3">
            <w:pPr>
              <w:pStyle w:val="BodyText"/>
              <w:rPr>
                <w:lang w:val="en-NZ"/>
              </w:rPr>
            </w:pPr>
            <w:r w:rsidRPr="007953D3">
              <w:t>Interference testing</w:t>
            </w:r>
          </w:p>
        </w:tc>
      </w:tr>
      <w:tr w:rsidTr="00EA5F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3D3">
            <w:pPr>
              <w:pStyle w:val="BodyText"/>
              <w:rPr>
                <w:lang w:val="en-NZ"/>
              </w:rPr>
            </w:pPr>
            <w:r w:rsidRPr="007953D3">
              <w:t>C</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3D3">
            <w:pPr>
              <w:pStyle w:val="BodyText"/>
              <w:rPr>
                <w:lang w:val="en-NZ"/>
              </w:rPr>
            </w:pPr>
            <w:r w:rsidRPr="007953D3">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3D3" w:rsidP="007953D3">
            <w:pPr>
              <w:pStyle w:val="BodyText"/>
            </w:pPr>
            <w:r w:rsidRPr="007953D3">
              <w:t>Knowledge of relevant Australian Standards or their equivalents:</w:t>
            </w:r>
          </w:p>
          <w:p w:rsidR="00000000" w:rsidRPr="007953D3" w:rsidP="007953D3">
            <w:pPr>
              <w:pStyle w:val="BodyText"/>
            </w:pPr>
            <w:r w:rsidRPr="007953D3">
              <w:t>AS 2885</w:t>
            </w:r>
          </w:p>
          <w:p w:rsidR="00000000" w:rsidRPr="007953D3" w:rsidP="007953D3">
            <w:pPr>
              <w:pStyle w:val="BodyText"/>
            </w:pPr>
            <w:r w:rsidRPr="007953D3">
              <w:t>AS 2430</w:t>
            </w:r>
          </w:p>
          <w:p w:rsidR="00000000" w:rsidRPr="007953D3" w:rsidP="007953D3">
            <w:pPr>
              <w:pStyle w:val="BodyText"/>
            </w:pPr>
            <w:r w:rsidRPr="007953D3">
              <w:t>AS 1768</w:t>
            </w:r>
          </w:p>
          <w:p w:rsidR="00000000" w:rsidRPr="007953D3" w:rsidP="007953D3">
            <w:pPr>
              <w:pStyle w:val="BodyText"/>
            </w:pPr>
            <w:r w:rsidRPr="007953D3">
              <w:t>AS 1596</w:t>
            </w:r>
          </w:p>
          <w:p w:rsidR="00000000" w:rsidRPr="007953D3" w:rsidP="007953D3">
            <w:pPr>
              <w:pStyle w:val="BodyText"/>
            </w:pPr>
            <w:r w:rsidRPr="007953D3">
              <w:t>AS 1697</w:t>
            </w:r>
          </w:p>
          <w:p w:rsidR="00000000" w:rsidRPr="007953D3" w:rsidP="007953D3">
            <w:pPr>
              <w:pStyle w:val="BodyText"/>
            </w:pPr>
            <w:r w:rsidRPr="007953D3">
              <w:t>AS 2832.1</w:t>
            </w:r>
          </w:p>
          <w:p w:rsidR="00000000" w:rsidRPr="007953D3" w:rsidP="007953D3">
            <w:pPr>
              <w:pStyle w:val="BodyText"/>
            </w:pPr>
            <w:r w:rsidRPr="007953D3">
              <w:t>AS 3000</w:t>
            </w:r>
          </w:p>
          <w:p w:rsidR="00000000" w:rsidRPr="007953D3" w:rsidP="007953D3">
            <w:pPr>
              <w:pStyle w:val="BodyText"/>
            </w:pPr>
            <w:r w:rsidRPr="007953D3">
              <w:t>AS 2239</w:t>
            </w:r>
          </w:p>
          <w:p w:rsidR="00000000" w:rsidRPr="007953D3" w:rsidP="007953D3">
            <w:pPr>
              <w:pStyle w:val="BodyText"/>
            </w:pPr>
            <w:r w:rsidRPr="007953D3">
              <w:t>AS 2865</w:t>
            </w:r>
          </w:p>
          <w:p w:rsidR="00000000" w:rsidP="007953D3">
            <w:pPr>
              <w:pStyle w:val="BodyText"/>
              <w:rPr>
                <w:lang w:val="en-NZ"/>
              </w:rPr>
            </w:pPr>
            <w:r w:rsidRPr="007953D3">
              <w:t>AG 603</w:t>
            </w:r>
          </w:p>
        </w:tc>
      </w:tr>
      <w:tr w:rsidTr="00EA5F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3D3">
            <w:pPr>
              <w:pStyle w:val="BodyText"/>
              <w:rPr>
                <w:lang w:val="en-NZ"/>
              </w:rPr>
            </w:pPr>
            <w:r w:rsidRPr="007953D3">
              <w:t>D</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3D3">
            <w:pPr>
              <w:pStyle w:val="BodyText"/>
              <w:rPr>
                <w:lang w:val="en-NZ"/>
              </w:rPr>
            </w:pPr>
            <w:r w:rsidRPr="007953D3">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3D3" w:rsidP="007953D3">
            <w:pPr>
              <w:pStyle w:val="BodyText"/>
            </w:pPr>
            <w:r w:rsidRPr="007953D3">
              <w:t>Interpret cathodic protection data system surveys and readings</w:t>
            </w:r>
          </w:p>
          <w:p w:rsidR="00000000" w:rsidRPr="007953D3" w:rsidP="007953D3">
            <w:pPr>
              <w:pStyle w:val="BodyText"/>
            </w:pPr>
            <w:r w:rsidRPr="007953D3">
              <w:t>Implement cathodic protection tests and surveys</w:t>
            </w:r>
          </w:p>
          <w:p w:rsidR="00000000" w:rsidRPr="007953D3" w:rsidP="007953D3">
            <w:pPr>
              <w:pStyle w:val="BodyText"/>
            </w:pPr>
            <w:r w:rsidRPr="007953D3">
              <w:t>Locate and repair faults</w:t>
            </w:r>
          </w:p>
          <w:p w:rsidR="00000000" w:rsidRPr="007953D3" w:rsidP="007953D3">
            <w:pPr>
              <w:pStyle w:val="BodyText"/>
            </w:pPr>
            <w:r w:rsidRPr="007953D3">
              <w:t>Procedures for coating surveys</w:t>
            </w:r>
          </w:p>
          <w:p w:rsidR="00000000" w:rsidRPr="007953D3" w:rsidP="007953D3">
            <w:pPr>
              <w:pStyle w:val="BodyText"/>
            </w:pPr>
            <w:r w:rsidRPr="007953D3">
              <w:t>Check and maintain potentials</w:t>
            </w:r>
          </w:p>
          <w:p w:rsidR="00000000" w:rsidP="007953D3">
            <w:pPr>
              <w:pStyle w:val="BodyText"/>
              <w:rPr>
                <w:lang w:val="en-NZ"/>
              </w:rPr>
            </w:pPr>
            <w:r w:rsidRPr="007953D3">
              <w:t>Install cathodic protection system</w:t>
            </w:r>
          </w:p>
        </w:tc>
      </w:tr>
      <w:tr w:rsidTr="00EA5F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3D3">
            <w:pPr>
              <w:pStyle w:val="BodyText"/>
              <w:rPr>
                <w:lang w:val="en-NZ"/>
              </w:rPr>
            </w:pPr>
            <w:r w:rsidRPr="007953D3">
              <w:t>E</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3D3">
            <w:pPr>
              <w:pStyle w:val="BodyText"/>
              <w:rPr>
                <w:lang w:val="en-NZ"/>
              </w:rPr>
            </w:pPr>
            <w:r w:rsidRPr="007953D3">
              <w:t>At least one occasi</w:t>
            </w:r>
            <w:r w:rsidRPr="007953D3">
              <w:t>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3D3" w:rsidP="007953D3">
            <w:pPr>
              <w:pStyle w:val="BodyText"/>
            </w:pPr>
            <w:r w:rsidRPr="007953D3">
              <w:t xml:space="preserve">Deal with an unplanned event by drawing on essential knowledge and associated skills to provide appropriate solutions incorporated in the holistic assessment with the above listed items </w:t>
            </w:r>
          </w:p>
        </w:tc>
      </w:tr>
    </w:tbl>
    <w:p w:rsidR="00000000" w:rsidRPr="007953D3" w:rsidP="007953D3">
      <w:pPr>
        <w:pStyle w:val="BodyText"/>
      </w:pPr>
    </w:p>
    <w:tbl>
      <w:tblPr>
        <w:tblW w:w="0" w:type="auto"/>
        <w:tblLayout w:type="fixed"/>
        <w:tblCellMar>
          <w:left w:w="62" w:type="dxa"/>
          <w:right w:w="62" w:type="dxa"/>
        </w:tblCellMar>
        <w:tblLook w:val="0000"/>
      </w:tblPr>
      <w:tblGrid>
        <w:gridCol w:w="1890"/>
        <w:gridCol w:w="6570"/>
      </w:tblGrid>
      <w:tr w:rsidTr="00EA5F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953D3" w:rsidP="007953D3">
            <w:pPr>
              <w:pStyle w:val="BodyText"/>
            </w:pPr>
            <w:r w:rsidRPr="007953D3">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rPr>
                <w:rStyle w:val="SpecialBold"/>
              </w:rPr>
              <w:t>9.3)</w:t>
            </w:r>
          </w:p>
        </w:tc>
      </w:tr>
      <w:tr w:rsidTr="00EA5F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This unit should be assessed as it relates to normal work practice using procedures, information and resources typical of a workplace. This should include:</w:t>
            </w:r>
          </w:p>
        </w:tc>
      </w:tr>
      <w:tr w:rsidTr="00EA5F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953D3">
            <w:pPr>
              <w:pStyle w:val="ListBullet"/>
              <w:rPr>
                <w:lang w:val="en-NZ"/>
              </w:rPr>
            </w:pPr>
            <w:r w:rsidRPr="007953D3">
              <w:t>OHS policy and work procedures and instructions.</w:t>
            </w:r>
          </w:p>
        </w:tc>
      </w:tr>
      <w:tr w:rsidTr="00EA5F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953D3">
            <w:pPr>
              <w:pStyle w:val="ListBullet"/>
              <w:rPr>
                <w:lang w:val="en-NZ"/>
              </w:rPr>
            </w:pPr>
            <w:r w:rsidRPr="007953D3">
              <w:t>Suitable work environment, facilities, equipment and materials to undertake actual work as prescribed by this Competency Standard Units.</w:t>
            </w:r>
          </w:p>
        </w:tc>
      </w:tr>
      <w:tr w:rsidTr="00EA5F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953D3">
            <w:pPr>
              <w:pStyle w:val="ListBullet"/>
              <w:rPr>
                <w:lang w:val="en-NZ"/>
              </w:rPr>
            </w:pPr>
            <w:r w:rsidRPr="007953D3">
              <w:t>Appropriate environmental regulation and work practices.</w:t>
            </w:r>
          </w:p>
        </w:tc>
      </w:tr>
      <w:tr w:rsidTr="00EA5F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953D3">
            <w:pPr>
              <w:pStyle w:val="ListBullet"/>
              <w:rPr>
                <w:lang w:val="en-NZ"/>
              </w:rPr>
            </w:pPr>
            <w:r w:rsidRPr="007953D3">
              <w:t>Appropriate organisational requirements</w:t>
            </w:r>
          </w:p>
        </w:tc>
      </w:tr>
      <w:tr w:rsidTr="00EA5F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953D3">
            <w:pPr>
              <w:pStyle w:val="ListBullet"/>
              <w:rPr>
                <w:lang w:val="en-NZ"/>
              </w:rPr>
            </w:pPr>
            <w:r w:rsidRPr="007953D3">
              <w:t>Appropriate w</w:t>
            </w:r>
            <w:r w:rsidRPr="007953D3">
              <w:t>ork environment, equipment and tools.</w:t>
            </w:r>
          </w:p>
        </w:tc>
      </w:tr>
      <w:tr w:rsidTr="00EA5F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In addition to the resources listed above, in Context of and specific resources for assessment, evidence should show demonstrated competency in installing cathodic protection systems.</w:t>
            </w:r>
          </w:p>
        </w:tc>
      </w:tr>
      <w:tr w:rsidTr="00EA5F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953D3" w:rsidP="007953D3">
            <w:pPr>
              <w:pStyle w:val="BodyText"/>
            </w:pPr>
            <w:r w:rsidRPr="007953D3">
              <w:t>Assessment of this competency must also be undertaken in either an actual workplace or under a simulated work environment. Assessment must also integrate the employability skills.</w:t>
            </w:r>
          </w:p>
        </w:tc>
      </w:tr>
    </w:tbl>
    <w:p w:rsidR="00000000" w:rsidRPr="007953D3" w:rsidP="007953D3">
      <w:pPr>
        <w:pStyle w:val="BodyText"/>
      </w:pPr>
    </w:p>
    <w:tbl>
      <w:tblPr>
        <w:tblW w:w="0" w:type="auto"/>
        <w:tblLayout w:type="fixed"/>
        <w:tblCellMar>
          <w:left w:w="62" w:type="dxa"/>
          <w:right w:w="62" w:type="dxa"/>
        </w:tblCellMar>
        <w:tblLook w:val="0000"/>
      </w:tblPr>
      <w:tblGrid>
        <w:gridCol w:w="1890"/>
        <w:gridCol w:w="6570"/>
      </w:tblGrid>
      <w:tr w:rsidTr="00EA5F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953D3" w:rsidP="007953D3">
            <w:pPr>
              <w:pStyle w:val="BodyText"/>
            </w:pPr>
            <w:r w:rsidRPr="007953D3">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rPr>
                <w:rStyle w:val="SpecialBold"/>
              </w:rPr>
              <w:t>9.4)</w:t>
            </w:r>
          </w:p>
        </w:tc>
      </w:tr>
      <w:tr w:rsidTr="00EA5F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This Unit shall be assessed by methods given i</w:t>
            </w:r>
            <w:r w:rsidRPr="007953D3">
              <w:t>n Volume 1, Part 3 ‘Assessment Guidelines’.</w:t>
            </w:r>
          </w:p>
        </w:tc>
      </w:tr>
      <w:tr w:rsidTr="00EA5F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953D3" w:rsidP="007953D3">
            <w:pPr>
              <w:pStyle w:val="BodyText"/>
            </w:pPr>
            <w:r w:rsidRPr="007953D3">
              <w:t xml:space="preserve">Note: Competent performance with inherent safe working practices is expected in the Industry to which this Competency Standard Units applies. This requires that the specified Essential Knowledge and Associated </w:t>
            </w:r>
            <w:r w:rsidRPr="007953D3">
              <w:t>Skills are assessed in a structured environment which is primarily intended for learning/assessment and incorporates all necessary equipment and facilities for learners to develop and demonstrate the essential knowledge and associated skills described in t</w:t>
            </w:r>
            <w:r w:rsidRPr="007953D3">
              <w:t>his unit.</w:t>
            </w:r>
          </w:p>
        </w:tc>
      </w:tr>
    </w:tbl>
    <w:p w:rsidR="00000000" w:rsidRPr="007953D3" w:rsidP="007953D3">
      <w:pPr>
        <w:pStyle w:val="BodyText"/>
      </w:pPr>
    </w:p>
    <w:tbl>
      <w:tblPr>
        <w:tblW w:w="0" w:type="auto"/>
        <w:tblLayout w:type="fixed"/>
        <w:tblCellMar>
          <w:left w:w="62" w:type="dxa"/>
          <w:right w:w="62" w:type="dxa"/>
        </w:tblCellMar>
        <w:tblLook w:val="0000"/>
      </w:tblPr>
      <w:tblGrid>
        <w:gridCol w:w="1890"/>
        <w:gridCol w:w="1620"/>
        <w:gridCol w:w="4950"/>
      </w:tblGrid>
      <w:tr w:rsidTr="00EA5F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953D3" w:rsidP="007953D3">
            <w:pPr>
              <w:pStyle w:val="BodyText"/>
            </w:pPr>
            <w:r w:rsidRPr="007953D3">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rPr>
                <w:rStyle w:val="SpecialBold"/>
              </w:rPr>
              <w:t>9.5)</w:t>
            </w:r>
          </w:p>
        </w:tc>
      </w:tr>
      <w:tr w:rsidTr="00EA5F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 xml:space="preserve">There are no recommended concurrent assessments with this unit, however in some cases efficiencies may be gained in terms of learning and assessment </w:t>
            </w:r>
            <w:r w:rsidRPr="007953D3">
              <w:t>effort being concurrently managed with allied Competency Standard Units where listed.</w:t>
            </w:r>
          </w:p>
        </w:tc>
      </w:tr>
      <w:tr w:rsidTr="00EA5F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UEGNSG102B</w:t>
            </w:r>
          </w:p>
        </w:tc>
        <w:tc>
          <w:tcPr>
            <w:tcW w:w="495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Carry out work activities in a utilities industry work environment</w:t>
            </w:r>
          </w:p>
        </w:tc>
      </w:tr>
      <w:tr w:rsidTr="00EA5F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UEGNSG104B</w:t>
            </w:r>
          </w:p>
        </w:tc>
        <w:tc>
          <w:tcPr>
            <w:tcW w:w="495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Comply with environmental policies and procedures</w:t>
            </w:r>
          </w:p>
        </w:tc>
      </w:tr>
      <w:tr w:rsidTr="00EA5F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UEGNSG105B</w:t>
            </w:r>
          </w:p>
        </w:tc>
        <w:tc>
          <w:tcPr>
            <w:tcW w:w="495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Establish the</w:t>
            </w:r>
            <w:r w:rsidRPr="007953D3">
              <w:t xml:space="preserve"> work site</w:t>
            </w:r>
          </w:p>
        </w:tc>
      </w:tr>
      <w:tr w:rsidTr="00EA5F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BSBFLM312B</w:t>
            </w:r>
          </w:p>
        </w:tc>
        <w:tc>
          <w:tcPr>
            <w:tcW w:w="495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Contribute to team effectiveness</w:t>
            </w:r>
          </w:p>
        </w:tc>
      </w:tr>
      <w:tr w:rsidTr="00EA5F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BSBFLM303C</w:t>
            </w:r>
          </w:p>
        </w:tc>
        <w:tc>
          <w:tcPr>
            <w:tcW w:w="4950" w:type="dxa"/>
            <w:tcBorders>
              <w:top w:val="nil"/>
              <w:left w:val="nil"/>
              <w:bottom w:val="nil"/>
              <w:right w:val="nil"/>
            </w:tcBorders>
            <w:tcMar>
              <w:top w:w="0" w:type="dxa"/>
              <w:left w:w="62" w:type="dxa"/>
              <w:bottom w:w="0" w:type="dxa"/>
              <w:right w:w="62" w:type="dxa"/>
            </w:tcMar>
          </w:tcPr>
          <w:p w:rsidR="00000000" w:rsidRPr="007953D3" w:rsidP="007953D3">
            <w:pPr>
              <w:pStyle w:val="BodyText"/>
            </w:pPr>
            <w:r w:rsidRPr="007953D3">
              <w:t>Contribute to effective workplace relationships</w:t>
            </w:r>
          </w:p>
        </w:tc>
      </w:tr>
    </w:tbl>
    <w:p w:rsidR="00EA5FFF" w:rsidP="007953D3">
      <w:pPr>
        <w:pStyle w:val="BodyText"/>
      </w:pPr>
    </w:p>
    <w:p w:rsidR="00EA5FFF" w:rsidP="007953D3">
      <w:pPr>
        <w:pStyle w:val="BodyText"/>
      </w:pPr>
    </w:p>
    <w:p w:rsidR="00000000" w:rsidRPr="007953D3" w:rsidP="007953D3">
      <w:pPr>
        <w:pStyle w:val="Heading1"/>
      </w:pPr>
      <w:bookmarkStart w:id="11" w:name="O_403063"/>
      <w:bookmarkEnd w:id="11"/>
      <w:r w:rsidRPr="007953D3">
        <w:t>Range Statement</w:t>
      </w:r>
    </w:p>
    <w:tbl>
      <w:tblPr>
        <w:tblW w:w="0" w:type="auto"/>
        <w:tblLayout w:type="fixed"/>
        <w:tblCellMar>
          <w:left w:w="62" w:type="dxa"/>
          <w:right w:w="62" w:type="dxa"/>
        </w:tblCellMar>
        <w:tblLook w:val="0000"/>
      </w:tblPr>
      <w:tblGrid>
        <w:gridCol w:w="8460"/>
      </w:tblGrid>
      <w:tr w:rsidTr="00EA5FF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rPr>
                <w:rStyle w:val="SpecialBold"/>
              </w:rPr>
              <w:t>RANGE STATEMENT</w:t>
            </w:r>
          </w:p>
        </w:tc>
      </w:tr>
      <w:tr w:rsidTr="00EA5FFF">
        <w:tblPrEx>
          <w:tblW w:w="0" w:type="auto"/>
          <w:tblLayout w:type="fixed"/>
          <w:tblCellMar>
            <w:left w:w="62" w:type="dxa"/>
            <w:right w:w="62" w:type="dxa"/>
          </w:tblCellMar>
          <w:tblLook w:val="0000"/>
        </w:tblPrEx>
        <w:trPr>
          <w:trHeight w:val="845"/>
        </w:trPr>
        <w:tc>
          <w:tcPr>
            <w:tcW w:w="846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rPr>
                <w:rStyle w:val="SpecialBold"/>
              </w:rPr>
              <w:t>10)</w:t>
            </w:r>
            <w:r w:rsidRPr="007953D3">
              <w:t xml:space="preserve"> This relates to the competency standard unit as a whole providing the range of contexts and conditions to which the Performance Criteria apply. It allows for different work environments and situations that will affect performance.</w:t>
            </w:r>
          </w:p>
        </w:tc>
      </w:tr>
      <w:tr w:rsidTr="00EA5F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This Unit shall be demo</w:t>
            </w:r>
            <w:r w:rsidRPr="007953D3">
              <w:t>nstrated in relation to installing cathodic protection systems.</w:t>
            </w:r>
          </w:p>
        </w:tc>
      </w:tr>
      <w:tr w:rsidTr="00EA5F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 xml:space="preserve">The following constants and variables included in the element/Performance Criteria in this unit are fully described in the Definitions Section of this volume and form an integral part of the </w:t>
            </w:r>
            <w:r w:rsidRPr="007953D3">
              <w:t>Range Statement of this unit:</w:t>
            </w:r>
          </w:p>
        </w:tc>
      </w:tr>
      <w:tr w:rsidTr="00EA5F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Applicable Australian standards/legislation</w:t>
            </w:r>
          </w:p>
        </w:tc>
      </w:tr>
      <w:tr w:rsidTr="00EA5F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 xml:space="preserve">Location for maintaining CP Systems </w:t>
            </w:r>
          </w:p>
        </w:tc>
      </w:tr>
      <w:tr w:rsidTr="00EA5F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 xml:space="preserve">Components and system </w:t>
            </w:r>
          </w:p>
        </w:tc>
      </w:tr>
      <w:tr w:rsidTr="00EA5F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Representatives in other utilities</w:t>
            </w:r>
          </w:p>
        </w:tc>
      </w:tr>
      <w:tr w:rsidTr="00EA5F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Types of checks and tests</w:t>
            </w:r>
          </w:p>
        </w:tc>
      </w:tr>
      <w:tr w:rsidTr="00EA5F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 xml:space="preserve">Test equipment </w:t>
            </w:r>
          </w:p>
        </w:tc>
      </w:tr>
      <w:tr w:rsidTr="00EA5F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 xml:space="preserve">Drawings and specifications </w:t>
            </w:r>
          </w:p>
        </w:tc>
      </w:tr>
      <w:tr w:rsidTr="00EA5F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 xml:space="preserve">Types of CP faults </w:t>
            </w:r>
          </w:p>
        </w:tc>
      </w:tr>
      <w:tr w:rsidTr="00EA5F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Components and systems</w:t>
            </w:r>
          </w:p>
        </w:tc>
      </w:tr>
      <w:tr w:rsidTr="00EA5F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Relevant documentation</w:t>
            </w:r>
          </w:p>
        </w:tc>
      </w:tr>
      <w:tr w:rsidTr="00EA5F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Relevant authorities and other stakeholders/relevant authorities</w:t>
            </w:r>
          </w:p>
        </w:tc>
      </w:tr>
      <w:tr w:rsidTr="00EA5F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t>Location for maintaining CP systems</w:t>
            </w:r>
          </w:p>
        </w:tc>
      </w:tr>
      <w:tr w:rsidTr="00EA5F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953D3" w:rsidP="007953D3">
            <w:pPr>
              <w:pStyle w:val="BodyText"/>
            </w:pPr>
            <w:r w:rsidRPr="007953D3">
              <w:t>Drawings and specifications</w:t>
            </w:r>
          </w:p>
        </w:tc>
      </w:tr>
    </w:tbl>
    <w:p w:rsidR="00000000" w:rsidRPr="007953D3" w:rsidP="007953D3">
      <w:pPr>
        <w:pStyle w:val="BodyText"/>
      </w:pPr>
    </w:p>
    <w:p w:rsidR="00000000" w:rsidRPr="007953D3" w:rsidP="007953D3">
      <w:pPr>
        <w:pStyle w:val="AllowPageBreak"/>
      </w:pPr>
    </w:p>
    <w:p w:rsidR="00000000" w:rsidRPr="007953D3" w:rsidP="007953D3">
      <w:pPr>
        <w:pStyle w:val="Heading1"/>
      </w:pPr>
      <w:bookmarkStart w:id="12" w:name="O_403066"/>
      <w:bookmarkEnd w:id="12"/>
      <w:r w:rsidRPr="007953D3">
        <w:t>Unit Sector(s)</w:t>
      </w:r>
    </w:p>
    <w:p w:rsidR="00000000" w:rsidRPr="007953D3" w:rsidP="007953D3">
      <w:pPr>
        <w:pStyle w:val="BodyText"/>
      </w:pPr>
      <w:r w:rsidRPr="007953D3">
        <w:t>Not applicable.</w:t>
      </w:r>
    </w:p>
    <w:p w:rsidR="00000000" w:rsidRPr="007953D3" w:rsidP="007953D3">
      <w:pPr>
        <w:pStyle w:val="AllowPageBreak"/>
      </w:pPr>
    </w:p>
    <w:p w:rsidR="00000000" w:rsidRPr="007953D3" w:rsidP="007953D3">
      <w:pPr>
        <w:pStyle w:val="Heading1"/>
      </w:pPr>
      <w:bookmarkStart w:id="13" w:name="O_403055"/>
      <w:bookmarkEnd w:id="13"/>
      <w:r w:rsidRPr="007953D3">
        <w:t>Competency Field</w:t>
      </w:r>
    </w:p>
    <w:tbl>
      <w:tblPr>
        <w:tblW w:w="0" w:type="auto"/>
        <w:tblLayout w:type="fixed"/>
        <w:tblCellMar>
          <w:left w:w="62" w:type="dxa"/>
          <w:right w:w="62" w:type="dxa"/>
        </w:tblCellMar>
        <w:tblLook w:val="0000"/>
      </w:tblPr>
      <w:tblGrid>
        <w:gridCol w:w="2700"/>
        <w:gridCol w:w="5760"/>
      </w:tblGrid>
      <w:tr w:rsidTr="00EA5FF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953D3" w:rsidP="007953D3">
            <w:pPr>
              <w:pStyle w:val="BodyText"/>
            </w:pPr>
            <w:r w:rsidRPr="007953D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953D3">
            <w:pPr>
              <w:pStyle w:val="BodyText"/>
              <w:rPr>
                <w:lang w:val="en-NZ"/>
              </w:rPr>
            </w:pPr>
            <w:r w:rsidRPr="007953D3">
              <w:rPr>
                <w:rStyle w:val="SpecialBold"/>
              </w:rPr>
              <w:t xml:space="preserve">11) </w:t>
            </w:r>
          </w:p>
        </w:tc>
      </w:tr>
      <w:tr w:rsidTr="00EA5F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953D3" w:rsidP="007953D3">
            <w:pPr>
              <w:pStyle w:val="BodyText"/>
            </w:pPr>
            <w:r w:rsidRPr="007953D3">
              <w:t>Cathodic protection.</w:t>
            </w:r>
          </w:p>
        </w:tc>
      </w:tr>
    </w:tbl>
    <w:p w:rsidR="00000000" w:rsidRPr="007953D3" w:rsidP="007953D3">
      <w:pPr>
        <w:pStyle w:val="BodyText"/>
      </w:pPr>
    </w:p>
    <w:p w:rsidR="00000000" w:rsidRPr="007953D3" w:rsidP="007953D3"/>
    <w:sectPr w:rsidSect="007953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3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5FFF" w:rsidP="00EA5F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3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FFF" w:rsidP="007953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A5FFF" w:rsidP="007953D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A5FFF" w:rsidP="007953D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3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5FFF" w:rsidP="00EA5FF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3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FFF" w:rsidP="007953D3">
    <w:pPr>
      <w:pStyle w:val="Header"/>
      <w:framePr w:wrap="around"/>
    </w:pPr>
    <w:r>
      <w:fldChar w:fldCharType="begin"/>
    </w:r>
    <w:r>
      <w:instrText xml:space="preserve"> TITLE   \* MERGEFORMAT </w:instrText>
    </w:r>
    <w:r>
      <w:fldChar w:fldCharType="separate"/>
    </w:r>
    <w:r>
      <w:t>UEGNSG402B Install cathodic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A5FFF" w:rsidP="007953D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F674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EE3D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98FB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53D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953D3"/>
    <w:pPr>
      <w:spacing w:before="360" w:after="60"/>
      <w:outlineLvl w:val="0"/>
    </w:pPr>
    <w:rPr>
      <w:sz w:val="32"/>
    </w:rPr>
  </w:style>
  <w:style w:type="paragraph" w:styleId="Heading2">
    <w:name w:val="heading 2"/>
    <w:basedOn w:val="HeadingBase"/>
    <w:next w:val="BodyText"/>
    <w:link w:val="Heading2Char"/>
    <w:qFormat/>
    <w:rsid w:val="007953D3"/>
    <w:pPr>
      <w:keepLines/>
      <w:spacing w:before="240" w:after="120"/>
      <w:outlineLvl w:val="1"/>
    </w:pPr>
    <w:rPr>
      <w:sz w:val="28"/>
      <w:szCs w:val="40"/>
    </w:rPr>
  </w:style>
  <w:style w:type="paragraph" w:styleId="Heading3">
    <w:name w:val="heading 3"/>
    <w:basedOn w:val="HeadingBase"/>
    <w:next w:val="BodyText"/>
    <w:link w:val="Heading3Char"/>
    <w:qFormat/>
    <w:rsid w:val="007953D3"/>
    <w:pPr>
      <w:spacing w:before="180" w:after="120"/>
      <w:outlineLvl w:val="2"/>
    </w:pPr>
    <w:rPr>
      <w:spacing w:val="-10"/>
      <w:kern w:val="32"/>
    </w:rPr>
  </w:style>
  <w:style w:type="paragraph" w:styleId="Heading4">
    <w:name w:val="heading 4"/>
    <w:basedOn w:val="HeadingBase"/>
    <w:next w:val="BodyText"/>
    <w:link w:val="Heading4Char"/>
    <w:qFormat/>
    <w:rsid w:val="007953D3"/>
    <w:pPr>
      <w:spacing w:before="160" w:after="120"/>
      <w:outlineLvl w:val="3"/>
    </w:pPr>
    <w:rPr>
      <w:sz w:val="22"/>
    </w:rPr>
  </w:style>
  <w:style w:type="paragraph" w:styleId="Heading5">
    <w:name w:val="heading 5"/>
    <w:basedOn w:val="HeadingBase"/>
    <w:next w:val="Normal"/>
    <w:link w:val="Heading5Char"/>
    <w:qFormat/>
    <w:rsid w:val="007953D3"/>
    <w:pPr>
      <w:spacing w:before="80"/>
      <w:outlineLvl w:val="4"/>
    </w:pPr>
    <w:rPr>
      <w:color w:val="918585"/>
      <w:sz w:val="20"/>
    </w:rPr>
  </w:style>
  <w:style w:type="paragraph" w:styleId="Heading6">
    <w:name w:val="heading 6"/>
    <w:basedOn w:val="HeadingBase"/>
    <w:next w:val="Normal"/>
    <w:link w:val="Heading6Char"/>
    <w:qFormat/>
    <w:rsid w:val="007953D3"/>
    <w:pPr>
      <w:spacing w:before="60"/>
      <w:outlineLvl w:val="5"/>
    </w:pPr>
    <w:rPr>
      <w:color w:val="918585"/>
      <w:sz w:val="20"/>
    </w:rPr>
  </w:style>
  <w:style w:type="paragraph" w:styleId="Heading7">
    <w:name w:val="heading 7"/>
    <w:basedOn w:val="Normal"/>
    <w:next w:val="Normal"/>
    <w:link w:val="Heading7Char"/>
    <w:qFormat/>
    <w:rsid w:val="007953D3"/>
    <w:pPr>
      <w:ind w:left="720"/>
      <w:outlineLvl w:val="6"/>
    </w:pPr>
    <w:rPr>
      <w:i/>
    </w:rPr>
  </w:style>
  <w:style w:type="paragraph" w:styleId="Heading8">
    <w:name w:val="heading 8"/>
    <w:basedOn w:val="Normal"/>
    <w:next w:val="Normal"/>
    <w:link w:val="Heading8Char"/>
    <w:qFormat/>
    <w:rsid w:val="007953D3"/>
    <w:pPr>
      <w:ind w:left="720"/>
      <w:outlineLvl w:val="7"/>
    </w:pPr>
    <w:rPr>
      <w:i/>
    </w:rPr>
  </w:style>
  <w:style w:type="paragraph" w:styleId="Heading9">
    <w:name w:val="heading 9"/>
    <w:basedOn w:val="Normal"/>
    <w:next w:val="Normal"/>
    <w:link w:val="Heading9Char"/>
    <w:qFormat/>
    <w:rsid w:val="007953D3"/>
    <w:pPr>
      <w:ind w:left="720"/>
      <w:outlineLvl w:val="8"/>
    </w:pPr>
    <w:rPr>
      <w:i/>
    </w:rPr>
  </w:style>
  <w:style w:type="character" w:default="1" w:styleId="DefaultParagraphFont">
    <w:name w:val="Default Paragraph Font"/>
    <w:uiPriority w:val="1"/>
    <w:unhideWhenUsed/>
    <w:rsid w:val="007953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53D3"/>
  </w:style>
  <w:style w:type="character" w:customStyle="1" w:styleId="Heading1Char">
    <w:name w:val="Heading 1 Char"/>
    <w:basedOn w:val="DefaultParagraphFont"/>
    <w:link w:val="Heading1"/>
    <w:rsid w:val="007953D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953D3"/>
    <w:rPr>
      <w:rFonts w:ascii="Times New Roman" w:eastAsia="Times New Roman" w:hAnsi="Times New Roman" w:cs="Times New Roman"/>
      <w:b/>
      <w:szCs w:val="20"/>
      <w:lang w:eastAsia="en-US"/>
    </w:rPr>
  </w:style>
  <w:style w:type="paragraph" w:styleId="BodyText">
    <w:name w:val="Body Text"/>
    <w:basedOn w:val="Normal"/>
    <w:link w:val="BodyTextChar"/>
    <w:rsid w:val="007953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53D3"/>
    <w:rPr>
      <w:rFonts w:ascii="Times New Roman" w:eastAsia="Times New Roman" w:hAnsi="Times New Roman" w:cs="Times New Roman"/>
      <w:sz w:val="24"/>
      <w:lang w:val="en-US" w:eastAsia="en-US"/>
    </w:rPr>
  </w:style>
  <w:style w:type="paragraph" w:styleId="Footer">
    <w:name w:val="footer"/>
    <w:basedOn w:val="Normal"/>
    <w:link w:val="FooterChar"/>
    <w:rsid w:val="007953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53D3"/>
    <w:rPr>
      <w:rFonts w:ascii="Times New Roman" w:eastAsia="Times New Roman" w:hAnsi="Times New Roman" w:cs="Times New Roman"/>
      <w:sz w:val="16"/>
      <w:lang w:val="en-US" w:eastAsia="en-US"/>
    </w:rPr>
  </w:style>
  <w:style w:type="paragraph" w:styleId="ListBullet">
    <w:name w:val="List Bullet"/>
    <w:basedOn w:val="List"/>
    <w:rsid w:val="007953D3"/>
    <w:pPr>
      <w:numPr>
        <w:numId w:val="13"/>
      </w:numPr>
      <w:tabs>
        <w:tab w:val="clear" w:pos="340"/>
      </w:tabs>
      <w:spacing w:before="40" w:after="40"/>
    </w:pPr>
  </w:style>
  <w:style w:type="character" w:customStyle="1" w:styleId="SpecialBold">
    <w:name w:val="Special Bold"/>
    <w:basedOn w:val="DefaultParagraphFont"/>
    <w:rsid w:val="007953D3"/>
    <w:rPr>
      <w:b/>
      <w:spacing w:val="0"/>
    </w:rPr>
  </w:style>
  <w:style w:type="paragraph" w:styleId="ListBullet2">
    <w:name w:val="List Bullet 2"/>
    <w:basedOn w:val="List2"/>
    <w:rsid w:val="007953D3"/>
    <w:pPr>
      <w:numPr>
        <w:numId w:val="14"/>
      </w:numPr>
      <w:tabs>
        <w:tab w:val="clear" w:pos="680"/>
      </w:tabs>
    </w:pPr>
  </w:style>
  <w:style w:type="paragraph" w:styleId="Header">
    <w:name w:val="header"/>
    <w:basedOn w:val="Normal"/>
    <w:link w:val="HeaderChar"/>
    <w:rsid w:val="007953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53D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953D3"/>
    <w:pPr>
      <w:spacing w:before="240" w:after="120"/>
      <w:outlineLvl w:val="0"/>
    </w:pPr>
    <w:rPr>
      <w:rFonts w:ascii="Times New Roman" w:hAnsi="Times New Roman"/>
      <w:b/>
      <w:sz w:val="28"/>
    </w:rPr>
  </w:style>
  <w:style w:type="paragraph" w:customStyle="1" w:styleId="AllowPageBreak">
    <w:name w:val="AllowPageBreak"/>
    <w:rsid w:val="007953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53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53D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953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53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53D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953D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953D3"/>
    <w:rPr>
      <w:rFonts w:ascii="Courier New" w:eastAsia="Times New Roman" w:hAnsi="Courier New" w:cs="Times New Roman"/>
      <w:i/>
      <w:szCs w:val="20"/>
      <w:lang w:val="en-US" w:eastAsia="en-US"/>
    </w:rPr>
  </w:style>
  <w:style w:type="paragraph" w:customStyle="1" w:styleId="HeadingBase">
    <w:name w:val="Heading Base"/>
    <w:rsid w:val="007953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53D3"/>
    <w:pPr>
      <w:tabs>
        <w:tab w:val="right" w:leader="dot" w:pos="9072"/>
      </w:tabs>
      <w:ind w:left="567"/>
    </w:pPr>
    <w:rPr>
      <w:szCs w:val="22"/>
    </w:rPr>
  </w:style>
  <w:style w:type="paragraph" w:customStyle="1" w:styleId="TOCBase">
    <w:name w:val="TOC Base"/>
    <w:rsid w:val="007953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53D3"/>
    <w:pPr>
      <w:tabs>
        <w:tab w:val="right" w:leader="dot" w:pos="9072"/>
      </w:tabs>
      <w:spacing w:before="40" w:after="40"/>
      <w:ind w:left="284"/>
    </w:pPr>
    <w:rPr>
      <w:rFonts w:ascii="Times New Roman" w:hAnsi="Times New Roman"/>
    </w:rPr>
  </w:style>
  <w:style w:type="paragraph" w:styleId="TOC1">
    <w:name w:val="toc 1"/>
    <w:basedOn w:val="TOCBase"/>
    <w:next w:val="Normal"/>
    <w:rsid w:val="007953D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953D3"/>
    <w:pPr>
      <w:spacing w:before="5040"/>
      <w:jc w:val="center"/>
    </w:pPr>
    <w:rPr>
      <w:sz w:val="48"/>
      <w:szCs w:val="72"/>
      <w:lang w:val="en-US"/>
    </w:rPr>
  </w:style>
  <w:style w:type="character" w:customStyle="1" w:styleId="TitleChar">
    <w:name w:val="Title Char"/>
    <w:basedOn w:val="DefaultParagraphFont"/>
    <w:link w:val="Title"/>
    <w:rsid w:val="007953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53D3"/>
    <w:pPr>
      <w:tabs>
        <w:tab w:val="left" w:pos="3600"/>
        <w:tab w:val="left" w:pos="3958"/>
      </w:tabs>
    </w:pPr>
  </w:style>
  <w:style w:type="paragraph" w:styleId="List">
    <w:name w:val="List"/>
    <w:basedOn w:val="BodyText"/>
    <w:next w:val="BodyText"/>
    <w:rsid w:val="007953D3"/>
    <w:pPr>
      <w:tabs>
        <w:tab w:val="left" w:pos="340"/>
      </w:tabs>
      <w:spacing w:before="60" w:after="60"/>
      <w:ind w:left="340" w:hanging="340"/>
    </w:pPr>
  </w:style>
  <w:style w:type="paragraph" w:customStyle="1" w:styleId="Note">
    <w:name w:val="Note"/>
    <w:basedOn w:val="BodyText"/>
    <w:rsid w:val="007953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53D3"/>
    <w:pPr>
      <w:framePr w:wrap="auto" w:hAnchor="text" w:y="6049"/>
    </w:pPr>
    <w:rPr>
      <w:color w:val="000000"/>
      <w:sz w:val="40"/>
    </w:rPr>
  </w:style>
  <w:style w:type="paragraph" w:customStyle="1" w:styleId="TOCTitle">
    <w:name w:val="TOCTitle"/>
    <w:basedOn w:val="Heading1"/>
    <w:rsid w:val="007953D3"/>
    <w:pPr>
      <w:spacing w:after="240"/>
      <w:jc w:val="center"/>
      <w:outlineLvl w:val="9"/>
    </w:pPr>
    <w:rPr>
      <w:caps/>
    </w:rPr>
  </w:style>
  <w:style w:type="paragraph" w:customStyle="1" w:styleId="Version">
    <w:name w:val="Version"/>
    <w:rsid w:val="007953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53D3"/>
    <w:pPr>
      <w:keepNext w:val="0"/>
      <w:tabs>
        <w:tab w:val="right" w:pos="4176"/>
      </w:tabs>
      <w:ind w:left="198" w:hanging="198"/>
    </w:pPr>
    <w:rPr>
      <w:rFonts w:ascii="Garamond" w:hAnsi="Garamond"/>
    </w:rPr>
  </w:style>
  <w:style w:type="paragraph" w:styleId="IndexHeading">
    <w:name w:val="index heading"/>
    <w:basedOn w:val="Normal"/>
    <w:next w:val="Index1"/>
    <w:semiHidden/>
    <w:rsid w:val="007953D3"/>
    <w:pPr>
      <w:spacing w:before="120" w:after="120"/>
    </w:pPr>
    <w:rPr>
      <w:rFonts w:ascii="Arial" w:hAnsi="Arial"/>
      <w:b/>
      <w:color w:val="918585"/>
      <w:sz w:val="24"/>
    </w:rPr>
  </w:style>
  <w:style w:type="paragraph" w:customStyle="1" w:styleId="Chapter">
    <w:name w:val="Chapter"/>
    <w:basedOn w:val="Normal"/>
    <w:rsid w:val="007953D3"/>
    <w:pPr>
      <w:spacing w:before="240"/>
    </w:pPr>
    <w:rPr>
      <w:rFonts w:ascii="Times New Roman" w:hAnsi="Times New Roman"/>
      <w:smallCaps/>
      <w:spacing w:val="80"/>
      <w:sz w:val="28"/>
    </w:rPr>
  </w:style>
  <w:style w:type="paragraph" w:customStyle="1" w:styleId="InChapter">
    <w:name w:val="InChapter"/>
    <w:basedOn w:val="Heading3"/>
    <w:rsid w:val="007953D3"/>
    <w:pPr>
      <w:spacing w:after="240"/>
      <w:outlineLvl w:val="9"/>
    </w:pPr>
    <w:rPr>
      <w:noProof/>
    </w:rPr>
  </w:style>
  <w:style w:type="paragraph" w:styleId="Index2">
    <w:name w:val="index 2"/>
    <w:basedOn w:val="Normal"/>
    <w:next w:val="Normal"/>
    <w:semiHidden/>
    <w:rsid w:val="007953D3"/>
    <w:pPr>
      <w:tabs>
        <w:tab w:val="right" w:pos="4176"/>
      </w:tabs>
      <w:ind w:left="568" w:hanging="284"/>
    </w:pPr>
    <w:rPr>
      <w:rFonts w:ascii="Garamond" w:hAnsi="Garamond"/>
    </w:rPr>
  </w:style>
  <w:style w:type="paragraph" w:customStyle="1" w:styleId="Byline">
    <w:name w:val="Byline"/>
    <w:rsid w:val="007953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53D3"/>
    <w:pPr>
      <w:tabs>
        <w:tab w:val="clear" w:pos="3600"/>
        <w:tab w:val="clear" w:pos="3958"/>
      </w:tabs>
      <w:jc w:val="right"/>
    </w:pPr>
  </w:style>
  <w:style w:type="character" w:styleId="Emphasis">
    <w:name w:val="Emphasis"/>
    <w:basedOn w:val="DefaultParagraphFont"/>
    <w:qFormat/>
    <w:rsid w:val="007953D3"/>
    <w:rPr>
      <w:i/>
    </w:rPr>
  </w:style>
  <w:style w:type="paragraph" w:styleId="Caption">
    <w:name w:val="caption"/>
    <w:basedOn w:val="BodyText"/>
    <w:next w:val="Normal"/>
    <w:qFormat/>
    <w:rsid w:val="007953D3"/>
    <w:pPr>
      <w:framePr w:w="2268" w:hSpace="181" w:vSpace="181" w:wrap="around" w:vAnchor="text" w:hAnchor="page" w:x="1135" w:y="285" w:anchorLock="1"/>
    </w:pPr>
    <w:rPr>
      <w:i/>
    </w:rPr>
  </w:style>
  <w:style w:type="paragraph" w:customStyle="1" w:styleId="MiniTOCTitle">
    <w:name w:val="MiniTOCTitle"/>
    <w:basedOn w:val="Heading4"/>
    <w:rsid w:val="007953D3"/>
    <w:pPr>
      <w:spacing w:before="240"/>
      <w:outlineLvl w:val="9"/>
    </w:pPr>
    <w:rPr>
      <w:noProof/>
      <w:sz w:val="24"/>
    </w:rPr>
  </w:style>
  <w:style w:type="paragraph" w:customStyle="1" w:styleId="MiniTOCItem">
    <w:name w:val="MiniTOCItem"/>
    <w:basedOn w:val="ListBullet"/>
    <w:rsid w:val="007953D3"/>
    <w:pPr>
      <w:numPr>
        <w:numId w:val="0"/>
      </w:numPr>
      <w:tabs>
        <w:tab w:val="right" w:leader="dot" w:pos="6521"/>
      </w:tabs>
      <w:spacing w:before="0" w:after="0"/>
    </w:pPr>
  </w:style>
  <w:style w:type="paragraph" w:customStyle="1" w:styleId="TOFTitle">
    <w:name w:val="TOFTitle"/>
    <w:basedOn w:val="TOCTitle"/>
    <w:rsid w:val="007953D3"/>
  </w:style>
  <w:style w:type="paragraph" w:styleId="TableofFigures">
    <w:name w:val="table of figures"/>
    <w:basedOn w:val="Normal"/>
    <w:next w:val="Normal"/>
    <w:semiHidden/>
    <w:rsid w:val="007953D3"/>
    <w:pPr>
      <w:tabs>
        <w:tab w:val="right" w:leader="dot" w:pos="9072"/>
      </w:tabs>
      <w:ind w:left="970" w:hanging="403"/>
    </w:pPr>
    <w:rPr>
      <w:rFonts w:ascii="Times New Roman" w:hAnsi="Times New Roman"/>
      <w:b/>
    </w:rPr>
  </w:style>
  <w:style w:type="paragraph" w:styleId="ListNumber">
    <w:name w:val="List Number"/>
    <w:basedOn w:val="List"/>
    <w:rsid w:val="007953D3"/>
    <w:pPr>
      <w:numPr>
        <w:numId w:val="11"/>
      </w:numPr>
    </w:pPr>
  </w:style>
  <w:style w:type="character" w:customStyle="1" w:styleId="WingdingSymbols">
    <w:name w:val="Wingding Symbols"/>
    <w:rsid w:val="007953D3"/>
    <w:rPr>
      <w:rFonts w:ascii="Wingdings" w:hAnsi="Wingdings"/>
    </w:rPr>
  </w:style>
  <w:style w:type="paragraph" w:customStyle="1" w:styleId="TableHeading">
    <w:name w:val="Table Heading"/>
    <w:basedOn w:val="HeadingBase"/>
    <w:rsid w:val="007953D3"/>
    <w:pPr>
      <w:keepLines/>
      <w:pBdr>
        <w:bottom w:val="single" w:sz="6" w:space="1" w:color="918585"/>
      </w:pBdr>
      <w:spacing w:before="240"/>
    </w:pPr>
  </w:style>
  <w:style w:type="character" w:customStyle="1" w:styleId="HotSpot">
    <w:name w:val="HotSpot"/>
    <w:rsid w:val="007953D3"/>
    <w:rPr>
      <w:color w:val="0033CC"/>
      <w:u w:val="none"/>
    </w:rPr>
  </w:style>
  <w:style w:type="paragraph" w:customStyle="1" w:styleId="BodyTextRight">
    <w:name w:val="Body Text Right"/>
    <w:basedOn w:val="BodyText"/>
    <w:rsid w:val="007953D3"/>
    <w:pPr>
      <w:spacing w:before="0" w:after="0"/>
      <w:jc w:val="right"/>
    </w:pPr>
  </w:style>
  <w:style w:type="paragraph" w:styleId="Index3">
    <w:name w:val="index 3"/>
    <w:basedOn w:val="ListNumber2"/>
    <w:next w:val="Normal"/>
    <w:semiHidden/>
    <w:rsid w:val="007953D3"/>
    <w:pPr>
      <w:numPr>
        <w:numId w:val="0"/>
      </w:numPr>
      <w:tabs>
        <w:tab w:val="right" w:leader="dot" w:pos="4176"/>
      </w:tabs>
    </w:pPr>
  </w:style>
  <w:style w:type="paragraph" w:styleId="ListNumber2">
    <w:name w:val="List Number 2"/>
    <w:basedOn w:val="List2"/>
    <w:rsid w:val="007953D3"/>
    <w:pPr>
      <w:numPr>
        <w:numId w:val="10"/>
      </w:numPr>
      <w:tabs>
        <w:tab w:val="clear" w:pos="1060"/>
      </w:tabs>
    </w:pPr>
  </w:style>
  <w:style w:type="paragraph" w:customStyle="1" w:styleId="MarginNote">
    <w:name w:val="Margin Note"/>
    <w:basedOn w:val="BodyText"/>
    <w:rsid w:val="007953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53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53D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953D3"/>
    <w:rPr>
      <w:sz w:val="32"/>
    </w:rPr>
  </w:style>
  <w:style w:type="paragraph" w:customStyle="1" w:styleId="HeadingProcedure">
    <w:name w:val="Heading Procedure"/>
    <w:basedOn w:val="HeadingBase"/>
    <w:next w:val="Normal"/>
    <w:rsid w:val="007953D3"/>
    <w:pPr>
      <w:tabs>
        <w:tab w:val="left" w:pos="0"/>
      </w:tabs>
      <w:spacing w:before="120" w:after="60"/>
    </w:pPr>
    <w:rPr>
      <w:i/>
      <w:color w:val="918585"/>
      <w:sz w:val="22"/>
    </w:rPr>
  </w:style>
  <w:style w:type="paragraph" w:customStyle="1" w:styleId="TableBodyText">
    <w:name w:val="Table Body Text"/>
    <w:basedOn w:val="BodyText"/>
    <w:rsid w:val="007953D3"/>
    <w:pPr>
      <w:spacing w:before="60" w:after="60"/>
    </w:pPr>
  </w:style>
  <w:style w:type="paragraph" w:styleId="ListContinue">
    <w:name w:val="List Continue"/>
    <w:basedOn w:val="List"/>
    <w:rsid w:val="007953D3"/>
    <w:pPr>
      <w:ind w:firstLine="0"/>
    </w:pPr>
  </w:style>
  <w:style w:type="paragraph" w:customStyle="1" w:styleId="ListNote">
    <w:name w:val="List Note"/>
    <w:basedOn w:val="List"/>
    <w:rsid w:val="007953D3"/>
    <w:pPr>
      <w:pBdr>
        <w:top w:val="single" w:sz="6" w:space="2" w:color="918585"/>
        <w:bottom w:val="single" w:sz="6" w:space="2" w:color="918585"/>
      </w:pBdr>
      <w:tabs>
        <w:tab w:val="left" w:pos="1021"/>
      </w:tabs>
      <w:ind w:firstLine="0"/>
    </w:pPr>
  </w:style>
  <w:style w:type="paragraph" w:customStyle="1" w:styleId="Warning">
    <w:name w:val="Warning"/>
    <w:basedOn w:val="BodyText"/>
    <w:rsid w:val="007953D3"/>
    <w:pPr>
      <w:shd w:val="clear" w:color="auto" w:fill="D9D9D9"/>
      <w:tabs>
        <w:tab w:val="left" w:pos="992"/>
      </w:tabs>
      <w:ind w:left="119" w:right="119"/>
    </w:pPr>
    <w:rPr>
      <w:sz w:val="20"/>
    </w:rPr>
  </w:style>
  <w:style w:type="paragraph" w:customStyle="1" w:styleId="MarginIcons">
    <w:name w:val="Margin Icons"/>
    <w:basedOn w:val="BodyText"/>
    <w:rsid w:val="007953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53D3"/>
    <w:rPr>
      <w:rFonts w:ascii="Courier New" w:hAnsi="Courier New"/>
    </w:rPr>
  </w:style>
  <w:style w:type="paragraph" w:customStyle="1" w:styleId="NoteBullet">
    <w:name w:val="Note Bullet"/>
    <w:basedOn w:val="Note"/>
    <w:rsid w:val="007953D3"/>
    <w:pPr>
      <w:tabs>
        <w:tab w:val="clear" w:pos="680"/>
      </w:tabs>
      <w:spacing w:before="60" w:after="60"/>
    </w:pPr>
  </w:style>
  <w:style w:type="paragraph" w:customStyle="1" w:styleId="SubHeading2">
    <w:name w:val="SubHeading2"/>
    <w:basedOn w:val="HeadingBase"/>
    <w:rsid w:val="007953D3"/>
    <w:pPr>
      <w:spacing w:before="240" w:after="60"/>
    </w:pPr>
    <w:rPr>
      <w:sz w:val="20"/>
    </w:rPr>
  </w:style>
  <w:style w:type="paragraph" w:customStyle="1" w:styleId="SubHeading1">
    <w:name w:val="SubHeading1"/>
    <w:basedOn w:val="HeadingBase"/>
    <w:rsid w:val="007953D3"/>
    <w:pPr>
      <w:spacing w:before="240" w:after="60"/>
    </w:pPr>
    <w:rPr>
      <w:color w:val="918585"/>
      <w:sz w:val="22"/>
    </w:rPr>
  </w:style>
  <w:style w:type="paragraph" w:customStyle="1" w:styleId="SideHeading">
    <w:name w:val="Side Heading"/>
    <w:basedOn w:val="HeadingBase"/>
    <w:rsid w:val="007953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53D3"/>
    <w:pPr>
      <w:numPr>
        <w:numId w:val="12"/>
      </w:numPr>
    </w:pPr>
  </w:style>
  <w:style w:type="paragraph" w:styleId="PlainText">
    <w:name w:val="Plain Text"/>
    <w:basedOn w:val="Normal"/>
    <w:link w:val="PlainTextChar"/>
    <w:rsid w:val="007953D3"/>
    <w:rPr>
      <w:sz w:val="20"/>
    </w:rPr>
  </w:style>
  <w:style w:type="character" w:customStyle="1" w:styleId="PlainTextChar">
    <w:name w:val="Plain Text Char"/>
    <w:basedOn w:val="DefaultParagraphFont"/>
    <w:link w:val="PlainText"/>
    <w:rsid w:val="007953D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953D3"/>
    <w:rPr>
      <w:b/>
      <w:smallCaps/>
    </w:rPr>
  </w:style>
  <w:style w:type="paragraph" w:customStyle="1" w:styleId="TableListNumber">
    <w:name w:val="Table List Number"/>
    <w:basedOn w:val="ListNumber"/>
    <w:rsid w:val="007953D3"/>
    <w:pPr>
      <w:numPr>
        <w:numId w:val="0"/>
      </w:numPr>
    </w:pPr>
  </w:style>
  <w:style w:type="paragraph" w:styleId="TOC4">
    <w:name w:val="toc 4"/>
    <w:basedOn w:val="TOCBase"/>
    <w:next w:val="Normal"/>
    <w:semiHidden/>
    <w:rsid w:val="007953D3"/>
    <w:pPr>
      <w:tabs>
        <w:tab w:val="right" w:leader="dot" w:pos="9071"/>
      </w:tabs>
      <w:ind w:left="1701"/>
    </w:pPr>
  </w:style>
  <w:style w:type="paragraph" w:customStyle="1" w:styleId="ListAlpha">
    <w:name w:val="List Alpha"/>
    <w:basedOn w:val="List"/>
    <w:rsid w:val="007953D3"/>
    <w:pPr>
      <w:numPr>
        <w:numId w:val="9"/>
      </w:numPr>
    </w:pPr>
  </w:style>
  <w:style w:type="paragraph" w:customStyle="1" w:styleId="ListAlpha2">
    <w:name w:val="List Alpha 2"/>
    <w:basedOn w:val="List2"/>
    <w:rsid w:val="007953D3"/>
    <w:pPr>
      <w:numPr>
        <w:numId w:val="8"/>
      </w:numPr>
    </w:pPr>
  </w:style>
  <w:style w:type="paragraph" w:styleId="List2">
    <w:name w:val="List 2"/>
    <w:basedOn w:val="BodyText"/>
    <w:rsid w:val="007953D3"/>
    <w:pPr>
      <w:tabs>
        <w:tab w:val="left" w:pos="680"/>
      </w:tabs>
      <w:spacing w:before="60" w:after="60"/>
      <w:ind w:left="680" w:hanging="340"/>
    </w:pPr>
  </w:style>
  <w:style w:type="paragraph" w:styleId="List3">
    <w:name w:val="List 3"/>
    <w:basedOn w:val="BodyText"/>
    <w:rsid w:val="007953D3"/>
    <w:pPr>
      <w:tabs>
        <w:tab w:val="left" w:pos="1021"/>
      </w:tabs>
      <w:spacing w:before="60" w:after="60"/>
      <w:ind w:left="1020" w:hanging="340"/>
    </w:pPr>
  </w:style>
  <w:style w:type="paragraph" w:styleId="List4">
    <w:name w:val="List 4"/>
    <w:basedOn w:val="BodyText"/>
    <w:rsid w:val="007953D3"/>
    <w:pPr>
      <w:tabs>
        <w:tab w:val="left" w:pos="1361"/>
      </w:tabs>
      <w:spacing w:before="60" w:after="60"/>
      <w:ind w:left="1361" w:hanging="340"/>
    </w:pPr>
  </w:style>
  <w:style w:type="paragraph" w:styleId="List5">
    <w:name w:val="List 5"/>
    <w:basedOn w:val="BodyText"/>
    <w:rsid w:val="007953D3"/>
    <w:pPr>
      <w:tabs>
        <w:tab w:val="left" w:pos="1701"/>
      </w:tabs>
      <w:spacing w:before="60" w:after="60"/>
      <w:ind w:left="1701" w:hanging="340"/>
    </w:pPr>
  </w:style>
  <w:style w:type="paragraph" w:styleId="ListBullet3">
    <w:name w:val="List Bullet 3"/>
    <w:basedOn w:val="List3"/>
    <w:rsid w:val="007953D3"/>
    <w:pPr>
      <w:numPr>
        <w:numId w:val="15"/>
      </w:numPr>
      <w:tabs>
        <w:tab w:val="clear" w:pos="1021"/>
      </w:tabs>
      <w:ind w:left="1037" w:hanging="357"/>
    </w:pPr>
  </w:style>
  <w:style w:type="paragraph" w:styleId="ListBullet4">
    <w:name w:val="List Bullet 4"/>
    <w:basedOn w:val="List4"/>
    <w:rsid w:val="007953D3"/>
    <w:pPr>
      <w:numPr>
        <w:numId w:val="3"/>
      </w:numPr>
    </w:pPr>
  </w:style>
  <w:style w:type="paragraph" w:styleId="ListBullet5">
    <w:name w:val="List Bullet 5"/>
    <w:basedOn w:val="List5"/>
    <w:rsid w:val="007953D3"/>
    <w:pPr>
      <w:numPr>
        <w:numId w:val="4"/>
      </w:numPr>
    </w:pPr>
  </w:style>
  <w:style w:type="paragraph" w:styleId="ListContinue2">
    <w:name w:val="List Continue 2"/>
    <w:basedOn w:val="List2"/>
    <w:rsid w:val="007953D3"/>
    <w:pPr>
      <w:ind w:firstLine="0"/>
    </w:pPr>
  </w:style>
  <w:style w:type="paragraph" w:styleId="ListContinue3">
    <w:name w:val="List Continue 3"/>
    <w:basedOn w:val="List3"/>
    <w:rsid w:val="007953D3"/>
    <w:pPr>
      <w:ind w:left="1021" w:firstLine="0"/>
    </w:pPr>
  </w:style>
  <w:style w:type="paragraph" w:styleId="ListContinue4">
    <w:name w:val="List Continue 4"/>
    <w:basedOn w:val="List4"/>
    <w:rsid w:val="007953D3"/>
    <w:pPr>
      <w:ind w:firstLine="0"/>
    </w:pPr>
  </w:style>
  <w:style w:type="paragraph" w:styleId="ListContinue5">
    <w:name w:val="List Continue 5"/>
    <w:basedOn w:val="List5"/>
    <w:rsid w:val="007953D3"/>
    <w:pPr>
      <w:ind w:firstLine="0"/>
    </w:pPr>
  </w:style>
  <w:style w:type="paragraph" w:styleId="ListNumber3">
    <w:name w:val="List Number 3"/>
    <w:basedOn w:val="List3"/>
    <w:rsid w:val="007953D3"/>
    <w:pPr>
      <w:numPr>
        <w:numId w:val="5"/>
      </w:numPr>
    </w:pPr>
  </w:style>
  <w:style w:type="paragraph" w:styleId="ListNumber4">
    <w:name w:val="List Number 4"/>
    <w:basedOn w:val="List4"/>
    <w:rsid w:val="007953D3"/>
    <w:pPr>
      <w:numPr>
        <w:numId w:val="6"/>
      </w:numPr>
    </w:pPr>
  </w:style>
  <w:style w:type="paragraph" w:styleId="ListNumber5">
    <w:name w:val="List Number 5"/>
    <w:basedOn w:val="List5"/>
    <w:rsid w:val="007953D3"/>
    <w:pPr>
      <w:numPr>
        <w:numId w:val="7"/>
      </w:numPr>
    </w:pPr>
  </w:style>
  <w:style w:type="paragraph" w:styleId="BlockText">
    <w:name w:val="Block Text"/>
    <w:basedOn w:val="Normal"/>
    <w:rsid w:val="007953D3"/>
    <w:pPr>
      <w:spacing w:after="120"/>
      <w:ind w:left="1440" w:right="1440"/>
    </w:pPr>
  </w:style>
  <w:style w:type="character" w:customStyle="1" w:styleId="Subscript">
    <w:name w:val="Subscript"/>
    <w:basedOn w:val="DefaultParagraphFont"/>
    <w:rsid w:val="007953D3"/>
    <w:rPr>
      <w:sz w:val="16"/>
      <w:vertAlign w:val="subscript"/>
    </w:rPr>
  </w:style>
  <w:style w:type="character" w:customStyle="1" w:styleId="Superscript">
    <w:name w:val="Superscript"/>
    <w:basedOn w:val="DefaultParagraphFont"/>
    <w:rsid w:val="007953D3"/>
    <w:rPr>
      <w:sz w:val="16"/>
      <w:vertAlign w:val="superscript"/>
    </w:rPr>
  </w:style>
  <w:style w:type="character" w:customStyle="1" w:styleId="Symbols">
    <w:name w:val="Symbols"/>
    <w:basedOn w:val="DefaultParagraphFont"/>
    <w:rsid w:val="007953D3"/>
    <w:rPr>
      <w:rFonts w:ascii="Symbol" w:hAnsi="Symbol"/>
    </w:rPr>
  </w:style>
  <w:style w:type="character" w:customStyle="1" w:styleId="MenuOptions">
    <w:name w:val="Menu Options"/>
    <w:basedOn w:val="DefaultParagraphFont"/>
    <w:rsid w:val="007953D3"/>
    <w:rPr>
      <w:rFonts w:ascii="Arial Narrow" w:hAnsi="Arial Narrow"/>
      <w:smallCaps/>
    </w:rPr>
  </w:style>
  <w:style w:type="character" w:customStyle="1" w:styleId="Buttons">
    <w:name w:val="Buttons"/>
    <w:basedOn w:val="DefaultParagraphFont"/>
    <w:rsid w:val="007953D3"/>
    <w:rPr>
      <w:b/>
    </w:rPr>
  </w:style>
  <w:style w:type="character" w:customStyle="1" w:styleId="Underlined">
    <w:name w:val="Underlined"/>
    <w:basedOn w:val="DefaultParagraphFont"/>
    <w:rsid w:val="007953D3"/>
    <w:rPr>
      <w:u w:val="single"/>
    </w:rPr>
  </w:style>
  <w:style w:type="paragraph" w:customStyle="1" w:styleId="TableBodyTextRight">
    <w:name w:val="Table Body Text Right"/>
    <w:basedOn w:val="TableBodyText"/>
    <w:rsid w:val="007953D3"/>
    <w:pPr>
      <w:widowControl w:val="0"/>
      <w:autoSpaceDE w:val="0"/>
      <w:autoSpaceDN w:val="0"/>
      <w:adjustRightInd w:val="0"/>
      <w:jc w:val="right"/>
    </w:pPr>
    <w:rPr>
      <w:rFonts w:cs="Arial"/>
      <w:szCs w:val="18"/>
    </w:rPr>
  </w:style>
  <w:style w:type="paragraph" w:customStyle="1" w:styleId="CopyrightText">
    <w:name w:val="Copyright Text"/>
    <w:basedOn w:val="BodyText"/>
    <w:rsid w:val="007953D3"/>
    <w:rPr>
      <w:sz w:val="18"/>
    </w:rPr>
  </w:style>
  <w:style w:type="paragraph" w:customStyle="1" w:styleId="BodySmallRight">
    <w:name w:val="Body Small Right"/>
    <w:basedOn w:val="BodyTextRight"/>
    <w:rsid w:val="007953D3"/>
    <w:rPr>
      <w:sz w:val="18"/>
      <w:szCs w:val="18"/>
    </w:rPr>
  </w:style>
  <w:style w:type="paragraph" w:customStyle="1" w:styleId="MarginEdition">
    <w:name w:val="Margin Edition"/>
    <w:basedOn w:val="MarginNote"/>
    <w:rsid w:val="007953D3"/>
    <w:pPr>
      <w:spacing w:before="0" w:after="0"/>
    </w:pPr>
    <w:rPr>
      <w:rFonts w:ascii="Times New Roman" w:hAnsi="Times New Roman"/>
      <w:color w:val="999999"/>
    </w:rPr>
  </w:style>
  <w:style w:type="paragraph" w:customStyle="1" w:styleId="Spacer">
    <w:name w:val="Spacer"/>
    <w:basedOn w:val="Normal"/>
    <w:rsid w:val="007953D3"/>
    <w:rPr>
      <w:sz w:val="2"/>
      <w:szCs w:val="2"/>
    </w:rPr>
  </w:style>
  <w:style w:type="character" w:customStyle="1" w:styleId="Small">
    <w:name w:val="Small"/>
    <w:basedOn w:val="DefaultParagraphFont"/>
    <w:rsid w:val="007953D3"/>
    <w:rPr>
      <w:sz w:val="16"/>
    </w:rPr>
  </w:style>
  <w:style w:type="paragraph" w:customStyle="1" w:styleId="WideTable">
    <w:name w:val="Wide Table"/>
    <w:basedOn w:val="Normal"/>
    <w:rsid w:val="007953D3"/>
    <w:pPr>
      <w:ind w:left="-1418"/>
    </w:pPr>
    <w:rPr>
      <w:sz w:val="2"/>
      <w:szCs w:val="2"/>
    </w:rPr>
  </w:style>
  <w:style w:type="character" w:styleId="PageNumber">
    <w:name w:val="page number"/>
    <w:basedOn w:val="DefaultParagraphFont"/>
    <w:rsid w:val="007953D3"/>
  </w:style>
  <w:style w:type="paragraph" w:styleId="Quote">
    <w:name w:val="Quote"/>
    <w:basedOn w:val="Heading1"/>
    <w:link w:val="QuoteChar"/>
    <w:qFormat/>
    <w:rsid w:val="007953D3"/>
    <w:rPr>
      <w:b w:val="0"/>
      <w:sz w:val="72"/>
      <w:szCs w:val="72"/>
      <w:lang w:val="en-NZ"/>
    </w:rPr>
  </w:style>
  <w:style w:type="character" w:customStyle="1" w:styleId="QuoteChar">
    <w:name w:val="Quote Char"/>
    <w:basedOn w:val="DefaultParagraphFont"/>
    <w:link w:val="Quote"/>
    <w:rsid w:val="007953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53D3"/>
    <w:pPr>
      <w:pageBreakBefore/>
    </w:pPr>
  </w:style>
  <w:style w:type="paragraph" w:customStyle="1" w:styleId="Border">
    <w:name w:val="Border"/>
    <w:basedOn w:val="Normal"/>
    <w:qFormat/>
    <w:rsid w:val="007953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53D3"/>
    <w:rPr>
      <w:b/>
      <w:bCs/>
      <w:i/>
      <w:iCs/>
      <w:color w:val="auto"/>
    </w:rPr>
  </w:style>
  <w:style w:type="paragraph" w:styleId="IntenseQuote">
    <w:name w:val="Intense Quote"/>
    <w:basedOn w:val="Normal"/>
    <w:next w:val="Normal"/>
    <w:link w:val="IntenseQuoteChar"/>
    <w:uiPriority w:val="30"/>
    <w:qFormat/>
    <w:rsid w:val="007953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53D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953D3"/>
    <w:rPr>
      <w:smallCaps/>
      <w:color w:val="auto"/>
      <w:u w:val="single"/>
    </w:rPr>
  </w:style>
  <w:style w:type="character" w:styleId="IntenseReference">
    <w:name w:val="Intense Reference"/>
    <w:basedOn w:val="DefaultParagraphFont"/>
    <w:uiPriority w:val="32"/>
    <w:qFormat/>
    <w:rsid w:val="007953D3"/>
    <w:rPr>
      <w:b/>
      <w:bCs/>
      <w:smallCaps/>
      <w:color w:val="auto"/>
      <w:spacing w:val="5"/>
      <w:u w:val="single"/>
    </w:rPr>
  </w:style>
  <w:style w:type="paragraph" w:customStyle="1" w:styleId="2ColumnHeading">
    <w:name w:val="2Column Heading"/>
    <w:basedOn w:val="BodyText"/>
    <w:qFormat/>
    <w:rsid w:val="007953D3"/>
    <w:pPr>
      <w:spacing w:after="60"/>
      <w:ind w:left="-2268"/>
    </w:pPr>
    <w:rPr>
      <w:b/>
    </w:rPr>
  </w:style>
  <w:style w:type="paragraph" w:customStyle="1" w:styleId="Heading1TOC">
    <w:name w:val="Heading1 TOC"/>
    <w:basedOn w:val="Normal"/>
    <w:qFormat/>
    <w:rsid w:val="007953D3"/>
    <w:pPr>
      <w:spacing w:before="240" w:after="120"/>
    </w:pPr>
    <w:rPr>
      <w:rFonts w:ascii="Times New Roman" w:hAnsi="Times New Roman"/>
      <w:b/>
      <w:sz w:val="32"/>
    </w:rPr>
  </w:style>
  <w:style w:type="paragraph" w:customStyle="1" w:styleId="Heading2TOC">
    <w:name w:val="Heading2 TOC"/>
    <w:basedOn w:val="Normal"/>
    <w:qFormat/>
    <w:rsid w:val="007953D3"/>
    <w:pPr>
      <w:spacing w:before="240" w:after="60"/>
    </w:pPr>
    <w:rPr>
      <w:rFonts w:ascii="Times New Roman" w:hAnsi="Times New Roman"/>
      <w:b/>
      <w:sz w:val="28"/>
    </w:rPr>
  </w:style>
  <w:style w:type="character" w:customStyle="1" w:styleId="Underline">
    <w:name w:val="Underline"/>
    <w:basedOn w:val="DefaultParagraphFont"/>
    <w:qFormat/>
    <w:rsid w:val="007953D3"/>
    <w:rPr>
      <w:u w:val="single"/>
    </w:rPr>
  </w:style>
  <w:style w:type="character" w:customStyle="1" w:styleId="BoldandItalics">
    <w:name w:val="Bold and Italics"/>
    <w:qFormat/>
    <w:rsid w:val="007953D3"/>
    <w:rPr>
      <w:b/>
      <w:i/>
      <w:u w:val="none"/>
    </w:rPr>
  </w:style>
  <w:style w:type="paragraph" w:styleId="BalloonText">
    <w:name w:val="Balloon Text"/>
    <w:basedOn w:val="Normal"/>
    <w:link w:val="BalloonTextChar"/>
    <w:rsid w:val="007953D3"/>
    <w:rPr>
      <w:rFonts w:ascii="Tahoma" w:hAnsi="Tahoma" w:cs="Tahoma"/>
      <w:sz w:val="16"/>
      <w:szCs w:val="16"/>
    </w:rPr>
  </w:style>
  <w:style w:type="character" w:customStyle="1" w:styleId="BalloonTextChar">
    <w:name w:val="Balloon Text Char"/>
    <w:basedOn w:val="DefaultParagraphFont"/>
    <w:link w:val="BalloonText"/>
    <w:rsid w:val="007953D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953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53D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2414</Words>
  <Characters>14753</Characters>
  <Application>Microsoft Office Word</Application>
  <DocSecurity>0</DocSecurity>
  <Lines>637</Lines>
  <Paragraphs>253</Paragraphs>
  <ScaleCrop>false</ScaleCrop>
  <Company>Author-it Software Corporation Ltd.</Company>
  <LinksUpToDate>false</LinksUpToDate>
  <CharactersWithSpaces>16952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UEGNSG402B Install cathodic protection systems</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2012-05-26T22:09:00Z</dcterms:created>
  <dcterms:modified xsi:type="dcterms:W3CDTF">2012-05-26T22:09:00Z</dcterms:modified>
</cp:coreProperties>
</file>