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3E9" w:rsidP="001303E9">
      <w:pPr>
        <w:pStyle w:val="Title"/>
      </w:pPr>
      <w:r>
        <w:fldChar w:fldCharType="begin"/>
      </w:r>
      <w:r>
        <w:instrText xml:space="preserve"> TITLE   \* MERGEFORMAT </w:instrText>
      </w:r>
      <w:r>
        <w:fldChar w:fldCharType="separate"/>
      </w:r>
      <w:r>
        <w:t>UEGNSG350A First response to a gas facility event</w:t>
      </w:r>
      <w:r>
        <w:fldChar w:fldCharType="end"/>
      </w:r>
    </w:p>
    <w:p w:rsidR="001303E9" w:rsidP="001303E9">
      <w:pPr>
        <w:pStyle w:val="Version"/>
        <w:sectPr w:rsidSect="001D0D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DA6" w:rsidP="001D0DA6">
      <w:pPr>
        <w:pStyle w:val="SuperHeading"/>
      </w:pPr>
      <w:r w:rsidRPr="001D0DA6">
        <w:t>UEGNSG350A First response to a gas facility event</w:t>
      </w:r>
    </w:p>
    <w:p w:rsidR="00000000" w:rsidRPr="001D0DA6" w:rsidP="001D0DA6">
      <w:pPr>
        <w:pStyle w:val="Heading1"/>
      </w:pPr>
      <w:bookmarkStart w:id="1" w:name="O_621345"/>
      <w:bookmarkEnd w:id="1"/>
      <w:r w:rsidRPr="001D0DA6">
        <w:t>Modification History</w:t>
      </w:r>
    </w:p>
    <w:p w:rsidR="001303E9" w:rsidP="001D0DA6">
      <w:pPr>
        <w:pStyle w:val="BodyText"/>
      </w:pPr>
      <w:r w:rsidRPr="001D0DA6">
        <w:t>This unit replaces UEG11 unit UEGNSG312B First response to a facility event</w:t>
      </w:r>
    </w:p>
    <w:p w:rsidR="001303E9" w:rsidP="001D0DA6">
      <w:pPr>
        <w:pStyle w:val="BodyText"/>
      </w:pPr>
    </w:p>
    <w:p w:rsidR="00000000" w:rsidRPr="001D0DA6" w:rsidP="001D0DA6">
      <w:pPr>
        <w:pStyle w:val="Heading1"/>
      </w:pPr>
      <w:bookmarkStart w:id="2" w:name="O_621346"/>
      <w:bookmarkEnd w:id="2"/>
      <w:r w:rsidRPr="001D0DA6">
        <w:t>Unit Descriptor</w:t>
      </w:r>
    </w:p>
    <w:tbl>
      <w:tblPr>
        <w:tblW w:w="0" w:type="auto"/>
        <w:tblLayout w:type="fixed"/>
        <w:tblCellMar>
          <w:left w:w="62" w:type="dxa"/>
          <w:right w:w="62" w:type="dxa"/>
        </w:tblCellMar>
        <w:tblLook w:val="0000"/>
      </w:tblPr>
      <w:tblGrid>
        <w:gridCol w:w="2638"/>
        <w:gridCol w:w="5760"/>
      </w:tblGrid>
      <w:tr w:rsidTr="001D0DA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 xml:space="preserve">1) Scope: </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D0DA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1.1) Descriptor</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This unit covers the first response to an unplanned gas facility event</w:t>
            </w:r>
            <w:r w:rsidRPr="001D0DA6">
              <w:t xml:space="preserve">, assessing the situation and taking appropriate action as directed in accordance with relevant legislation, code, regulations and established procedures. </w:t>
            </w:r>
          </w:p>
          <w:p w:rsidR="00000000" w:rsidRPr="001D0DA6" w:rsidP="001D0DA6">
            <w:pPr>
              <w:pStyle w:val="BodyText"/>
            </w:pPr>
            <w:r w:rsidRPr="001D0DA6">
              <w:t>It encompasses r managing the site response with the following priorities: protect human life, reduc</w:t>
            </w:r>
            <w:r w:rsidRPr="001D0DA6">
              <w:t xml:space="preserve">e trauma, maintain systems safety, ensure system supply, protect the environment and protect property. </w:t>
            </w:r>
          </w:p>
          <w:p w:rsidR="00000000" w:rsidRPr="001D0DA6" w:rsidP="001D0DA6">
            <w:pPr>
              <w:pStyle w:val="BodyText"/>
            </w:pPr>
            <w:r w:rsidRPr="001D0DA6">
              <w:t>The unit is applied against the procedures found under the latest edition of Australian and New Zealand Standard AS 2885.3. Facilities could include met</w:t>
            </w:r>
            <w:r w:rsidRPr="001D0DA6">
              <w:t>ering, compressors, valves, regulators, heaters, scraper, telemetry and odourisation.</w:t>
            </w:r>
          </w:p>
        </w:tc>
      </w:tr>
    </w:tbl>
    <w:p w:rsidR="001303E9" w:rsidP="001D0DA6">
      <w:pPr>
        <w:pStyle w:val="BodyText"/>
      </w:pPr>
    </w:p>
    <w:p w:rsidR="001303E9" w:rsidP="001D0DA6">
      <w:pPr>
        <w:pStyle w:val="BodyText"/>
      </w:pPr>
    </w:p>
    <w:p w:rsidR="00000000" w:rsidRPr="001D0DA6" w:rsidP="001D0DA6">
      <w:pPr>
        <w:pStyle w:val="Heading1"/>
      </w:pPr>
      <w:bookmarkStart w:id="3" w:name="O_621347"/>
      <w:bookmarkEnd w:id="3"/>
      <w:r w:rsidRPr="001D0DA6">
        <w:t>Application of the Unit</w:t>
      </w:r>
    </w:p>
    <w:tbl>
      <w:tblPr>
        <w:tblW w:w="0" w:type="auto"/>
        <w:tblLayout w:type="fixed"/>
        <w:tblCellMar>
          <w:left w:w="62" w:type="dxa"/>
          <w:right w:w="62" w:type="dxa"/>
        </w:tblCellMar>
        <w:tblLook w:val="0000"/>
      </w:tblPr>
      <w:tblGrid>
        <w:gridCol w:w="2610"/>
        <w:gridCol w:w="5699"/>
      </w:tblGrid>
      <w:tr w:rsidTr="001D0DA6">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2)</w:t>
            </w:r>
          </w:p>
        </w:tc>
      </w:tr>
      <w:tr w:rsidTr="001D0DA6">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This competency standard shall apply to gas facilities, subject to all Workplace Health and Safety (WHS) /Occupational Health and Safety (OHS) and duty of care requirements being met for the workplace.</w:t>
            </w:r>
          </w:p>
          <w:p w:rsidR="00000000" w:rsidRPr="001D0DA6" w:rsidP="001D0DA6">
            <w:pPr>
              <w:pStyle w:val="BodyText"/>
            </w:pPr>
            <w:r w:rsidRPr="001D0DA6">
              <w:t>This unit is intended as an AQF 3 competency for new a</w:t>
            </w:r>
            <w:r w:rsidRPr="001D0DA6">
              <w:t>nd existing workers in the gas industry. It is suitable for employment-based programs under an approved contract of training.</w:t>
            </w:r>
          </w:p>
        </w:tc>
      </w:tr>
    </w:tbl>
    <w:p w:rsidR="001303E9" w:rsidP="001D0DA6">
      <w:pPr>
        <w:pStyle w:val="BodyText"/>
      </w:pPr>
    </w:p>
    <w:p w:rsidR="001303E9" w:rsidP="001D0DA6">
      <w:pPr>
        <w:pStyle w:val="BodyText"/>
      </w:pPr>
    </w:p>
    <w:p w:rsidR="00000000" w:rsidRPr="001D0DA6" w:rsidP="001D0DA6">
      <w:pPr>
        <w:pStyle w:val="Heading1"/>
      </w:pPr>
      <w:bookmarkStart w:id="4" w:name="O_621348"/>
      <w:bookmarkEnd w:id="4"/>
      <w:r w:rsidRPr="001D0DA6">
        <w:t>Licensing/Regulatory Information</w:t>
      </w:r>
    </w:p>
    <w:tbl>
      <w:tblPr>
        <w:tblW w:w="0" w:type="auto"/>
        <w:tblLayout w:type="fixed"/>
        <w:tblCellMar>
          <w:left w:w="62" w:type="dxa"/>
          <w:right w:w="62" w:type="dxa"/>
        </w:tblCellMar>
        <w:tblLook w:val="0000"/>
      </w:tblPr>
      <w:tblGrid>
        <w:gridCol w:w="2638"/>
        <w:gridCol w:w="5760"/>
      </w:tblGrid>
      <w:tr w:rsidTr="001D0DA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 xml:space="preserve">3) </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D0DA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During Training:</w:t>
            </w:r>
            <w:r w:rsidRPr="001D0DA6">
              <w:t xml:space="preserve"> </w:t>
            </w:r>
          </w:p>
          <w:p w:rsidR="00000000" w:rsidRPr="001D0DA6" w:rsidP="001D0DA6">
            <w:pPr>
              <w:pStyle w:val="BodyText"/>
            </w:pPr>
            <w:r w:rsidRPr="001D0DA6">
              <w:t xml:space="preserve">Competency development activities are subject to regulations directly related to licensing, workplace health and safety/occupational health and safety and where applicable contracts of training such as apprenticeships. </w:t>
            </w:r>
          </w:p>
          <w:p w:rsidR="00000000" w:rsidRPr="001D0DA6" w:rsidP="001D0DA6">
            <w:pPr>
              <w:pStyle w:val="BodyText"/>
            </w:pPr>
          </w:p>
          <w:p w:rsidR="00000000" w:rsidRPr="001D0DA6" w:rsidP="001D0DA6">
            <w:pPr>
              <w:pStyle w:val="BodyText"/>
            </w:pPr>
            <w:r w:rsidRPr="001D0DA6">
              <w:rPr>
                <w:rStyle w:val="SpecialBold"/>
              </w:rPr>
              <w:t>In the workplace:</w:t>
            </w:r>
          </w:p>
          <w:p w:rsidR="00000000" w:rsidRPr="001D0DA6" w:rsidP="001D0DA6">
            <w:pPr>
              <w:pStyle w:val="BodyText"/>
            </w:pPr>
            <w:r w:rsidRPr="001D0DA6">
              <w:t>The application o</w:t>
            </w:r>
            <w:r w:rsidRPr="001D0DA6">
              <w:t>f the skills and knowledge described in this unit require a license to practice in the workplace where work is carried out on electrical equipment or installations which are designed to operate at voltages greater than 50 V a.c. or 120 V d.c.</w:t>
            </w:r>
          </w:p>
          <w:p w:rsidR="00000000" w:rsidRPr="001D0DA6" w:rsidP="001D0DA6">
            <w:pPr>
              <w:pStyle w:val="BodyText"/>
            </w:pPr>
          </w:p>
          <w:p w:rsidR="00000000" w:rsidRPr="001D0DA6" w:rsidP="001D0DA6">
            <w:pPr>
              <w:pStyle w:val="BodyText"/>
            </w:pPr>
            <w:r w:rsidRPr="001D0DA6">
              <w:t>The skills a</w:t>
            </w:r>
            <w:r w:rsidRPr="001D0DA6">
              <w:t>nd knowledge described in this unit are subject to licence regulation directly related to Workplace/Occupational Health and Safety, gas/ industry safety and compliance, industrial relations, environmental protection, telecommunications, anti- discriminatio</w:t>
            </w:r>
            <w:r w:rsidRPr="001D0DA6">
              <w:t xml:space="preserve">n and training. </w:t>
            </w:r>
          </w:p>
          <w:p w:rsidR="00000000" w:rsidRPr="001D0DA6" w:rsidP="001D0DA6">
            <w:pPr>
              <w:pStyle w:val="BodyText"/>
            </w:pPr>
            <w:r w:rsidRPr="001D0DA6">
              <w:t xml:space="preserve">Note: </w:t>
            </w:r>
          </w:p>
          <w:p w:rsidR="00000000" w:rsidRPr="001D0DA6" w:rsidP="001D0DA6">
            <w:pPr>
              <w:pStyle w:val="BodyText"/>
            </w:pPr>
            <w:r w:rsidRPr="001D0DA6">
              <w:t>Other conditions may apply under State and Territory legislative and regulatory requirements, for example:</w:t>
            </w:r>
          </w:p>
          <w:p w:rsidR="00000000" w:rsidRPr="001D0DA6" w:rsidP="001D0DA6">
            <w:pPr>
              <w:pStyle w:val="BodyText"/>
            </w:pPr>
            <w:r w:rsidRPr="001D0DA6">
              <w:t>Compliance with permits may be required in various jurisdictions and typically relates to the operation of plant, machinery a</w:t>
            </w:r>
            <w:r w:rsidRPr="001D0DA6">
              <w:t xml:space="preserve">nd equipment such as elevating work platforms, powder operated fixing tools, power operated tools, vehicles, road signage and traffic control, lifting equipment. </w:t>
            </w:r>
          </w:p>
          <w:p w:rsidR="00000000" w:rsidRPr="001D0DA6" w:rsidP="001D0DA6">
            <w:pPr>
              <w:pStyle w:val="BodyText"/>
            </w:pPr>
            <w:r w:rsidRPr="001D0DA6">
              <w:t>Permits may also be required for some work environments such as hazardous areas, confined spa</w:t>
            </w:r>
            <w:r w:rsidRPr="001D0DA6">
              <w:t>ces, working aloft, near live electrical devices, site rehabilitation.</w:t>
            </w:r>
          </w:p>
          <w:p w:rsidR="00000000" w:rsidRPr="001D0DA6" w:rsidP="001D0DA6">
            <w:pPr>
              <w:pStyle w:val="BodyText"/>
            </w:pPr>
            <w:r w:rsidRPr="001D0DA6">
              <w:t>Compliance may be required in various jurisdictions relating to currency in First Aid, hazardous areas, confined space, lifting and risk safety measures</w:t>
            </w:r>
          </w:p>
          <w:p w:rsidR="00000000" w:rsidRPr="001D0DA6" w:rsidP="001D0DA6">
            <w:pPr>
              <w:pStyle w:val="BodyText"/>
            </w:pPr>
          </w:p>
          <w:p w:rsidR="00000000" w:rsidRPr="001D0DA6" w:rsidP="001D0DA6">
            <w:pPr>
              <w:pStyle w:val="BodyText"/>
            </w:pPr>
            <w:r w:rsidRPr="001D0DA6">
              <w:t>Commonwealth, State/Territory o</w:t>
            </w:r>
            <w:r w:rsidRPr="001D0DA6">
              <w:t>r Local Government legislation and regulations may exist that limits the age of persons who can operate certain equipment.</w:t>
            </w:r>
          </w:p>
        </w:tc>
      </w:tr>
    </w:tbl>
    <w:p w:rsidR="001303E9" w:rsidP="001D0DA6">
      <w:pPr>
        <w:pStyle w:val="BodyText"/>
      </w:pPr>
    </w:p>
    <w:p w:rsidR="001303E9" w:rsidP="001D0DA6">
      <w:pPr>
        <w:pStyle w:val="BodyText"/>
      </w:pPr>
    </w:p>
    <w:p w:rsidR="00000000" w:rsidRPr="001D0DA6" w:rsidP="001D0DA6">
      <w:pPr>
        <w:pStyle w:val="Heading1"/>
      </w:pPr>
      <w:bookmarkStart w:id="5" w:name="O_621349"/>
      <w:bookmarkEnd w:id="5"/>
      <w:r w:rsidRPr="001D0DA6">
        <w:t>Pre-Requisites</w:t>
      </w:r>
    </w:p>
    <w:tbl>
      <w:tblPr>
        <w:tblW w:w="0" w:type="auto"/>
        <w:tblLayout w:type="fixed"/>
        <w:tblCellMar>
          <w:left w:w="62" w:type="dxa"/>
          <w:right w:w="62" w:type="dxa"/>
        </w:tblCellMar>
        <w:tblLook w:val="0000"/>
      </w:tblPr>
      <w:tblGrid>
        <w:gridCol w:w="2638"/>
        <w:gridCol w:w="1800"/>
        <w:gridCol w:w="3960"/>
      </w:tblGrid>
      <w:tr w:rsidTr="001D0DA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 xml:space="preserve">4) </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4.1)</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Granting of competency in this unit shall be made only after competency in the following unit(s) has/have been confirmed:</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UEGNSG005A</w:t>
            </w:r>
          </w:p>
        </w:tc>
        <w:tc>
          <w:tcPr>
            <w:tcW w:w="39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Prepare to work in the gas industry</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UEGNSG132A</w:t>
            </w:r>
          </w:p>
        </w:tc>
        <w:tc>
          <w:tcPr>
            <w:tcW w:w="39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Carry out basic work activities in a gas industry work environment</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UE</w:t>
            </w:r>
            <w:r w:rsidRPr="001D0DA6">
              <w:t>GNSG134A</w:t>
            </w:r>
          </w:p>
        </w:tc>
        <w:tc>
          <w:tcPr>
            <w:tcW w:w="39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Establish a utilities infrastructure work site</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UEGNSG140A</w:t>
            </w:r>
          </w:p>
        </w:tc>
        <w:tc>
          <w:tcPr>
            <w:tcW w:w="39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Apply with environmental policies and procedures in the utilities industry</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UEGNSG141A</w:t>
            </w:r>
          </w:p>
        </w:tc>
        <w:tc>
          <w:tcPr>
            <w:tcW w:w="39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Apply Workplace Health and Safety regulations, codes and practices in the gas industry</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HLTFA003</w:t>
            </w:r>
          </w:p>
        </w:tc>
        <w:tc>
          <w:tcPr>
            <w:tcW w:w="39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Perform first aid</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CPPFES2005A</w:t>
            </w:r>
          </w:p>
        </w:tc>
        <w:tc>
          <w:tcPr>
            <w:tcW w:w="396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Demonstrate first attack fire fighting equipment</w:t>
            </w:r>
          </w:p>
        </w:tc>
      </w:tr>
    </w:tbl>
    <w:p w:rsidR="00000000" w:rsidRPr="001D0DA6" w:rsidP="001D0DA6">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 xml:space="preserve">4.2) </w:t>
            </w:r>
          </w:p>
          <w:p w:rsidR="00000000" w:rsidP="001D0DA6">
            <w:pPr>
              <w:pStyle w:val="BodyText"/>
              <w:rPr>
                <w:lang w:val="en-NZ"/>
              </w:rPr>
            </w:pPr>
            <w:r w:rsidRPr="001D0DA6">
              <w:t>Participants are best equipped to achieve this unit if they have reading, writing and numeracy skills indicated by the following scales. D</w:t>
            </w:r>
            <w:r w:rsidRPr="001D0DA6">
              <w:t>escription of each scale is given in Volume 2, Part 3 ‘Literacy and Numeracy’</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Reading</w:t>
            </w:r>
          </w:p>
        </w:tc>
        <w:tc>
          <w:tcPr>
            <w:tcW w:w="81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4</w:t>
            </w:r>
          </w:p>
        </w:tc>
        <w:tc>
          <w:tcPr>
            <w:tcW w:w="99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Writing</w:t>
            </w: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4</w:t>
            </w:r>
          </w:p>
        </w:tc>
        <w:tc>
          <w:tcPr>
            <w:tcW w:w="12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Numeracy</w:t>
            </w:r>
          </w:p>
        </w:tc>
        <w:tc>
          <w:tcPr>
            <w:tcW w:w="72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4</w:t>
            </w:r>
          </w:p>
        </w:tc>
      </w:tr>
    </w:tbl>
    <w:p w:rsidR="001303E9" w:rsidP="001D0DA6">
      <w:pPr>
        <w:pStyle w:val="BodyText"/>
      </w:pPr>
    </w:p>
    <w:p w:rsidR="001303E9" w:rsidP="001D0DA6">
      <w:pPr>
        <w:pStyle w:val="BodyText"/>
      </w:pPr>
    </w:p>
    <w:p w:rsidR="00000000" w:rsidRPr="001D0DA6" w:rsidP="001D0DA6">
      <w:pPr>
        <w:pStyle w:val="Heading1"/>
      </w:pPr>
      <w:bookmarkStart w:id="6" w:name="O_621350"/>
      <w:bookmarkEnd w:id="6"/>
      <w:r w:rsidRPr="001D0DA6">
        <w:t>Employability Skills Information</w:t>
      </w:r>
    </w:p>
    <w:tbl>
      <w:tblPr>
        <w:tblW w:w="0" w:type="auto"/>
        <w:tblLayout w:type="fixed"/>
        <w:tblCellMar>
          <w:left w:w="62" w:type="dxa"/>
          <w:right w:w="62" w:type="dxa"/>
        </w:tblCellMar>
        <w:tblLook w:val="0000"/>
      </w:tblPr>
      <w:tblGrid>
        <w:gridCol w:w="2638"/>
        <w:gridCol w:w="5760"/>
      </w:tblGrid>
      <w:tr w:rsidTr="001D0DA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 xml:space="preserve">5) </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This unit contains Employability Skills</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D0DA6">
              <w:t>requirements.</w:t>
            </w:r>
          </w:p>
        </w:tc>
      </w:tr>
    </w:tbl>
    <w:p w:rsidR="001303E9" w:rsidP="001D0DA6">
      <w:pPr>
        <w:pStyle w:val="BodyText"/>
      </w:pPr>
    </w:p>
    <w:p w:rsidR="001303E9" w:rsidP="001D0DA6">
      <w:pPr>
        <w:pStyle w:val="BodyText"/>
      </w:pPr>
    </w:p>
    <w:p w:rsidR="00000000" w:rsidRPr="001D0DA6" w:rsidP="001D0DA6">
      <w:pPr>
        <w:pStyle w:val="Heading1"/>
      </w:pPr>
      <w:bookmarkStart w:id="7" w:name="O_621351"/>
      <w:bookmarkEnd w:id="7"/>
      <w:r w:rsidRPr="001D0DA6">
        <w:t>Elements and Performance Criteria Pre-Content</w:t>
      </w:r>
    </w:p>
    <w:tbl>
      <w:tblPr>
        <w:tblW w:w="0" w:type="auto"/>
        <w:tblLayout w:type="fixed"/>
        <w:tblCellMar>
          <w:left w:w="62" w:type="dxa"/>
          <w:right w:w="62" w:type="dxa"/>
        </w:tblCellMar>
        <w:tblLook w:val="0000"/>
      </w:tblPr>
      <w:tblGrid>
        <w:gridCol w:w="2638"/>
        <w:gridCol w:w="5760"/>
      </w:tblGrid>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6)</w:t>
            </w:r>
            <w:r w:rsidRPr="001D0DA6">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Emphasis"/>
              </w:rPr>
              <w:t>Performance Criteria describe the required performance needed to demonstrate achievement of the element. Assessment of performance is to be consistent with the Evidence Guide.</w:t>
            </w:r>
          </w:p>
        </w:tc>
      </w:tr>
    </w:tbl>
    <w:p w:rsidR="001303E9" w:rsidP="001D0DA6">
      <w:pPr>
        <w:pStyle w:val="BodyText"/>
      </w:pPr>
    </w:p>
    <w:p w:rsidR="001303E9" w:rsidP="001D0DA6">
      <w:pPr>
        <w:pStyle w:val="BodyText"/>
      </w:pPr>
    </w:p>
    <w:p w:rsidR="00000000" w:rsidRPr="001D0DA6" w:rsidP="001D0DA6">
      <w:pPr>
        <w:pStyle w:val="Heading1"/>
      </w:pPr>
      <w:bookmarkStart w:id="8" w:name="O_621352"/>
      <w:bookmarkEnd w:id="8"/>
      <w:r w:rsidRPr="001D0DA6">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1D0DA6">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PERFORMANCE CRITERIA</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Plan to conduct  first response to a gas facility event</w:t>
            </w:r>
          </w:p>
        </w:tc>
        <w:tc>
          <w:tcPr>
            <w:tcW w:w="90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1.1</w:t>
            </w:r>
          </w:p>
          <w:p w:rsidR="00000000" w:rsidRPr="001D0DA6" w:rsidP="001D0DA6">
            <w:pPr>
              <w:pStyle w:val="BodyText"/>
            </w:pPr>
          </w:p>
          <w:p w:rsidR="00000000" w:rsidP="001D0DA6">
            <w:pPr>
              <w:pStyle w:val="BodyText"/>
              <w:rPr>
                <w:lang w:val="en-NZ"/>
              </w:rPr>
            </w:pPr>
            <w:r w:rsidRPr="001D0DA6">
              <w:t>1.2</w:t>
            </w:r>
          </w:p>
        </w:tc>
        <w:tc>
          <w:tcPr>
            <w:tcW w:w="486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 xml:space="preserve">Details of incident are confirmed with supervisor, control centre or radio room </w:t>
            </w:r>
          </w:p>
          <w:p w:rsidR="00000000" w:rsidP="001D0DA6">
            <w:pPr>
              <w:pStyle w:val="BodyText"/>
              <w:rPr>
                <w:lang w:val="en-NZ"/>
              </w:rPr>
            </w:pPr>
            <w:r w:rsidRPr="001D0DA6">
              <w:t>Specific requirements, drawings, plans, requirements, established procedures and material and equipment are examined and the extent of preparation for the work is assessed.</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1.3</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 xml:space="preserve">WHS/OHS and environmental risk control measures are identified, prioritised </w:t>
            </w:r>
            <w:r w:rsidRPr="001D0DA6">
              <w:t>and evaluated against the work schedule</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1.4</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Relevant requirements and established procedures for the work are communicated to all persons and identified for all work sites</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1.5</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WHS/OHS, environmental and sustainable energy policies and procedures rela</w:t>
            </w:r>
            <w:r w:rsidRPr="001D0DA6">
              <w:t>ted to the work are received and confirmed</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1.6</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 xml:space="preserve">Relevant work permits are secured to coordinate the performance of work according to requirements and established procedures </w:t>
            </w:r>
          </w:p>
        </w:tc>
      </w:tr>
      <w:tr w:rsidTr="001D0DA6">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1.7</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Resources including persons, equipment, tools and personal protective equipment required for the job are identified, scheduled, coordinated and confirmed in a safe  working order</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1.8</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Liaison and communication issues with authorised persons, authorities,</w:t>
            </w:r>
            <w:r w:rsidRPr="001D0DA6">
              <w:t xml:space="preserve"> clients and land owners are resolved and activities coordinated to carry out work</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1.9</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Persons participating in the work, including plant operators and contractors are fully briefed and respective responsibilities coordinated and authorised where applic</w:t>
            </w:r>
            <w:r w:rsidRPr="001D0DA6">
              <w:t>able in accordance with establish procedures</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1.10</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Status of the system is sought through communication with pipeline control centre in accordance with established procedures</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1.11</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Site preparation, safety plan and the work schedule are confirmed in accordance with established procedures.</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Conduct a first response to a gas facility event</w:t>
            </w: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2.1</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WHS/OHS and risk control measures, schedule of work and standard operating procedures for c</w:t>
            </w:r>
            <w:r w:rsidRPr="001D0DA6">
              <w:t>arrying out the work are followed.</w:t>
            </w:r>
          </w:p>
        </w:tc>
      </w:tr>
      <w:tr w:rsidTr="001D0DA6">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2.2</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 xml:space="preserve">First Aid and other related work procedures are performed according to requirements and established procedures </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2.3</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 xml:space="preserve">Lifting, climbing, working in confined spaces and aloft, use of power tools, techniques and practices are safely exercised according to requirements </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2.4</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Equipment faults are identified through inspection and testing of operational equipment in accordan</w:t>
            </w:r>
            <w:r w:rsidRPr="001D0DA6">
              <w:t>ce with a work schedule and to requirements</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2.5</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Hazard warnings and safety signs are recognised and hazards are assessed and WHS//OHS risks are reported to the immediate authorised persons for directions according to established procedures</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2.6</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Operating conditions of equipment are monitored through gauge levels, temperatures, flow indicators in order to determine performance of equipment and system</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2.7</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 xml:space="preserve">Liaison, where appropriate is performed with emergency authorities to ensure the safety of </w:t>
            </w:r>
            <w:r w:rsidRPr="001D0DA6">
              <w:t xml:space="preserve">the public and property </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2.8</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Fault finding and troubleshooting techniques are applied to identify any repairs or maintenance that is required according to requirements and established procedures</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2.9</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Basic solutions to non-routine problems are identif</w:t>
            </w:r>
            <w:r w:rsidRPr="001D0DA6">
              <w:t>ied and actioned according to requirements</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2.10</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 xml:space="preserve">Ongoing checks of quality of the work are undertaken in accordance with requirements and established procedures </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Complete response to a gas facility event and relevant documentation.</w:t>
            </w: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3.1</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Work undertaken is checked against work schedules for conformance with requirements, anomalies are reported and solutions identified in accordance with established procedures</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3.2</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Incidents and injuries are reported and followed up in accordance with req</w:t>
            </w:r>
            <w:r w:rsidRPr="001D0DA6">
              <w:t xml:space="preserve">uirements and established procedures </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3.3</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 xml:space="preserve">Work site is rehabilitated/cleaned up and confirmed safe and in accordance with established procedures </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3.4</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Tools, equipment and any surplus resources and materials are where appropriate, cleaned, checked and</w:t>
            </w:r>
            <w:r w:rsidRPr="001D0DA6">
              <w:t xml:space="preserve"> returned to storage in accordance with established procedures </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3.5</w:t>
            </w:r>
          </w:p>
        </w:tc>
        <w:tc>
          <w:tcPr>
            <w:tcW w:w="48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Relevant work permit(s) are signed off accordance with requirements</w:t>
            </w:r>
          </w:p>
        </w:tc>
      </w:tr>
      <w:tr w:rsidTr="001D0DA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3.6</w:t>
            </w:r>
          </w:p>
        </w:tc>
        <w:tc>
          <w:tcPr>
            <w:tcW w:w="486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 xml:space="preserve">Works completion records, reports as installed/modified drawing(s) and documentation and information is confirmed, processed and the </w:t>
            </w:r>
            <w:r w:rsidRPr="001D0DA6">
              <w:t xml:space="preserve">appropriate persons notified </w:t>
            </w:r>
          </w:p>
        </w:tc>
      </w:tr>
    </w:tbl>
    <w:p w:rsidR="00000000" w:rsidRPr="001D0DA6" w:rsidP="001D0DA6">
      <w:pPr>
        <w:pStyle w:val="BodyText"/>
      </w:pPr>
    </w:p>
    <w:p w:rsidR="00000000" w:rsidRPr="001D0DA6" w:rsidP="001D0DA6">
      <w:pPr>
        <w:pStyle w:val="AllowPageBreak"/>
      </w:pPr>
    </w:p>
    <w:p w:rsidR="00000000" w:rsidRPr="001D0DA6" w:rsidP="001D0DA6">
      <w:pPr>
        <w:pStyle w:val="Heading1"/>
      </w:pPr>
      <w:bookmarkStart w:id="9" w:name="O_621353"/>
      <w:bookmarkEnd w:id="9"/>
      <w:r w:rsidRPr="001D0DA6">
        <w:t>Required Skills and Knowledge</w:t>
      </w:r>
    </w:p>
    <w:tbl>
      <w:tblPr>
        <w:tblW w:w="0" w:type="auto"/>
        <w:tblLayout w:type="fixed"/>
        <w:tblCellMar>
          <w:left w:w="62" w:type="dxa"/>
          <w:right w:w="62" w:type="dxa"/>
        </w:tblCellMar>
        <w:tblLook w:val="0000"/>
      </w:tblPr>
      <w:tblGrid>
        <w:gridCol w:w="8370"/>
        <w:gridCol w:w="500"/>
      </w:tblGrid>
      <w:tr w:rsidTr="001D0DA6">
        <w:tblPrEx>
          <w:tblW w:w="0" w:type="auto"/>
          <w:tblLayout w:type="fixed"/>
          <w:tblCellMar>
            <w:left w:w="62" w:type="dxa"/>
            <w:right w:w="62" w:type="dxa"/>
          </w:tblCellMar>
          <w:tblLook w:val="0000"/>
        </w:tblPrEx>
        <w:trPr>
          <w:gridAfter w:val="1"/>
          <w:wAfter w:w="500" w:type="dxa"/>
          <w:tblHeader/>
        </w:trPr>
        <w:tc>
          <w:tcPr>
            <w:tcW w:w="83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REQUIRED SKILLS AND KNOWLEDGE</w:t>
            </w:r>
          </w:p>
        </w:tc>
      </w:tr>
      <w:tr w:rsidTr="001D0DA6">
        <w:tblPrEx>
          <w:tblW w:w="0" w:type="auto"/>
          <w:tblLayout w:type="fixed"/>
          <w:tblCellMar>
            <w:left w:w="62" w:type="dxa"/>
            <w:right w:w="62" w:type="dxa"/>
          </w:tblCellMar>
          <w:tblLook w:val="0000"/>
        </w:tblPrEx>
        <w:trPr>
          <w:gridAfter w:val="1"/>
          <w:wAfter w:w="500" w:type="dxa"/>
        </w:trPr>
        <w:tc>
          <w:tcPr>
            <w:tcW w:w="83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7)</w:t>
            </w:r>
            <w:r w:rsidRPr="001D0DA6">
              <w:t xml:space="preserve"> </w:t>
            </w:r>
            <w:r w:rsidRPr="001D0DA6">
              <w:rPr>
                <w:rStyle w:val="Emphasis"/>
              </w:rPr>
              <w:t>This descr</w:t>
            </w:r>
            <w:r w:rsidRPr="001D0DA6">
              <w:rPr>
                <w:rStyle w:val="Emphasis"/>
              </w:rPr>
              <w:t>ibes the skills and knowledge and their level, required for this unit.</w:t>
            </w:r>
          </w:p>
        </w:tc>
      </w:tr>
      <w:tr w:rsidTr="001D0DA6">
        <w:tblPrEx>
          <w:tblW w:w="0" w:type="auto"/>
          <w:tblLayout w:type="fixed"/>
          <w:tblCellMar>
            <w:left w:w="62" w:type="dxa"/>
            <w:right w:w="62" w:type="dxa"/>
          </w:tblCellMar>
          <w:tblLook w:val="0000"/>
        </w:tblPrEx>
        <w:trPr>
          <w:gridAfter w:val="1"/>
          <w:wAfter w:w="500" w:type="dxa"/>
          <w:trHeight w:val="602"/>
        </w:trPr>
        <w:tc>
          <w:tcPr>
            <w:tcW w:w="83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Evidence shall show that knowledge has been acquired of safe working practices for first response to a facility event.</w:t>
            </w:r>
          </w:p>
        </w:tc>
      </w:tr>
      <w:tr w:rsidTr="001D0DA6">
        <w:tblPrEx>
          <w:tblW w:w="0" w:type="auto"/>
          <w:tblLayout w:type="fixed"/>
          <w:tblCellMar>
            <w:left w:w="62" w:type="dxa"/>
            <w:right w:w="62" w:type="dxa"/>
          </w:tblCellMar>
          <w:tblLook w:val="0000"/>
        </w:tblPrEx>
        <w:trPr>
          <w:gridAfter w:val="1"/>
          <w:wAfter w:w="500" w:type="dxa"/>
          <w:trHeight w:val="481"/>
        </w:trPr>
        <w:tc>
          <w:tcPr>
            <w:tcW w:w="83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All knowledge and skills detailed in this unit should be contextualised to current industry practices and technologies. The extent of the required skills and knowledge is provided below. It forms an integral part of this unit.</w:t>
            </w:r>
          </w:p>
        </w:tc>
      </w:tr>
      <w:tr w:rsidTr="001D0DA6">
        <w:tblPrEx>
          <w:tblW w:w="0" w:type="auto"/>
          <w:tblLayout w:type="fixed"/>
          <w:tblCellMar>
            <w:left w:w="62" w:type="dxa"/>
            <w:right w:w="62" w:type="dxa"/>
          </w:tblCellMar>
          <w:tblLook w:val="0000"/>
        </w:tblPrEx>
        <w:trPr>
          <w:gridAfter w:val="1"/>
          <w:wAfter w:w="500" w:type="dxa"/>
          <w:trHeight w:val="346"/>
        </w:trPr>
        <w:tc>
          <w:tcPr>
            <w:tcW w:w="8370" w:type="dxa"/>
            <w:vMerge w:val="restart"/>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 xml:space="preserve">KS01-G350A                  </w:t>
            </w:r>
            <w:r w:rsidRPr="001D0DA6">
              <w:rPr>
                <w:rStyle w:val="SpecialBold"/>
              </w:rPr>
              <w:t xml:space="preserve">       Gas facility event response</w:t>
            </w:r>
          </w:p>
          <w:p w:rsidR="00000000" w:rsidRPr="001D0DA6" w:rsidP="001D0DA6">
            <w:pPr>
              <w:pStyle w:val="BodyText"/>
            </w:pPr>
            <w:r w:rsidRPr="001D0DA6">
              <w:t>Evidence shall show an understanding of first response to a gas facility event in accordance with relevant legislation, code, regulations and procedures. to an extent indicated by the following aspects:</w:t>
            </w:r>
          </w:p>
          <w:p w:rsidR="00000000" w:rsidRPr="001D0DA6" w:rsidP="001D0DA6">
            <w:pPr>
              <w:pStyle w:val="BodyText"/>
            </w:pPr>
            <w:r w:rsidRPr="001D0DA6">
              <w:t>T1. Relevant legis</w:t>
            </w:r>
            <w:r w:rsidRPr="001D0DA6">
              <w:t>lation, Australian Standards, codes, regulations and procedure requirements</w:t>
            </w:r>
          </w:p>
          <w:p w:rsidR="00000000" w:rsidRPr="001D0DA6" w:rsidP="001D0DA6">
            <w:pPr>
              <w:pStyle w:val="BodyText"/>
            </w:pPr>
            <w:r w:rsidRPr="001D0DA6">
              <w:t>T2. WHS/OHS safety requirements</w:t>
            </w:r>
          </w:p>
          <w:p w:rsidR="00000000" w:rsidRPr="001D0DA6" w:rsidP="001D0DA6">
            <w:pPr>
              <w:pStyle w:val="ListBullet"/>
            </w:pPr>
            <w:r w:rsidRPr="001D0DA6">
              <w:t>hazards, risk assessment and control measures</w:t>
            </w:r>
          </w:p>
          <w:p w:rsidR="00000000" w:rsidRPr="001D0DA6" w:rsidP="001D0DA6">
            <w:pPr>
              <w:pStyle w:val="ListBullet"/>
            </w:pPr>
            <w:r w:rsidRPr="001D0DA6">
              <w:t xml:space="preserve">identify environmental and safety hazards, assess risks and implement control measures </w:t>
            </w:r>
          </w:p>
          <w:p w:rsidR="00000000" w:rsidRPr="001D0DA6" w:rsidP="001D0DA6">
            <w:pPr>
              <w:pStyle w:val="ListBullet"/>
            </w:pPr>
            <w:r w:rsidRPr="001D0DA6">
              <w:t>Hazardous materials</w:t>
            </w:r>
          </w:p>
          <w:p w:rsidR="00000000" w:rsidRPr="001D0DA6" w:rsidP="001D0DA6">
            <w:pPr>
              <w:pStyle w:val="ListBullet"/>
            </w:pPr>
            <w:r w:rsidRPr="001D0DA6">
              <w:t>MSDS</w:t>
            </w:r>
          </w:p>
          <w:p w:rsidR="00000000" w:rsidRPr="001D0DA6" w:rsidP="001D0DA6">
            <w:pPr>
              <w:pStyle w:val="ListBullet"/>
            </w:pPr>
            <w:r w:rsidRPr="001D0DA6">
              <w:t xml:space="preserve">PPE </w:t>
            </w:r>
          </w:p>
          <w:p w:rsidR="00000000" w:rsidRPr="001D0DA6" w:rsidP="001D0DA6">
            <w:pPr>
              <w:pStyle w:val="BodyText"/>
            </w:pPr>
            <w:r w:rsidRPr="001D0DA6">
              <w:t>T3. Gas Industry facilities and infrastructure</w:t>
            </w:r>
          </w:p>
          <w:p w:rsidR="00000000" w:rsidRPr="001D0DA6" w:rsidP="001D0DA6">
            <w:pPr>
              <w:pStyle w:val="ListBullet"/>
            </w:pPr>
            <w:r w:rsidRPr="001D0DA6">
              <w:t>regulation and metering facilities</w:t>
            </w:r>
          </w:p>
          <w:p w:rsidR="00000000" w:rsidRPr="001D0DA6" w:rsidP="001D0DA6">
            <w:pPr>
              <w:pStyle w:val="ListBullet"/>
            </w:pPr>
            <w:r w:rsidRPr="001D0DA6">
              <w:t>compression facilities</w:t>
            </w:r>
          </w:p>
          <w:p w:rsidR="00000000" w:rsidRPr="001D0DA6" w:rsidP="001D0DA6">
            <w:pPr>
              <w:pStyle w:val="ListBullet"/>
            </w:pPr>
            <w:r w:rsidRPr="001D0DA6">
              <w:t>gas processing facilities such as coal seam methane plants</w:t>
            </w:r>
          </w:p>
          <w:p w:rsidR="00000000" w:rsidRPr="001D0DA6" w:rsidP="001D0DA6">
            <w:pPr>
              <w:pStyle w:val="ListBullet"/>
            </w:pPr>
            <w:r w:rsidRPr="001D0DA6">
              <w:t>LPG processing facilities</w:t>
            </w:r>
          </w:p>
          <w:p w:rsidR="00000000" w:rsidRPr="001D0DA6" w:rsidP="001D0DA6">
            <w:pPr>
              <w:pStyle w:val="ListBullet"/>
            </w:pPr>
            <w:r w:rsidRPr="001D0DA6">
              <w:t>scraper stations and pigging facili</w:t>
            </w:r>
            <w:r w:rsidRPr="001D0DA6">
              <w:t>ties</w:t>
            </w:r>
          </w:p>
          <w:p w:rsidR="00000000" w:rsidRPr="001D0DA6" w:rsidP="001D0DA6">
            <w:pPr>
              <w:pStyle w:val="ListBullet"/>
            </w:pPr>
            <w:r w:rsidRPr="001D0DA6">
              <w:t>odourisation facilities</w:t>
            </w:r>
          </w:p>
          <w:p w:rsidR="00000000" w:rsidRPr="001D0DA6" w:rsidP="001D0DA6">
            <w:pPr>
              <w:pStyle w:val="ListBullet"/>
            </w:pPr>
            <w:r w:rsidRPr="001D0DA6">
              <w:t>relevant operating policies and procedures</w:t>
            </w:r>
          </w:p>
          <w:p w:rsidR="00000000" w:rsidRPr="001D0DA6" w:rsidP="001D0DA6">
            <w:pPr>
              <w:pStyle w:val="BodyText"/>
            </w:pPr>
            <w:r w:rsidRPr="001D0DA6">
              <w:t>T4. Operation of Gas Industry plant, equipment and materials</w:t>
            </w:r>
          </w:p>
          <w:p w:rsidR="00000000" w:rsidRPr="001D0DA6" w:rsidP="001D0DA6">
            <w:pPr>
              <w:pStyle w:val="ListBullet"/>
            </w:pPr>
            <w:r w:rsidRPr="001D0DA6">
              <w:t>relevant industry engineering terminology and units</w:t>
            </w:r>
          </w:p>
          <w:p w:rsidR="00000000" w:rsidRPr="001D0DA6" w:rsidP="001D0DA6">
            <w:pPr>
              <w:pStyle w:val="ListBullet"/>
            </w:pPr>
            <w:r w:rsidRPr="001D0DA6">
              <w:t>gas pipeline system operating parameters</w:t>
            </w:r>
          </w:p>
          <w:p w:rsidR="00000000" w:rsidRPr="001D0DA6" w:rsidP="001D0DA6">
            <w:pPr>
              <w:pStyle w:val="ListBullet"/>
            </w:pPr>
            <w:r w:rsidRPr="001D0DA6">
              <w:t xml:space="preserve">gas pipeline systems such as </w:t>
            </w:r>
            <w:r w:rsidRPr="001D0DA6">
              <w:t>pumps, compressors, regulation, shutdown equipment, measurement systems by on-site or remote operation as applicable.</w:t>
            </w:r>
          </w:p>
          <w:p w:rsidR="00000000" w:rsidRPr="001D0DA6" w:rsidP="001D0DA6">
            <w:pPr>
              <w:pStyle w:val="ListBullet"/>
            </w:pPr>
            <w:r w:rsidRPr="001D0DA6">
              <w:t>relevant inspection and testing procedures for applicable plant and equipment</w:t>
            </w:r>
          </w:p>
          <w:p w:rsidR="00000000" w:rsidRPr="001D0DA6" w:rsidP="001D0DA6">
            <w:pPr>
              <w:pStyle w:val="ListBullet"/>
            </w:pPr>
            <w:r w:rsidRPr="001D0DA6">
              <w:t xml:space="preserve">start up and shut down processes of relevant equipment such </w:t>
            </w:r>
            <w:r w:rsidRPr="001D0DA6">
              <w:t>as pipework, vessels and compressors, including on-site and remote operation as applicable.</w:t>
            </w:r>
          </w:p>
          <w:p w:rsidR="00000000" w:rsidRPr="001D0DA6" w:rsidP="001D0DA6">
            <w:pPr>
              <w:pStyle w:val="ListBullet"/>
            </w:pPr>
            <w:r w:rsidRPr="001D0DA6">
              <w:t>characteristics of gas flows including compressed and non-compressed operations</w:t>
            </w:r>
          </w:p>
          <w:p w:rsidR="00000000" w:rsidRPr="001D0DA6" w:rsidP="001D0DA6">
            <w:pPr>
              <w:pStyle w:val="ListBullet"/>
            </w:pPr>
            <w:r w:rsidRPr="001D0DA6">
              <w:t>characteristics, operation, capabilities and limitations of applicable tools and equ</w:t>
            </w:r>
            <w:r w:rsidRPr="001D0DA6">
              <w:t>ipment including prime movers, compression and control systems, pipeline facilities and associated equipment</w:t>
            </w:r>
          </w:p>
          <w:p w:rsidR="00000000" w:rsidRPr="001D0DA6" w:rsidP="001D0DA6">
            <w:pPr>
              <w:pStyle w:val="ListBullet"/>
            </w:pPr>
            <w:r w:rsidRPr="001D0DA6">
              <w:t>operation of gas analysis and measuring equipment</w:t>
            </w:r>
          </w:p>
          <w:p w:rsidR="00000000" w:rsidRPr="001D0DA6" w:rsidP="001D0DA6">
            <w:pPr>
              <w:pStyle w:val="BodyText"/>
            </w:pPr>
            <w:r w:rsidRPr="001D0DA6">
              <w:t>T5. Gas Industry products, processes and characteristics</w:t>
            </w:r>
          </w:p>
          <w:p w:rsidR="00000000" w:rsidRPr="001D0DA6" w:rsidP="001D0DA6">
            <w:pPr>
              <w:pStyle w:val="ListBullet"/>
            </w:pPr>
            <w:r w:rsidRPr="001D0DA6">
              <w:t>products, characteristics and tolerances including:</w:t>
            </w:r>
          </w:p>
          <w:p w:rsidR="00000000" w:rsidRPr="001D0DA6" w:rsidP="001D0DA6">
            <w:pPr>
              <w:pStyle w:val="ListBullet2"/>
            </w:pPr>
            <w:r w:rsidRPr="001D0DA6">
              <w:t>principles of applicable gas laws</w:t>
            </w:r>
          </w:p>
          <w:p w:rsidR="00000000" w:rsidRPr="001D0DA6" w:rsidP="001D0DA6">
            <w:pPr>
              <w:pStyle w:val="ListBullet2"/>
            </w:pPr>
            <w:r w:rsidRPr="001D0DA6">
              <w:t>gas pressure</w:t>
            </w:r>
          </w:p>
          <w:p w:rsidR="00000000" w:rsidRPr="001D0DA6" w:rsidP="001D0DA6">
            <w:pPr>
              <w:pStyle w:val="ListBullet2"/>
            </w:pPr>
            <w:r w:rsidRPr="001D0DA6">
              <w:t>gas temperature</w:t>
            </w:r>
          </w:p>
          <w:p w:rsidR="00000000" w:rsidRPr="001D0DA6" w:rsidP="001D0DA6">
            <w:pPr>
              <w:pStyle w:val="ListBullet2"/>
            </w:pPr>
            <w:r w:rsidRPr="001D0DA6">
              <w:t>compressibility</w:t>
            </w:r>
          </w:p>
          <w:p w:rsidR="00000000" w:rsidRPr="001D0DA6" w:rsidP="001D0DA6">
            <w:pPr>
              <w:pStyle w:val="ListBullet"/>
            </w:pPr>
            <w:r w:rsidRPr="001D0DA6">
              <w:t xml:space="preserve">relative density – specific gravity </w:t>
            </w:r>
          </w:p>
          <w:p w:rsidR="00000000" w:rsidRPr="001D0DA6" w:rsidP="001D0DA6">
            <w:pPr>
              <w:pStyle w:val="ListBullet"/>
            </w:pPr>
            <w:r w:rsidRPr="001D0DA6">
              <w:t>hydrocarbon and water dew points</w:t>
            </w:r>
          </w:p>
          <w:p w:rsidR="00000000" w:rsidRPr="001D0DA6" w:rsidP="001D0DA6">
            <w:pPr>
              <w:pStyle w:val="ListBullet"/>
            </w:pPr>
            <w:r w:rsidRPr="001D0DA6">
              <w:t>components of applicable natural gases including LPG</w:t>
            </w:r>
          </w:p>
          <w:p w:rsidR="00000000" w:rsidRPr="001D0DA6" w:rsidP="001D0DA6">
            <w:pPr>
              <w:pStyle w:val="ListBullet"/>
            </w:pPr>
            <w:r w:rsidRPr="001D0DA6">
              <w:t>standard gas conditions</w:t>
            </w:r>
          </w:p>
          <w:p w:rsidR="00000000" w:rsidRPr="001D0DA6" w:rsidP="001D0DA6">
            <w:pPr>
              <w:pStyle w:val="ListBullet"/>
            </w:pPr>
            <w:r w:rsidRPr="001D0DA6">
              <w:t>combustion</w:t>
            </w:r>
          </w:p>
          <w:p w:rsidR="00000000" w:rsidRPr="001D0DA6" w:rsidP="001D0DA6">
            <w:pPr>
              <w:pStyle w:val="ListBullet"/>
            </w:pPr>
            <w:r w:rsidRPr="001D0DA6">
              <w:t>venting and purging principles</w:t>
            </w:r>
          </w:p>
          <w:p w:rsidR="00000000" w:rsidRPr="001D0DA6" w:rsidP="001D0DA6">
            <w:pPr>
              <w:pStyle w:val="ListBullet"/>
            </w:pPr>
            <w:r w:rsidRPr="001D0DA6">
              <w:t>effects of temperature and pressure on infrastructure</w:t>
            </w:r>
          </w:p>
          <w:p w:rsidR="00000000" w:rsidRPr="001D0DA6" w:rsidP="001D0DA6">
            <w:pPr>
              <w:pStyle w:val="BodyText"/>
            </w:pPr>
            <w:r w:rsidRPr="001D0DA6">
              <w:t>T6. Gas industry documents</w:t>
            </w:r>
          </w:p>
          <w:p w:rsidR="00000000" w:rsidRPr="001D0DA6" w:rsidP="001D0DA6">
            <w:pPr>
              <w:pStyle w:val="ListBullet"/>
            </w:pPr>
            <w:r w:rsidRPr="001D0DA6">
              <w:t>signs, symbols terminology and legends as used in gas industry procedures and documents</w:t>
            </w:r>
          </w:p>
          <w:p w:rsidR="00000000" w:rsidRPr="001D0DA6" w:rsidP="001D0DA6">
            <w:pPr>
              <w:pStyle w:val="ListBullet"/>
            </w:pPr>
            <w:r w:rsidRPr="001D0DA6">
              <w:t>gas industry standards, policies and procedures</w:t>
            </w:r>
          </w:p>
          <w:p w:rsidR="00000000" w:rsidRPr="001D0DA6" w:rsidP="001D0DA6">
            <w:pPr>
              <w:pStyle w:val="ListBullet"/>
            </w:pPr>
            <w:r w:rsidRPr="001D0DA6">
              <w:t>basic drawings and diagrams</w:t>
            </w:r>
          </w:p>
          <w:p w:rsidR="00000000" w:rsidRPr="001D0DA6" w:rsidP="001D0DA6">
            <w:pPr>
              <w:pStyle w:val="ListBullet"/>
            </w:pPr>
            <w:r w:rsidRPr="001D0DA6">
              <w:t>Process and Instrumentation Diagrams (PID)</w:t>
            </w:r>
          </w:p>
          <w:p w:rsidR="00000000" w:rsidRPr="001D0DA6" w:rsidP="001D0DA6">
            <w:pPr>
              <w:pStyle w:val="ListBullet"/>
            </w:pPr>
            <w:r w:rsidRPr="001D0DA6">
              <w:t>Facility and pipeline construction and as-built drawings</w:t>
            </w:r>
          </w:p>
          <w:p w:rsidR="00000000" w:rsidRPr="001D0DA6" w:rsidP="001D0DA6">
            <w:pPr>
              <w:pStyle w:val="ListBullet"/>
            </w:pPr>
            <w:r w:rsidRPr="001D0DA6">
              <w:t>Geographical Information System (GIS) drawings and data</w:t>
            </w:r>
          </w:p>
          <w:p w:rsidR="00000000" w:rsidRPr="001D0DA6" w:rsidP="001D0DA6">
            <w:pPr>
              <w:pStyle w:val="ListBullet"/>
            </w:pPr>
            <w:r w:rsidRPr="001D0DA6">
              <w:t>Electrical drawings</w:t>
            </w:r>
          </w:p>
          <w:p w:rsidR="00000000" w:rsidRPr="001D0DA6" w:rsidP="001D0DA6">
            <w:pPr>
              <w:pStyle w:val="ListBullet"/>
            </w:pPr>
            <w:r w:rsidRPr="001D0DA6">
              <w:t>Surv</w:t>
            </w:r>
            <w:r w:rsidRPr="001D0DA6">
              <w:t>ey maps</w:t>
            </w:r>
          </w:p>
          <w:p w:rsidR="00000000" w:rsidRPr="001D0DA6" w:rsidP="001D0DA6">
            <w:pPr>
              <w:pStyle w:val="ListBullet"/>
            </w:pPr>
            <w:r w:rsidRPr="001D0DA6">
              <w:t>Pipeline route maps and alignment sheets</w:t>
            </w:r>
          </w:p>
          <w:p w:rsidR="00000000" w:rsidRPr="001D0DA6" w:rsidP="001D0DA6">
            <w:pPr>
              <w:pStyle w:val="ListBullet"/>
            </w:pPr>
            <w:r w:rsidRPr="001D0DA6">
              <w:t>topographical and geographical maps and information.</w:t>
            </w:r>
          </w:p>
          <w:p w:rsidR="00000000" w:rsidRPr="001D0DA6" w:rsidP="001D0DA6">
            <w:pPr>
              <w:pStyle w:val="ListBullet"/>
            </w:pPr>
            <w:r w:rsidRPr="001D0DA6">
              <w:t>workplace forms and reports</w:t>
            </w:r>
          </w:p>
          <w:p w:rsidR="00000000" w:rsidRPr="001D0DA6" w:rsidP="001D0DA6">
            <w:pPr>
              <w:pStyle w:val="BodyText"/>
            </w:pPr>
            <w:r w:rsidRPr="001D0DA6">
              <w:t>T7. Problem solving</w:t>
            </w:r>
          </w:p>
          <w:p w:rsidR="00000000" w:rsidRPr="001D0DA6" w:rsidP="001D0DA6">
            <w:pPr>
              <w:pStyle w:val="ListBullet"/>
            </w:pPr>
            <w:r w:rsidRPr="001D0DA6">
              <w:t>methodology</w:t>
            </w:r>
          </w:p>
          <w:p w:rsidR="00000000" w:rsidRPr="001D0DA6" w:rsidP="001D0DA6">
            <w:pPr>
              <w:pStyle w:val="ListBullet"/>
            </w:pPr>
            <w:r w:rsidRPr="001D0DA6">
              <w:t xml:space="preserve">possible solutions and probable solutions </w:t>
            </w:r>
          </w:p>
          <w:p w:rsidR="00000000" w:rsidRPr="001D0DA6" w:rsidP="001D0DA6">
            <w:pPr>
              <w:pStyle w:val="ListBullet"/>
            </w:pPr>
            <w:r w:rsidRPr="001D0DA6">
              <w:t>basic problem solving techniques</w:t>
            </w:r>
          </w:p>
          <w:p w:rsidR="00000000" w:rsidRPr="001D0DA6" w:rsidP="001D0DA6">
            <w:pPr>
              <w:pStyle w:val="BodyText"/>
            </w:pPr>
            <w:r w:rsidRPr="001D0DA6">
              <w:t>T8. Confined spac</w:t>
            </w:r>
            <w:r w:rsidRPr="001D0DA6">
              <w:t>es</w:t>
            </w:r>
          </w:p>
          <w:p w:rsidR="00000000" w:rsidRPr="001D0DA6" w:rsidP="001D0DA6">
            <w:pPr>
              <w:pStyle w:val="ListBullet"/>
            </w:pPr>
            <w:r w:rsidRPr="001D0DA6">
              <w:t>requirements of Legislation, Regulations, Australian Standards and enterprise specific procedures for safe working in confined spaces</w:t>
            </w:r>
          </w:p>
          <w:p w:rsidR="00000000" w:rsidRPr="001D0DA6" w:rsidP="001D0DA6">
            <w:pPr>
              <w:pStyle w:val="ListBullet"/>
            </w:pPr>
            <w:r w:rsidRPr="001D0DA6">
              <w:t>what is a confined space is and the entry safety requirements</w:t>
            </w:r>
          </w:p>
          <w:p w:rsidR="00000000" w:rsidRPr="001D0DA6" w:rsidP="001D0DA6">
            <w:pPr>
              <w:pStyle w:val="ListBullet"/>
            </w:pPr>
            <w:r w:rsidRPr="001D0DA6">
              <w:t>manufacturers’</w:t>
            </w:r>
            <w:r w:rsidRPr="001D0DA6">
              <w:t xml:space="preserve"> guidelines for the safe use of PPE used in confined spaces</w:t>
            </w:r>
          </w:p>
          <w:p w:rsidR="00000000" w:rsidRPr="001D0DA6" w:rsidP="001D0DA6">
            <w:pPr>
              <w:pStyle w:val="ListBullet"/>
            </w:pPr>
            <w:r w:rsidRPr="001D0DA6">
              <w:t>gas detectors for confined spaces entry</w:t>
            </w:r>
          </w:p>
          <w:p w:rsidR="00000000" w:rsidRPr="001D0DA6" w:rsidP="001D0DA6">
            <w:pPr>
              <w:pStyle w:val="ListBullet"/>
            </w:pPr>
            <w:r w:rsidRPr="001D0DA6">
              <w:t xml:space="preserve">breathing apparatus and rescue and recovery equipment </w:t>
            </w:r>
          </w:p>
          <w:p w:rsidR="00000000" w:rsidRPr="001D0DA6" w:rsidP="001D0DA6">
            <w:pPr>
              <w:pStyle w:val="BodyText"/>
            </w:pPr>
            <w:r w:rsidRPr="001D0DA6">
              <w:t>T9. Electrical fundamentals for the Gas Industry</w:t>
            </w:r>
          </w:p>
          <w:p w:rsidR="00000000" w:rsidRPr="001D0DA6" w:rsidP="001D0DA6">
            <w:pPr>
              <w:pStyle w:val="ListBullet"/>
            </w:pPr>
            <w:r w:rsidRPr="001D0DA6">
              <w:t>extra low voltage operation</w:t>
            </w:r>
          </w:p>
          <w:p w:rsidR="00000000" w:rsidRPr="001D0DA6" w:rsidP="001D0DA6">
            <w:pPr>
              <w:pStyle w:val="ListBullet"/>
            </w:pPr>
            <w:r w:rsidRPr="001D0DA6">
              <w:t>electrical test equipme</w:t>
            </w:r>
            <w:r w:rsidRPr="001D0DA6">
              <w:t>nt for cathodic protection on gas pipelines and facilities</w:t>
            </w:r>
          </w:p>
          <w:p w:rsidR="00000000" w:rsidRPr="001D0DA6" w:rsidP="001D0DA6">
            <w:pPr>
              <w:pStyle w:val="ListBullet"/>
            </w:pPr>
            <w:r w:rsidRPr="001D0DA6">
              <w:t>Electrical risks associated activities within the Gas Industry</w:t>
            </w:r>
          </w:p>
          <w:p w:rsidR="00000000" w:rsidRPr="001D0DA6" w:rsidP="001D0DA6">
            <w:pPr>
              <w:pStyle w:val="ListBullet"/>
            </w:pPr>
            <w:r w:rsidRPr="001D0DA6">
              <w:t>meters and other relevant electrical equipment.</w:t>
            </w:r>
          </w:p>
          <w:p w:rsidR="00000000" w:rsidRPr="001D0DA6" w:rsidP="001D0DA6">
            <w:pPr>
              <w:pStyle w:val="BodyText"/>
            </w:pPr>
            <w:r w:rsidRPr="001D0DA6">
              <w:t>T10. Security breach procedures</w:t>
            </w:r>
          </w:p>
          <w:p w:rsidR="00000000" w:rsidRPr="001D0DA6" w:rsidP="001D0DA6">
            <w:pPr>
              <w:pStyle w:val="ListBullet"/>
            </w:pPr>
            <w:r w:rsidRPr="001D0DA6">
              <w:t>identification of different types of security inciden</w:t>
            </w:r>
            <w:r w:rsidRPr="001D0DA6">
              <w:t>ts including but not limited to:</w:t>
            </w:r>
          </w:p>
          <w:p w:rsidR="00000000" w:rsidRPr="001D0DA6" w:rsidP="001D0DA6">
            <w:pPr>
              <w:pStyle w:val="ListBullet"/>
            </w:pPr>
            <w:r w:rsidRPr="001D0DA6">
              <w:t>physical security breaches at gas infrastructure</w:t>
            </w:r>
          </w:p>
          <w:p w:rsidR="00000000" w:rsidRPr="001D0DA6" w:rsidP="001D0DA6">
            <w:pPr>
              <w:pStyle w:val="ListBullet"/>
            </w:pPr>
            <w:r w:rsidRPr="001D0DA6">
              <w:t>threat assessment and management</w:t>
            </w:r>
          </w:p>
          <w:p w:rsidR="00000000" w:rsidRPr="001D0DA6" w:rsidP="001D0DA6">
            <w:pPr>
              <w:pStyle w:val="ListBullet"/>
            </w:pPr>
            <w:r w:rsidRPr="001D0DA6">
              <w:t>confidential information security</w:t>
            </w:r>
          </w:p>
          <w:p w:rsidR="00000000" w:rsidRPr="001D0DA6" w:rsidP="001D0DA6">
            <w:pPr>
              <w:pStyle w:val="ListBullet"/>
            </w:pPr>
            <w:r w:rsidRPr="001D0DA6">
              <w:t>communication with applicable emergency service and regulatory organisations</w:t>
            </w:r>
          </w:p>
          <w:p w:rsidR="00000000" w:rsidRPr="001D0DA6" w:rsidP="001D0DA6">
            <w:pPr>
              <w:pStyle w:val="ListBullet"/>
            </w:pPr>
            <w:r w:rsidRPr="001D0DA6">
              <w:t>compliance with applicable ent</w:t>
            </w:r>
            <w:r w:rsidRPr="001D0DA6">
              <w:t>erprise security policies and procedures</w:t>
            </w:r>
          </w:p>
          <w:p w:rsidR="00000000" w:rsidRPr="001D0DA6" w:rsidP="001D0DA6">
            <w:pPr>
              <w:pStyle w:val="BodyText"/>
            </w:pPr>
            <w:r w:rsidRPr="001D0DA6">
              <w:t>T11. Emergency/incident control procedures</w:t>
            </w:r>
          </w:p>
          <w:p w:rsidR="00000000" w:rsidRPr="001D0DA6" w:rsidP="001D0DA6">
            <w:pPr>
              <w:pStyle w:val="ListBullet"/>
            </w:pPr>
            <w:r w:rsidRPr="001D0DA6">
              <w:t>enterprise emergency/incident control policies and procedures</w:t>
            </w:r>
          </w:p>
          <w:p w:rsidR="00000000" w:rsidRPr="001D0DA6" w:rsidP="001D0DA6">
            <w:pPr>
              <w:pStyle w:val="ListBullet"/>
            </w:pPr>
            <w:r w:rsidRPr="001D0DA6">
              <w:t>communication with relevant stakeholders</w:t>
            </w:r>
          </w:p>
          <w:p w:rsidR="00000000" w:rsidRPr="001D0DA6" w:rsidP="001D0DA6">
            <w:pPr>
              <w:pStyle w:val="ListBullet"/>
            </w:pPr>
            <w:r w:rsidRPr="001D0DA6">
              <w:t>application of relevant procedures</w:t>
            </w:r>
          </w:p>
          <w:p w:rsidR="00000000" w:rsidRPr="001D0DA6" w:rsidP="001D0DA6">
            <w:pPr>
              <w:pStyle w:val="BodyText"/>
            </w:pPr>
            <w:r w:rsidRPr="001D0DA6">
              <w:t>T12. Emergency, accident and incident situations</w:t>
            </w:r>
          </w:p>
          <w:p w:rsidR="00000000" w:rsidRPr="001D0DA6" w:rsidP="001D0DA6">
            <w:pPr>
              <w:pStyle w:val="ListBullet"/>
            </w:pPr>
            <w:r w:rsidRPr="001D0DA6">
              <w:t xml:space="preserve">procedures </w:t>
            </w:r>
          </w:p>
          <w:p w:rsidR="00000000" w:rsidRPr="001D0DA6" w:rsidP="001D0DA6">
            <w:pPr>
              <w:pStyle w:val="ListBullet"/>
            </w:pPr>
            <w:r w:rsidRPr="001D0DA6">
              <w:t>emergency equipment and procedures for a fire</w:t>
            </w:r>
          </w:p>
          <w:p w:rsidR="00000000" w:rsidRPr="001D0DA6" w:rsidP="001D0DA6">
            <w:pPr>
              <w:pStyle w:val="ListBullet"/>
            </w:pPr>
            <w:r w:rsidRPr="001D0DA6">
              <w:t>breathing apparatus</w:t>
            </w:r>
          </w:p>
          <w:p w:rsidR="00000000" w:rsidRPr="001D0DA6" w:rsidP="001D0DA6">
            <w:pPr>
              <w:pStyle w:val="ListBullet"/>
            </w:pPr>
            <w:r w:rsidRPr="001D0DA6">
              <w:t>gas detectors/oxygen monitoring devices</w:t>
            </w:r>
          </w:p>
          <w:p w:rsidR="00000000" w:rsidP="001D0DA6">
            <w:pPr>
              <w:pStyle w:val="ListBullet"/>
              <w:rPr>
                <w:lang w:val="en-NZ"/>
              </w:rPr>
            </w:pPr>
            <w:r w:rsidRPr="001D0DA6">
              <w:t>emergency equipment and procedures for a gas leak or vapour emission reports</w:t>
            </w:r>
          </w:p>
        </w:tc>
      </w:tr>
      <w:tr w:rsidTr="001D0DA6">
        <w:tblPrEx>
          <w:tblW w:w="0" w:type="auto"/>
          <w:tblLayout w:type="fixed"/>
          <w:tblCellMar>
            <w:left w:w="62" w:type="dxa"/>
            <w:right w:w="62" w:type="dxa"/>
          </w:tblCellMar>
          <w:tblLook w:val="0000"/>
        </w:tblPrEx>
        <w:trPr>
          <w:trHeight w:val="9923"/>
        </w:trPr>
        <w:tc>
          <w:tcPr>
            <w:tcW w:w="8370" w:type="dxa"/>
            <w:vMerge/>
            <w:tcBorders>
              <w:top w:val="nil"/>
              <w:left w:val="nil"/>
              <w:bottom w:val="nil"/>
              <w:right w:val="nil"/>
            </w:tcBorders>
            <w:tcMar>
              <w:top w:w="0" w:type="dxa"/>
              <w:left w:w="62" w:type="dxa"/>
              <w:bottom w:w="0" w:type="dxa"/>
              <w:right w:w="62" w:type="dxa"/>
            </w:tcMar>
          </w:tcPr>
          <w:p w:rsidR="00000000" w:rsidP="001D0DA6">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RPr="001D0DA6" w:rsidP="001D0DA6">
            <w:pPr>
              <w:pStyle w:val="BodyText"/>
            </w:pPr>
          </w:p>
        </w:tc>
      </w:tr>
    </w:tbl>
    <w:p w:rsidR="001303E9" w:rsidP="001D0DA6">
      <w:pPr>
        <w:pStyle w:val="BodyText"/>
      </w:pPr>
    </w:p>
    <w:p w:rsidR="001303E9" w:rsidP="001D0DA6">
      <w:pPr>
        <w:pStyle w:val="BodyText"/>
      </w:pPr>
    </w:p>
    <w:p w:rsidR="00000000" w:rsidRPr="001D0DA6" w:rsidP="001D0DA6">
      <w:pPr>
        <w:pStyle w:val="Heading1"/>
      </w:pPr>
      <w:bookmarkStart w:id="10" w:name="O_621354"/>
      <w:bookmarkEnd w:id="10"/>
      <w:r w:rsidRPr="001D0DA6">
        <w:t>Evidence Guide</w:t>
      </w:r>
    </w:p>
    <w:tbl>
      <w:tblPr>
        <w:tblW w:w="0" w:type="auto"/>
        <w:tblLayout w:type="fixed"/>
        <w:tblCellMar>
          <w:left w:w="62" w:type="dxa"/>
          <w:right w:w="62" w:type="dxa"/>
        </w:tblCellMar>
        <w:tblLook w:val="0000"/>
      </w:tblPr>
      <w:tblGrid>
        <w:gridCol w:w="8398"/>
      </w:tblGrid>
      <w:tr w:rsidTr="001D0DA6">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EVIDENCE GUIDE</w:t>
            </w:r>
          </w:p>
        </w:tc>
      </w:tr>
      <w:tr w:rsidTr="001D0DA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8)</w:t>
            </w:r>
            <w:r w:rsidRPr="001D0DA6">
              <w:t xml:space="preserve"> The Evidence Guide forms an integral part of this Competency Standard Unit and shall be used in conjunction with all components parts of this unit and performed in accordance with the Assessment Guidelines </w:t>
            </w:r>
            <w:r w:rsidRPr="001D0DA6">
              <w:t>of this Training Package.</w:t>
            </w:r>
          </w:p>
        </w:tc>
      </w:tr>
    </w:tbl>
    <w:p w:rsidR="00000000" w:rsidRPr="001D0DA6" w:rsidP="001D0DA6">
      <w:pPr>
        <w:pStyle w:val="BodyText"/>
      </w:pPr>
    </w:p>
    <w:tbl>
      <w:tblPr>
        <w:tblW w:w="0" w:type="auto"/>
        <w:tblLayout w:type="fixed"/>
        <w:tblCellMar>
          <w:left w:w="62" w:type="dxa"/>
          <w:right w:w="62" w:type="dxa"/>
        </w:tblCellMar>
        <w:tblLook w:val="0000"/>
      </w:tblPr>
      <w:tblGrid>
        <w:gridCol w:w="1828"/>
        <w:gridCol w:w="6570"/>
      </w:tblGrid>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8.1)</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 xml:space="preserve">Longitudinal competency development approaches to assessment, such as Profiling, require data to be reliably gathered in a form that can be </w:t>
            </w:r>
            <w:r w:rsidRPr="001D0DA6">
              <w:t>consistently interpreted over time. This approach is best utilised in Apprenticeship programs and reduces assessment intervention. It is the Industry’s preferred model for apprenticeships. However, where summative (or final) assessment is used it is to inc</w:t>
            </w:r>
            <w:r w:rsidRPr="001D0DA6">
              <w:t>lude the application of the competency in the normal work environment or, at a minimum, the application of the competency in a realistically simulated work environment. It is recognised that, in some circumstances, assessment in part or full can occur outs</w:t>
            </w:r>
            <w:r w:rsidRPr="001D0DA6">
              <w:t>ide the workplace. However, it must be in accord with Industry regulatory policy in this regard.</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Methods chosen for a particular assessment will be influenced by various factors. These include the extent of the assessment, the most effective locations fo</w:t>
            </w:r>
            <w:r w:rsidRPr="001D0DA6">
              <w:t>r the assessment activities to take place, access to physical resources, additional safety measures that may be required and the critical nature of the competencies being assessed.</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The critical safety nature of working with electricity, electrical equipm</w:t>
            </w:r>
            <w:r w:rsidRPr="001D0DA6">
              <w:t>ent, gas or any other hazardous substance/material carries risk in deeming a person competent. Hence, sources of evidence need to be ‘rich’ in nature so as to minimise error in judgment.</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 xml:space="preserve">Activities associated with normal every day work have a bearing on </w:t>
            </w:r>
            <w:r w:rsidRPr="001D0DA6">
              <w:t>the decision as to how much and how detailed the data gathered will contribute to its ‘richness’. Some skills are more critical to safety and operational requirements while the same skills may be more or less frequently practiced. These points are raised f</w:t>
            </w:r>
            <w:r w:rsidRPr="001D0DA6">
              <w:t>or the assessors to consider when choosing an assessment method and developing assessment instruments. Sample assessment instruments are included for Assessors in the Assessment Guidelines of this Training Package.</w:t>
            </w:r>
          </w:p>
        </w:tc>
      </w:tr>
    </w:tbl>
    <w:p w:rsidR="00000000" w:rsidRPr="001D0DA6" w:rsidP="001D0DA6">
      <w:pPr>
        <w:pStyle w:val="BodyText"/>
      </w:pPr>
    </w:p>
    <w:tbl>
      <w:tblPr>
        <w:tblW w:w="0" w:type="auto"/>
        <w:tblLayout w:type="fixed"/>
        <w:tblCellMar>
          <w:left w:w="62" w:type="dxa"/>
          <w:right w:w="62" w:type="dxa"/>
        </w:tblCellMar>
        <w:tblLook w:val="0000"/>
      </w:tblPr>
      <w:tblGrid>
        <w:gridCol w:w="1828"/>
        <w:gridCol w:w="6570"/>
      </w:tblGrid>
      <w:tr w:rsidTr="001D0DA6">
        <w:tblPrEx>
          <w:tblW w:w="0" w:type="auto"/>
          <w:tblLayout w:type="fixed"/>
          <w:tblCellMar>
            <w:left w:w="62" w:type="dxa"/>
            <w:right w:w="62" w:type="dxa"/>
          </w:tblCellMar>
          <w:tblLook w:val="0000"/>
        </w:tblPrEx>
        <w:trPr>
          <w:trHeight w:val="1024"/>
        </w:trPr>
        <w:tc>
          <w:tcPr>
            <w:tcW w:w="182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Critical aspects of evidence required t</w:t>
            </w:r>
            <w:r w:rsidRPr="001D0DA6">
              <w:rPr>
                <w:rStyle w:val="SpecialBold"/>
              </w:rPr>
              <w: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8.2)</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Before the critical aspects of evidence are considered all prerequisites shall be met.</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Evidence for competenc</w:t>
            </w:r>
            <w:r w:rsidRPr="001D0DA6">
              <w:t>e in this unit shall be considered holistically. Each element and associated Performance Criteria shall be demonstrated on at least two occasions in accordance with the ‘Assessment Guidelines — UEG11’. Evidence shall also comprise:</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ListBullet"/>
              <w:rPr>
                <w:lang w:val="en-NZ"/>
              </w:rPr>
            </w:pPr>
            <w:r w:rsidRPr="001D0DA6">
              <w:t>A representative body</w:t>
            </w:r>
            <w:r w:rsidRPr="001D0DA6">
              <w:t xml:space="preserve"> of work performance demonstrated within the timeframes typically expected of the discipline, work function and industrial environment. In particular this shall incorporate evidence that shows a candidate is able to:</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ListBullet2"/>
              <w:rPr>
                <w:lang w:val="en-NZ"/>
              </w:rPr>
            </w:pPr>
            <w:r w:rsidRPr="001D0DA6">
              <w:t>Implement Occupational Health and Safety workplace procedures and practices including the use of risk control measures as specified in the Performance Criteria and range</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ListBullet2"/>
              <w:rPr>
                <w:lang w:val="en-NZ"/>
              </w:rPr>
            </w:pPr>
            <w:r w:rsidRPr="001D0DA6">
              <w:t>Apply sustainable energy principles and practices as specified in the Performance C</w:t>
            </w:r>
            <w:r w:rsidRPr="001D0DA6">
              <w:t>riteria and range</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ListBullet2"/>
              <w:rPr>
                <w:lang w:val="en-NZ"/>
              </w:rPr>
            </w:pPr>
            <w:r w:rsidRPr="001D0DA6">
              <w:t>Demonstrate an understanding of the required knowledge and skills as described in this unit to such an extent that the learner’s performance outcome is reported in accordance with the preferred approach; namely a percentile graded resu</w:t>
            </w:r>
            <w:r w:rsidRPr="001D0DA6">
              <w:t>lt, where required by the regulated environment</w:t>
            </w:r>
          </w:p>
        </w:tc>
      </w:tr>
      <w:tr w:rsidTr="001D0DA6">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ListBullet2"/>
              <w:rPr>
                <w:lang w:val="en-NZ"/>
              </w:rPr>
            </w:pPr>
            <w:r w:rsidRPr="001D0DA6">
              <w:t>Demonstrate an appropriate level of employability skills</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ListBullet2"/>
              <w:rPr>
                <w:lang w:val="en-NZ"/>
              </w:rPr>
            </w:pPr>
            <w:r w:rsidRPr="001D0DA6">
              <w:t>Conduct work observing the relevant anti-discrimination legislation, regulations, polices and workplace procedures</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1D0DA6" w:rsidP="001D0DA6">
            <w:pPr>
              <w:pStyle w:val="ListBullet"/>
            </w:pPr>
            <w:r w:rsidRPr="001D0DA6">
              <w:t>Demonstrate performance across a representative range of contexts from the prescribed items below.</w:t>
            </w:r>
          </w:p>
          <w:p w:rsidR="00000000" w:rsidRPr="001D0DA6" w:rsidP="001D0DA6">
            <w:pPr>
              <w:pStyle w:val="ListBullet2"/>
            </w:pPr>
            <w:r w:rsidRPr="001D0DA6">
              <w:t xml:space="preserve">Carrying out first response on a gas facility in accordance with relevant legislation, </w:t>
            </w:r>
            <w:r w:rsidRPr="001D0DA6">
              <w:t>code, regulations and procedures as described in 9.) Range Statement and including:</w:t>
            </w:r>
          </w:p>
          <w:p w:rsidR="00000000" w:rsidRPr="001D0DA6" w:rsidP="001D0DA6">
            <w:pPr>
              <w:pStyle w:val="BodyText"/>
            </w:pPr>
          </w:p>
        </w:tc>
      </w:tr>
    </w:tbl>
    <w:p w:rsidR="00000000" w:rsidRPr="001D0DA6" w:rsidP="001D0DA6">
      <w:pPr>
        <w:pStyle w:val="BodyText"/>
      </w:pPr>
    </w:p>
    <w:tbl>
      <w:tblPr>
        <w:tblW w:w="0" w:type="auto"/>
        <w:tblLayout w:type="fixed"/>
        <w:tblCellMar>
          <w:left w:w="62" w:type="dxa"/>
          <w:right w:w="62" w:type="dxa"/>
        </w:tblCellMar>
        <w:tblLook w:val="0000"/>
      </w:tblPr>
      <w:tblGrid>
        <w:gridCol w:w="2610"/>
        <w:gridCol w:w="900"/>
        <w:gridCol w:w="1773"/>
        <w:gridCol w:w="3177"/>
      </w:tblGrid>
      <w:tr w:rsidTr="001D0DA6">
        <w:tblPrEx>
          <w:tblW w:w="0" w:type="auto"/>
          <w:tblLayout w:type="fixed"/>
          <w:tblCellMar>
            <w:left w:w="62" w:type="dxa"/>
            <w:right w:w="62" w:type="dxa"/>
          </w:tblCellMar>
          <w:tblLook w:val="0000"/>
        </w:tblPrEx>
        <w:trPr>
          <w:trHeight w:val="286"/>
        </w:trPr>
        <w:tc>
          <w:tcPr>
            <w:tcW w:w="2610" w:type="dxa"/>
            <w:tcBorders>
              <w:top w:val="nil"/>
              <w:left w:val="nil"/>
              <w:bottom w:val="nil"/>
              <w:right w:val="nil"/>
            </w:tcBorders>
            <w:tcMar>
              <w:top w:w="0" w:type="dxa"/>
              <w:left w:w="62" w:type="dxa"/>
              <w:bottom w:w="0" w:type="dxa"/>
              <w:right w:w="62" w:type="dxa"/>
            </w:tcMar>
          </w:tcPr>
          <w:p w:rsidR="00000000" w:rsidRPr="001D0DA6">
            <w:pPr>
              <w:pStyle w:val="BodyText"/>
              <w:keepNext w:val="0"/>
              <w:keepLines w:val="0"/>
              <w:contextualSpacing w:val="0"/>
            </w:pPr>
          </w:p>
        </w:tc>
        <w:tc>
          <w:tcPr>
            <w:tcW w:w="585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DA6">
            <w:pPr>
              <w:pStyle w:val="BodyText"/>
              <w:rPr>
                <w:lang w:val="en-NZ"/>
              </w:rPr>
            </w:pPr>
            <w:r w:rsidRPr="001D0DA6">
              <w:rPr>
                <w:rStyle w:val="SpecialBold"/>
              </w:rPr>
              <w:t>Range of tools/equipment/procedures/workplace</w:t>
            </w:r>
          </w:p>
        </w:tc>
      </w:tr>
      <w:tr w:rsidTr="001D0DA6">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1D0DA6">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DA6" w:rsidP="001D0DA6">
            <w:pPr>
              <w:pStyle w:val="BodyText"/>
            </w:pPr>
            <w:r w:rsidRPr="001D0DA6">
              <w:rPr>
                <w:rStyle w:val="SpecialBold"/>
              </w:rPr>
              <w:t>Group No</w:t>
            </w:r>
          </w:p>
        </w:tc>
        <w:tc>
          <w:tcPr>
            <w:tcW w:w="1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DA6" w:rsidP="001D0DA6">
            <w:pPr>
              <w:pStyle w:val="BodyText"/>
            </w:pPr>
            <w:r w:rsidRPr="001D0DA6">
              <w:rPr>
                <w:rStyle w:val="SpecialBold"/>
              </w:rPr>
              <w:t>The minimum number of items on which skill is to be demonstrated</w:t>
            </w:r>
          </w:p>
        </w:tc>
        <w:tc>
          <w:tcPr>
            <w:tcW w:w="3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DA6">
            <w:pPr>
              <w:pStyle w:val="BodyText"/>
              <w:rPr>
                <w:lang w:val="en-NZ"/>
              </w:rPr>
            </w:pPr>
            <w:r w:rsidRPr="001D0DA6">
              <w:rPr>
                <w:rStyle w:val="SpecialBold"/>
              </w:rPr>
              <w:t>Item List</w:t>
            </w:r>
          </w:p>
        </w:tc>
      </w:tr>
      <w:tr w:rsidTr="001D0DA6">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1D0DA6">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DA6">
            <w:pPr>
              <w:pStyle w:val="BodyText"/>
              <w:rPr>
                <w:lang w:val="en-NZ"/>
              </w:rPr>
            </w:pPr>
            <w:r w:rsidRPr="001D0DA6">
              <w:rPr>
                <w:rStyle w:val="SpecialBold"/>
              </w:rPr>
              <w:t>A</w:t>
            </w:r>
          </w:p>
        </w:tc>
        <w:tc>
          <w:tcPr>
            <w:tcW w:w="1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DA6">
            <w:pPr>
              <w:pStyle w:val="BodyText"/>
              <w:rPr>
                <w:lang w:val="en-NZ"/>
              </w:rPr>
            </w:pPr>
            <w:r w:rsidRPr="001D0DA6">
              <w:t>All</w:t>
            </w:r>
          </w:p>
        </w:tc>
        <w:tc>
          <w:tcPr>
            <w:tcW w:w="3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DA6" w:rsidP="001D0DA6">
            <w:pPr>
              <w:pStyle w:val="ListBullet"/>
            </w:pPr>
            <w:r w:rsidRPr="001D0DA6">
              <w:t xml:space="preserve">Identify threats to the integrity of transmission pipeline facility </w:t>
            </w:r>
          </w:p>
          <w:p w:rsidR="00000000" w:rsidRPr="001D0DA6" w:rsidP="001D0DA6">
            <w:pPr>
              <w:pStyle w:val="ListBullet"/>
            </w:pPr>
            <w:r w:rsidRPr="001D0DA6">
              <w:t>Evaluate threats to the integrity of transmission pipeline facility</w:t>
            </w:r>
          </w:p>
          <w:p w:rsidR="00000000" w:rsidRPr="001D0DA6" w:rsidP="001D0DA6">
            <w:pPr>
              <w:pStyle w:val="ListBullet"/>
            </w:pPr>
            <w:r w:rsidRPr="001D0DA6">
              <w:t xml:space="preserve">Initial control of threats to the integrity of transmission pipeline facility  </w:t>
            </w:r>
          </w:p>
          <w:p w:rsidR="00000000" w:rsidRPr="001D0DA6" w:rsidP="001D0DA6">
            <w:pPr>
              <w:pStyle w:val="ListBullet"/>
            </w:pPr>
            <w:r w:rsidRPr="001D0DA6">
              <w:t xml:space="preserve">Working knowledge of relevant sections the latest edition of AS2885 </w:t>
            </w:r>
          </w:p>
          <w:p w:rsidR="00000000" w:rsidRPr="001D0DA6" w:rsidP="001D0DA6">
            <w:pPr>
              <w:pStyle w:val="ListBullet"/>
            </w:pPr>
            <w:r w:rsidRPr="001D0DA6">
              <w:t>Working knowledge of the station function including identification of abnormal conditions of stations and reporting</w:t>
            </w:r>
          </w:p>
          <w:p w:rsidR="00000000" w:rsidRPr="001D0DA6" w:rsidP="001D0DA6">
            <w:pPr>
              <w:pStyle w:val="ListBullet"/>
            </w:pPr>
            <w:r w:rsidRPr="001D0DA6">
              <w:t xml:space="preserve">Working knowledge of MSDS </w:t>
            </w:r>
          </w:p>
          <w:p w:rsidR="00000000" w:rsidRPr="001D0DA6" w:rsidP="001D0DA6">
            <w:pPr>
              <w:pStyle w:val="ListBullet"/>
            </w:pPr>
            <w:r w:rsidRPr="001D0DA6">
              <w:t>Operation of multi meters</w:t>
            </w:r>
          </w:p>
          <w:p w:rsidR="00000000" w:rsidP="001D0DA6">
            <w:pPr>
              <w:pStyle w:val="ListBullet"/>
              <w:rPr>
                <w:lang w:val="en-NZ"/>
              </w:rPr>
            </w:pPr>
            <w:r w:rsidRPr="001D0DA6">
              <w:t xml:space="preserve">Working knowledge </w:t>
            </w:r>
            <w:r w:rsidRPr="001D0DA6">
              <w:t>of pipeline licence conditions</w:t>
            </w:r>
          </w:p>
        </w:tc>
      </w:tr>
      <w:tr w:rsidTr="001D0DA6">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1D0DA6">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DA6">
            <w:pPr>
              <w:pStyle w:val="BodyText"/>
              <w:rPr>
                <w:lang w:val="en-NZ"/>
              </w:rPr>
            </w:pPr>
            <w:r w:rsidRPr="001D0DA6">
              <w:rPr>
                <w:rStyle w:val="SpecialBold"/>
              </w:rPr>
              <w:t>B</w:t>
            </w:r>
          </w:p>
        </w:tc>
        <w:tc>
          <w:tcPr>
            <w:tcW w:w="1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DA6">
            <w:pPr>
              <w:pStyle w:val="BodyText"/>
              <w:rPr>
                <w:lang w:val="en-NZ"/>
              </w:rPr>
            </w:pPr>
            <w:r w:rsidRPr="001D0DA6">
              <w:t>All</w:t>
            </w:r>
          </w:p>
        </w:tc>
        <w:tc>
          <w:tcPr>
            <w:tcW w:w="3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DA6" w:rsidP="001D0DA6">
            <w:pPr>
              <w:pStyle w:val="ListBullet"/>
            </w:pPr>
            <w:r w:rsidRPr="001D0DA6">
              <w:t>Interpret technical drawings and symbols</w:t>
            </w:r>
          </w:p>
          <w:p w:rsidR="00000000" w:rsidRPr="001D0DA6" w:rsidP="001D0DA6">
            <w:pPr>
              <w:pStyle w:val="ListBullet"/>
            </w:pPr>
            <w:r w:rsidRPr="001D0DA6">
              <w:t>Operation of gas detector</w:t>
            </w:r>
          </w:p>
          <w:p w:rsidR="00000000" w:rsidRPr="001D0DA6" w:rsidP="001D0DA6">
            <w:pPr>
              <w:pStyle w:val="ListBullet"/>
            </w:pPr>
            <w:r w:rsidRPr="001D0DA6">
              <w:t>Emergency response procedures</w:t>
            </w:r>
          </w:p>
          <w:p w:rsidR="00000000" w:rsidRPr="001D0DA6" w:rsidP="001D0DA6">
            <w:pPr>
              <w:pStyle w:val="ListBullet"/>
            </w:pPr>
            <w:r w:rsidRPr="001D0DA6">
              <w:t>Operate pipe locater</w:t>
            </w:r>
          </w:p>
          <w:p w:rsidR="00000000" w:rsidRPr="001D0DA6" w:rsidP="001D0DA6">
            <w:pPr>
              <w:pStyle w:val="ListBullet"/>
            </w:pPr>
            <w:r w:rsidRPr="001D0DA6">
              <w:t>Work utilising relevant OHS legislation, regulations, codes of practice, policies and procedures</w:t>
            </w:r>
          </w:p>
          <w:p w:rsidR="00000000" w:rsidRPr="001D0DA6" w:rsidP="001D0DA6">
            <w:pPr>
              <w:pStyle w:val="ListBullet"/>
            </w:pPr>
            <w:r w:rsidRPr="001D0DA6">
              <w:t>Practical knowledge of the properties of product being transported</w:t>
            </w:r>
          </w:p>
          <w:p w:rsidR="00000000" w:rsidRPr="001D0DA6" w:rsidP="001D0DA6">
            <w:pPr>
              <w:pStyle w:val="ListBullet"/>
            </w:pPr>
            <w:r w:rsidRPr="001D0DA6">
              <w:t>Maintain a safe and clean workplace</w:t>
            </w:r>
          </w:p>
          <w:p w:rsidR="00000000" w:rsidRPr="001D0DA6" w:rsidP="001D0DA6">
            <w:pPr>
              <w:pStyle w:val="ListBullet"/>
            </w:pPr>
            <w:r w:rsidRPr="001D0DA6">
              <w:t>Work safely with hazardous materials and equipment</w:t>
            </w:r>
          </w:p>
          <w:p w:rsidR="00000000" w:rsidRPr="001D0DA6" w:rsidP="001D0DA6">
            <w:pPr>
              <w:pStyle w:val="ListBullet"/>
            </w:pPr>
            <w:r w:rsidRPr="001D0DA6">
              <w:t>Apply safe manual handling techniques</w:t>
            </w:r>
          </w:p>
          <w:p w:rsidR="00000000" w:rsidRPr="001D0DA6" w:rsidP="001D0DA6">
            <w:pPr>
              <w:pStyle w:val="ListBullet"/>
            </w:pPr>
            <w:r w:rsidRPr="001D0DA6">
              <w:t>Communicate effectively in the workplace</w:t>
            </w:r>
          </w:p>
          <w:p w:rsidR="00000000" w:rsidRPr="001D0DA6" w:rsidP="001D0DA6">
            <w:pPr>
              <w:pStyle w:val="ListBullet"/>
            </w:pPr>
            <w:r w:rsidRPr="001D0DA6">
              <w:t>Negotiation skills</w:t>
            </w:r>
          </w:p>
          <w:p w:rsidR="00000000" w:rsidRPr="001D0DA6" w:rsidP="001D0DA6">
            <w:pPr>
              <w:pStyle w:val="ListBullet"/>
            </w:pPr>
            <w:r w:rsidRPr="001D0DA6">
              <w:t>Appl</w:t>
            </w:r>
            <w:r w:rsidRPr="001D0DA6">
              <w:t>y basic planning skills</w:t>
            </w:r>
          </w:p>
          <w:p w:rsidR="00000000" w:rsidP="001D0DA6">
            <w:pPr>
              <w:pStyle w:val="ListBullet"/>
              <w:rPr>
                <w:lang w:val="en-NZ"/>
              </w:rPr>
            </w:pPr>
            <w:r w:rsidRPr="001D0DA6">
              <w:t>First Aid certificate level 1</w:t>
            </w:r>
          </w:p>
        </w:tc>
      </w:tr>
      <w:tr w:rsidTr="001D0DA6">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1D0DA6">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DA6">
            <w:pPr>
              <w:pStyle w:val="BodyText"/>
              <w:rPr>
                <w:lang w:val="en-NZ"/>
              </w:rPr>
            </w:pPr>
            <w:r w:rsidRPr="001D0DA6">
              <w:rPr>
                <w:rStyle w:val="SpecialBold"/>
              </w:rPr>
              <w:t>C</w:t>
            </w:r>
          </w:p>
        </w:tc>
        <w:tc>
          <w:tcPr>
            <w:tcW w:w="1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DA6">
            <w:pPr>
              <w:pStyle w:val="BodyText"/>
              <w:rPr>
                <w:lang w:val="en-NZ"/>
              </w:rPr>
            </w:pPr>
            <w:r w:rsidRPr="001D0DA6">
              <w:t>At least one occasion</w:t>
            </w:r>
          </w:p>
        </w:tc>
        <w:tc>
          <w:tcPr>
            <w:tcW w:w="3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DA6" w:rsidP="001D0DA6">
            <w:pPr>
              <w:pStyle w:val="BodyText"/>
            </w:pPr>
            <w:r w:rsidRPr="001D0DA6">
              <w:t xml:space="preserve">Deal with an unplanned event by drawing on required knowledge and skills to provide appropriate solutions incorporated in the holistic assessment with the above listed items </w:t>
            </w:r>
          </w:p>
        </w:tc>
      </w:tr>
    </w:tbl>
    <w:p w:rsidR="00000000" w:rsidRPr="001D0DA6" w:rsidP="001D0DA6">
      <w:pPr>
        <w:pStyle w:val="BodyText"/>
      </w:pPr>
    </w:p>
    <w:tbl>
      <w:tblPr>
        <w:tblW w:w="0" w:type="auto"/>
        <w:tblLayout w:type="fixed"/>
        <w:tblCellMar>
          <w:left w:w="62" w:type="dxa"/>
          <w:right w:w="62" w:type="dxa"/>
        </w:tblCellMar>
        <w:tblLook w:val="0000"/>
      </w:tblPr>
      <w:tblGrid>
        <w:gridCol w:w="1828"/>
        <w:gridCol w:w="6570"/>
      </w:tblGrid>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8.3)</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This unit contains Employability Skills</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This unit should be assessed as it relates to normal work practice using procedures, information and resources typical of a workplace. This should include:</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ListBullet"/>
              <w:rPr>
                <w:lang w:val="en-NZ"/>
              </w:rPr>
            </w:pPr>
            <w:r w:rsidRPr="001D0DA6">
              <w:t>OHS policy and work procedures and instructions.</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ListBullet"/>
              <w:rPr>
                <w:lang w:val="en-NZ"/>
              </w:rPr>
            </w:pPr>
            <w:r w:rsidRPr="001D0DA6">
              <w:t>Suitable work environment, facilities, equipment and materials to undertake actual work as prescribed by this Competency Standard Unit.</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ListBullet"/>
              <w:rPr>
                <w:lang w:val="en-NZ"/>
              </w:rPr>
            </w:pPr>
            <w:r w:rsidRPr="001D0DA6">
              <w:t>Appropriate environmental regulation and work practices.</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ListBullet"/>
              <w:rPr>
                <w:lang w:val="en-NZ"/>
              </w:rPr>
            </w:pPr>
            <w:r w:rsidRPr="001D0DA6">
              <w:t>Appropriate organisational requirements.</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ListBullet"/>
              <w:rPr>
                <w:lang w:val="en-NZ"/>
              </w:rPr>
            </w:pPr>
            <w:r w:rsidRPr="001D0DA6">
              <w:t>Appropriate work environment, equipment and tools.</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 xml:space="preserve">In addition to the resources listed above in, Context of and specific resources for assessment, evidence should show demonstrated </w:t>
            </w:r>
            <w:r w:rsidRPr="001D0DA6">
              <w:t xml:space="preserve">competency of first response </w:t>
            </w:r>
            <w:r w:rsidRPr="001D0DA6">
              <w:t>to a facility event.</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Assessment of this competency must also be undertaken in either an actual workplace or under a simulated work environment. Assessment must also integrate the employability skills.</w:t>
            </w:r>
          </w:p>
        </w:tc>
      </w:tr>
    </w:tbl>
    <w:p w:rsidR="00000000" w:rsidRPr="001D0DA6" w:rsidP="001D0DA6">
      <w:pPr>
        <w:pStyle w:val="BodyText"/>
      </w:pPr>
    </w:p>
    <w:tbl>
      <w:tblPr>
        <w:tblW w:w="0" w:type="auto"/>
        <w:tblLayout w:type="fixed"/>
        <w:tblCellMar>
          <w:left w:w="62" w:type="dxa"/>
          <w:right w:w="62" w:type="dxa"/>
        </w:tblCellMar>
        <w:tblLook w:val="0000"/>
      </w:tblPr>
      <w:tblGrid>
        <w:gridCol w:w="1828"/>
        <w:gridCol w:w="6570"/>
      </w:tblGrid>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8.4)</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This Competency Standard Unit shall be assessed by methods given in Volume 1, Part 3 ‘Assessment Guidelines’.</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Note: Competent performance with inherent safe working practices is expected in the Industry to which this Competency Standard Unit applies. Thi</w:t>
            </w:r>
            <w:r w:rsidRPr="001D0DA6">
              <w:t>s requires that the specified required Knowledge and Skills are assessed in a structured environment which is primarily intended for learning/assessment and incorporates all necessary equipment and facilities for learners to develop and demonstrate the req</w:t>
            </w:r>
            <w:r w:rsidRPr="001D0DA6">
              <w:t>uired knowledge and skills described in this unit.</w:t>
            </w:r>
          </w:p>
        </w:tc>
      </w:tr>
    </w:tbl>
    <w:p w:rsidR="00000000" w:rsidRPr="001D0DA6" w:rsidP="001D0DA6">
      <w:pPr>
        <w:pStyle w:val="BodyText"/>
      </w:pPr>
    </w:p>
    <w:tbl>
      <w:tblPr>
        <w:tblW w:w="0" w:type="auto"/>
        <w:tblLayout w:type="fixed"/>
        <w:tblCellMar>
          <w:left w:w="62" w:type="dxa"/>
          <w:right w:w="62" w:type="dxa"/>
        </w:tblCellMar>
        <w:tblLook w:val="0000"/>
      </w:tblPr>
      <w:tblGrid>
        <w:gridCol w:w="1828"/>
        <w:gridCol w:w="2000"/>
        <w:gridCol w:w="4632"/>
      </w:tblGrid>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Concurrent assessment and relationship with other units</w:t>
            </w:r>
          </w:p>
        </w:tc>
        <w:tc>
          <w:tcPr>
            <w:tcW w:w="6632" w:type="dxa"/>
            <w:gridSpan w:val="2"/>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8.5)</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2" w:type="dxa"/>
            <w:gridSpan w:val="2"/>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There are no recommended concurrent assessments with this unit, however in some cases efficiencies may be gained in terms of learning and assessment effort being concurrently managed with allied Competency Standard Units where listed.</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UEGNSG342A</w:t>
            </w:r>
          </w:p>
        </w:tc>
        <w:tc>
          <w:tcPr>
            <w:tcW w:w="4632"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Maintai</w:t>
            </w:r>
            <w:r w:rsidRPr="001D0DA6">
              <w:t>n pipeline easements</w:t>
            </w:r>
          </w:p>
        </w:tc>
      </w:tr>
      <w:tr w:rsidTr="001D0DA6">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UEGNSG353A</w:t>
            </w:r>
          </w:p>
        </w:tc>
        <w:tc>
          <w:tcPr>
            <w:tcW w:w="4632"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Carry out surveillance of gas transmission pipelines</w:t>
            </w:r>
          </w:p>
        </w:tc>
      </w:tr>
      <w:tr w:rsidTr="001D0DA6">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UEGNSG221A</w:t>
            </w:r>
          </w:p>
        </w:tc>
        <w:tc>
          <w:tcPr>
            <w:tcW w:w="4632"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 xml:space="preserve">First on site response to a gas pipeline emergency </w:t>
            </w:r>
          </w:p>
        </w:tc>
      </w:tr>
    </w:tbl>
    <w:p w:rsidR="001303E9" w:rsidP="001D0DA6">
      <w:pPr>
        <w:pStyle w:val="BodyText"/>
      </w:pPr>
    </w:p>
    <w:p w:rsidR="001303E9" w:rsidP="001D0DA6">
      <w:pPr>
        <w:pStyle w:val="BodyText"/>
      </w:pPr>
    </w:p>
    <w:p w:rsidR="00000000" w:rsidRPr="001D0DA6" w:rsidP="001D0DA6">
      <w:pPr>
        <w:pStyle w:val="Heading1"/>
      </w:pPr>
      <w:bookmarkStart w:id="11" w:name="O_621355"/>
      <w:bookmarkEnd w:id="11"/>
      <w:r w:rsidRPr="001D0DA6">
        <w:t>Range Statement</w:t>
      </w:r>
    </w:p>
    <w:tbl>
      <w:tblPr>
        <w:tblW w:w="0" w:type="auto"/>
        <w:tblLayout w:type="fixed"/>
        <w:tblCellMar>
          <w:left w:w="62" w:type="dxa"/>
          <w:right w:w="62" w:type="dxa"/>
        </w:tblCellMar>
        <w:tblLook w:val="0000"/>
      </w:tblPr>
      <w:tblGrid>
        <w:gridCol w:w="8398"/>
      </w:tblGrid>
      <w:tr w:rsidTr="001D0DA6">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RANGE STATEMENT</w:t>
            </w:r>
          </w:p>
        </w:tc>
      </w:tr>
      <w:tr w:rsidTr="001D0DA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9)</w:t>
            </w:r>
            <w:r w:rsidRPr="001D0DA6">
              <w:t xml:space="preserve"> </w:t>
            </w:r>
            <w:r w:rsidRPr="001D0DA6">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1D0DA6">
        <w:tblPrEx>
          <w:tblW w:w="0" w:type="auto"/>
          <w:tblLayout w:type="fixed"/>
          <w:tblCellMar>
            <w:left w:w="62" w:type="dxa"/>
            <w:right w:w="62" w:type="dxa"/>
          </w:tblCellMar>
          <w:tblLook w:val="0000"/>
        </w:tblPrEx>
        <w:trPr>
          <w:trHeight w:val="602"/>
        </w:trPr>
        <w:tc>
          <w:tcPr>
            <w:tcW w:w="839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This Competency Standard</w:t>
            </w:r>
            <w:r w:rsidRPr="001D0DA6">
              <w:t xml:space="preserve"> Unit shall be demonstrated in relation to performing first response to a gas facility event</w:t>
            </w:r>
          </w:p>
        </w:tc>
      </w:tr>
      <w:tr w:rsidTr="001D0DA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t xml:space="preserve">The following constants and variables included in the element/Performance Criteria in this unit are fully described in the Definitions Section of this volume and </w:t>
            </w:r>
            <w:r w:rsidRPr="001D0DA6">
              <w:t>form an integral part of the Range Statement of this unit:</w:t>
            </w:r>
          </w:p>
        </w:tc>
      </w:tr>
      <w:tr w:rsidTr="001D0DA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D0DA6">
            <w:pPr>
              <w:pStyle w:val="ListBullet"/>
              <w:rPr>
                <w:lang w:val="en-NZ"/>
              </w:rPr>
            </w:pPr>
            <w:r w:rsidRPr="001D0DA6">
              <w:t>Tools and equipment</w:t>
            </w:r>
          </w:p>
        </w:tc>
      </w:tr>
      <w:tr w:rsidTr="001D0DA6">
        <w:tblPrEx>
          <w:tblW w:w="0" w:type="auto"/>
          <w:tblLayout w:type="fixed"/>
          <w:tblCellMar>
            <w:left w:w="62" w:type="dxa"/>
            <w:right w:w="62" w:type="dxa"/>
          </w:tblCellMar>
          <w:tblLook w:val="0000"/>
        </w:tblPrEx>
        <w:trPr>
          <w:trHeight w:val="361"/>
        </w:trPr>
        <w:tc>
          <w:tcPr>
            <w:tcW w:w="8398" w:type="dxa"/>
            <w:tcBorders>
              <w:top w:val="nil"/>
              <w:left w:val="nil"/>
              <w:bottom w:val="nil"/>
              <w:right w:val="nil"/>
            </w:tcBorders>
            <w:tcMar>
              <w:top w:w="0" w:type="dxa"/>
              <w:left w:w="62" w:type="dxa"/>
              <w:bottom w:w="0" w:type="dxa"/>
              <w:right w:w="62" w:type="dxa"/>
            </w:tcMar>
          </w:tcPr>
          <w:p w:rsidR="00000000" w:rsidP="001D0DA6">
            <w:pPr>
              <w:pStyle w:val="ListBullet"/>
              <w:rPr>
                <w:lang w:val="en-NZ"/>
              </w:rPr>
            </w:pPr>
            <w:r w:rsidRPr="001D0DA6">
              <w:t>Maps and drawings</w:t>
            </w:r>
          </w:p>
        </w:tc>
      </w:tr>
      <w:tr w:rsidTr="001D0DA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D0DA6">
            <w:pPr>
              <w:pStyle w:val="ListBullet"/>
              <w:rPr>
                <w:lang w:val="en-NZ"/>
              </w:rPr>
            </w:pPr>
            <w:r w:rsidRPr="001D0DA6">
              <w:t>Established procedures</w:t>
            </w:r>
          </w:p>
        </w:tc>
      </w:tr>
      <w:tr w:rsidTr="001D0DA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D0DA6">
            <w:pPr>
              <w:pStyle w:val="ListBullet"/>
              <w:rPr>
                <w:lang w:val="en-NZ"/>
              </w:rPr>
            </w:pPr>
            <w:r w:rsidRPr="001D0DA6">
              <w:t>PPE and First Aid equipment</w:t>
            </w:r>
          </w:p>
        </w:tc>
      </w:tr>
      <w:tr w:rsidTr="001D0DA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D0DA6">
            <w:pPr>
              <w:pStyle w:val="ListBullet"/>
              <w:rPr>
                <w:lang w:val="en-NZ"/>
              </w:rPr>
            </w:pPr>
            <w:r w:rsidRPr="001D0DA6">
              <w:t>Traffic control</w:t>
            </w:r>
          </w:p>
        </w:tc>
      </w:tr>
      <w:tr w:rsidTr="001D0DA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D0DA6">
            <w:pPr>
              <w:pStyle w:val="ListBullet"/>
              <w:rPr>
                <w:lang w:val="en-NZ"/>
              </w:rPr>
            </w:pPr>
            <w:r w:rsidRPr="001D0DA6">
              <w:t>Facility</w:t>
            </w:r>
          </w:p>
        </w:tc>
      </w:tr>
      <w:tr w:rsidTr="001D0DA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1D0DA6" w:rsidP="001D0DA6">
            <w:pPr>
              <w:pStyle w:val="ListBullet"/>
            </w:pPr>
            <w:r w:rsidRPr="001D0DA6">
              <w:t>Event</w:t>
            </w:r>
          </w:p>
        </w:tc>
      </w:tr>
    </w:tbl>
    <w:p w:rsidR="001303E9" w:rsidP="001D0DA6">
      <w:pPr>
        <w:pStyle w:val="BodyText"/>
      </w:pPr>
    </w:p>
    <w:p w:rsidR="001303E9" w:rsidP="001D0DA6">
      <w:pPr>
        <w:pStyle w:val="BodyText"/>
      </w:pPr>
    </w:p>
    <w:p w:rsidR="00000000" w:rsidRPr="001D0DA6" w:rsidP="001D0DA6">
      <w:pPr>
        <w:pStyle w:val="Heading1"/>
      </w:pPr>
      <w:bookmarkStart w:id="12" w:name="O_621356"/>
      <w:bookmarkEnd w:id="12"/>
      <w:r w:rsidRPr="001D0DA6">
        <w:t>Unit Sector(s)</w:t>
      </w:r>
    </w:p>
    <w:p w:rsidR="001303E9" w:rsidP="001D0DA6">
      <w:pPr>
        <w:pStyle w:val="BodyText"/>
      </w:pPr>
      <w:r w:rsidRPr="001D0DA6">
        <w:t>Gas Supply Industry</w:t>
      </w:r>
    </w:p>
    <w:p w:rsidR="001303E9" w:rsidP="001D0DA6">
      <w:pPr>
        <w:pStyle w:val="BodyText"/>
      </w:pPr>
    </w:p>
    <w:p w:rsidR="00000000" w:rsidRPr="001D0DA6" w:rsidP="001D0DA6">
      <w:pPr>
        <w:pStyle w:val="Heading1"/>
      </w:pPr>
      <w:bookmarkStart w:id="13" w:name="O_621357"/>
      <w:bookmarkEnd w:id="13"/>
      <w:r w:rsidRPr="001D0DA6">
        <w:t>Competency Field</w:t>
      </w:r>
    </w:p>
    <w:tbl>
      <w:tblPr>
        <w:tblW w:w="0" w:type="auto"/>
        <w:tblLayout w:type="fixed"/>
        <w:tblCellMar>
          <w:left w:w="62" w:type="dxa"/>
          <w:right w:w="62" w:type="dxa"/>
        </w:tblCellMar>
        <w:tblLook w:val="0000"/>
      </w:tblPr>
      <w:tblGrid>
        <w:gridCol w:w="2638"/>
        <w:gridCol w:w="5760"/>
      </w:tblGrid>
      <w:tr w:rsidTr="001D0DA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D0DA6">
            <w:pPr>
              <w:pStyle w:val="BodyText"/>
              <w:rPr>
                <w:lang w:val="en-NZ"/>
              </w:rPr>
            </w:pPr>
            <w:r w:rsidRPr="001D0DA6">
              <w:rPr>
                <w:rStyle w:val="SpecialBold"/>
              </w:rPr>
              <w:t xml:space="preserve">10) </w:t>
            </w:r>
          </w:p>
        </w:tc>
      </w:tr>
      <w:tr w:rsidTr="001D0DA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0DA6" w:rsidP="001D0DA6">
            <w:pPr>
              <w:pStyle w:val="BodyText"/>
            </w:pPr>
            <w:r w:rsidRPr="001D0DA6">
              <w:t>Transmission.</w:t>
            </w:r>
          </w:p>
        </w:tc>
      </w:tr>
    </w:tbl>
    <w:p w:rsidR="001303E9" w:rsidP="001D0DA6">
      <w:pPr>
        <w:pStyle w:val="BodyText"/>
      </w:pPr>
    </w:p>
    <w:p w:rsidR="001303E9" w:rsidP="001D0DA6">
      <w:pPr>
        <w:pStyle w:val="BodyText"/>
      </w:pPr>
    </w:p>
    <w:p w:rsidR="00000000" w:rsidRPr="001D0DA6" w:rsidP="001D0DA6"/>
    <w:sectPr w:rsidSect="001D0D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A6" w:rsidRPr="001303E9" w:rsidP="00130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E9" w:rsidP="001D0D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1303E9" w:rsidP="001D0DA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303E9" w:rsidP="001D0D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A6" w:rsidRPr="001303E9" w:rsidP="001303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E9" w:rsidRPr="002D2AF8" w:rsidP="001D0DA6">
    <w:pPr>
      <w:pStyle w:val="Header"/>
      <w:framePr w:wrap="around"/>
    </w:pPr>
    <w:r>
      <w:fldChar w:fldCharType="begin"/>
    </w:r>
    <w:r>
      <w:instrText xml:space="preserve"> TITLE   \* MERGEFORMAT </w:instrText>
    </w:r>
    <w:r>
      <w:fldChar w:fldCharType="separate"/>
    </w:r>
    <w:r>
      <w:t>UEGNSG350A First response to a gas facility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1303E9" w:rsidP="001D0D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B60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42D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0F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D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DA6"/>
    <w:pPr>
      <w:spacing w:before="360" w:after="60"/>
      <w:outlineLvl w:val="0"/>
    </w:pPr>
    <w:rPr>
      <w:sz w:val="32"/>
    </w:rPr>
  </w:style>
  <w:style w:type="paragraph" w:styleId="Heading2">
    <w:name w:val="heading 2"/>
    <w:basedOn w:val="HeadingBase"/>
    <w:next w:val="BodyText"/>
    <w:link w:val="Heading2Char"/>
    <w:qFormat/>
    <w:rsid w:val="001D0DA6"/>
    <w:pPr>
      <w:keepLines/>
      <w:spacing w:before="240" w:after="120"/>
      <w:outlineLvl w:val="1"/>
    </w:pPr>
    <w:rPr>
      <w:sz w:val="28"/>
      <w:szCs w:val="40"/>
    </w:rPr>
  </w:style>
  <w:style w:type="paragraph" w:styleId="Heading3">
    <w:name w:val="heading 3"/>
    <w:basedOn w:val="HeadingBase"/>
    <w:next w:val="BodyText"/>
    <w:link w:val="Heading3Char"/>
    <w:qFormat/>
    <w:rsid w:val="001D0DA6"/>
    <w:pPr>
      <w:spacing w:before="180" w:after="120"/>
      <w:outlineLvl w:val="2"/>
    </w:pPr>
    <w:rPr>
      <w:spacing w:val="-10"/>
      <w:kern w:val="32"/>
    </w:rPr>
  </w:style>
  <w:style w:type="paragraph" w:styleId="Heading4">
    <w:name w:val="heading 4"/>
    <w:basedOn w:val="HeadingBase"/>
    <w:next w:val="BodyText"/>
    <w:link w:val="Heading4Char"/>
    <w:qFormat/>
    <w:rsid w:val="001D0DA6"/>
    <w:pPr>
      <w:spacing w:before="160" w:after="120"/>
      <w:outlineLvl w:val="3"/>
    </w:pPr>
    <w:rPr>
      <w:sz w:val="22"/>
    </w:rPr>
  </w:style>
  <w:style w:type="paragraph" w:styleId="Heading5">
    <w:name w:val="heading 5"/>
    <w:basedOn w:val="HeadingBase"/>
    <w:next w:val="Normal"/>
    <w:link w:val="Heading5Char"/>
    <w:qFormat/>
    <w:rsid w:val="001D0DA6"/>
    <w:pPr>
      <w:spacing w:before="80"/>
      <w:outlineLvl w:val="4"/>
    </w:pPr>
    <w:rPr>
      <w:color w:val="918585"/>
      <w:sz w:val="20"/>
    </w:rPr>
  </w:style>
  <w:style w:type="paragraph" w:styleId="Heading6">
    <w:name w:val="heading 6"/>
    <w:basedOn w:val="HeadingBase"/>
    <w:next w:val="Normal"/>
    <w:link w:val="Heading6Char"/>
    <w:qFormat/>
    <w:rsid w:val="001D0DA6"/>
    <w:pPr>
      <w:spacing w:before="60"/>
      <w:outlineLvl w:val="5"/>
    </w:pPr>
    <w:rPr>
      <w:color w:val="918585"/>
      <w:sz w:val="20"/>
    </w:rPr>
  </w:style>
  <w:style w:type="paragraph" w:styleId="Heading7">
    <w:name w:val="heading 7"/>
    <w:basedOn w:val="Normal"/>
    <w:next w:val="Normal"/>
    <w:link w:val="Heading7Char"/>
    <w:qFormat/>
    <w:rsid w:val="001D0DA6"/>
    <w:pPr>
      <w:ind w:left="720"/>
      <w:outlineLvl w:val="6"/>
    </w:pPr>
    <w:rPr>
      <w:i/>
    </w:rPr>
  </w:style>
  <w:style w:type="paragraph" w:styleId="Heading8">
    <w:name w:val="heading 8"/>
    <w:basedOn w:val="Normal"/>
    <w:next w:val="Normal"/>
    <w:link w:val="Heading8Char"/>
    <w:qFormat/>
    <w:rsid w:val="001D0DA6"/>
    <w:pPr>
      <w:ind w:left="720"/>
      <w:outlineLvl w:val="7"/>
    </w:pPr>
    <w:rPr>
      <w:i/>
    </w:rPr>
  </w:style>
  <w:style w:type="paragraph" w:styleId="Heading9">
    <w:name w:val="heading 9"/>
    <w:basedOn w:val="Normal"/>
    <w:next w:val="Normal"/>
    <w:link w:val="Heading9Char"/>
    <w:qFormat/>
    <w:rsid w:val="001D0DA6"/>
    <w:pPr>
      <w:ind w:left="720"/>
      <w:outlineLvl w:val="8"/>
    </w:pPr>
    <w:rPr>
      <w:i/>
    </w:rPr>
  </w:style>
  <w:style w:type="character" w:default="1" w:styleId="DefaultParagraphFont">
    <w:name w:val="Default Paragraph Font"/>
    <w:uiPriority w:val="1"/>
    <w:unhideWhenUsed/>
    <w:rsid w:val="001D0D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DA6"/>
  </w:style>
  <w:style w:type="character" w:customStyle="1" w:styleId="Heading1Char">
    <w:name w:val="Heading 1 Char"/>
    <w:basedOn w:val="DefaultParagraphFont"/>
    <w:link w:val="Heading1"/>
    <w:rsid w:val="001D0DA6"/>
    <w:rPr>
      <w:rFonts w:ascii="Times New Roman" w:eastAsia="Times New Roman" w:hAnsi="Times New Roman" w:cs="Times New Roman"/>
      <w:b/>
      <w:sz w:val="32"/>
      <w:szCs w:val="20"/>
      <w:lang w:eastAsia="en-US"/>
    </w:rPr>
  </w:style>
  <w:style w:type="paragraph" w:styleId="BodyText">
    <w:name w:val="Body Text"/>
    <w:basedOn w:val="Normal"/>
    <w:link w:val="BodyTextChar"/>
    <w:rsid w:val="001D0D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0DA6"/>
    <w:rPr>
      <w:rFonts w:ascii="Times New Roman" w:eastAsia="Times New Roman" w:hAnsi="Times New Roman" w:cs="Times New Roman"/>
      <w:sz w:val="24"/>
      <w:lang w:eastAsia="en-US"/>
    </w:rPr>
  </w:style>
  <w:style w:type="paragraph" w:styleId="ListBullet">
    <w:name w:val="List Bullet"/>
    <w:basedOn w:val="List"/>
    <w:rsid w:val="001D0DA6"/>
    <w:pPr>
      <w:numPr>
        <w:numId w:val="13"/>
      </w:numPr>
      <w:tabs>
        <w:tab w:val="clear" w:pos="340"/>
      </w:tabs>
      <w:spacing w:before="40" w:after="40"/>
    </w:pPr>
  </w:style>
  <w:style w:type="character" w:customStyle="1" w:styleId="SpecialBold">
    <w:name w:val="Special Bold"/>
    <w:basedOn w:val="DefaultParagraphFont"/>
    <w:rsid w:val="001D0DA6"/>
    <w:rPr>
      <w:b/>
      <w:spacing w:val="0"/>
    </w:rPr>
  </w:style>
  <w:style w:type="paragraph" w:styleId="ListBullet2">
    <w:name w:val="List Bullet 2"/>
    <w:basedOn w:val="List2"/>
    <w:rsid w:val="001D0DA6"/>
    <w:pPr>
      <w:numPr>
        <w:numId w:val="14"/>
      </w:numPr>
      <w:tabs>
        <w:tab w:val="clear" w:pos="680"/>
      </w:tabs>
    </w:pPr>
  </w:style>
  <w:style w:type="character" w:styleId="Emphasis">
    <w:name w:val="Emphasis"/>
    <w:basedOn w:val="DefaultParagraphFont"/>
    <w:qFormat/>
    <w:rsid w:val="001D0DA6"/>
    <w:rPr>
      <w:i/>
    </w:rPr>
  </w:style>
  <w:style w:type="paragraph" w:customStyle="1" w:styleId="SuperHeading">
    <w:name w:val="SuperHeading"/>
    <w:basedOn w:val="Normal"/>
    <w:rsid w:val="001D0DA6"/>
    <w:pPr>
      <w:spacing w:before="240" w:after="120"/>
      <w:outlineLvl w:val="0"/>
    </w:pPr>
    <w:rPr>
      <w:rFonts w:ascii="Times New Roman" w:hAnsi="Times New Roman"/>
      <w:b/>
      <w:sz w:val="32"/>
    </w:rPr>
  </w:style>
  <w:style w:type="paragraph" w:customStyle="1" w:styleId="AllowPageBreak">
    <w:name w:val="AllowPageBreak"/>
    <w:rsid w:val="001D0D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D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D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D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D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D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D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D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DA6"/>
    <w:rPr>
      <w:rFonts w:ascii="Courier New" w:eastAsia="Times New Roman" w:hAnsi="Courier New" w:cs="Times New Roman"/>
      <w:i/>
      <w:szCs w:val="20"/>
      <w:lang w:eastAsia="en-US"/>
    </w:rPr>
  </w:style>
  <w:style w:type="paragraph" w:customStyle="1" w:styleId="HeadingBase">
    <w:name w:val="Heading Base"/>
    <w:rsid w:val="001D0D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DA6"/>
    <w:pPr>
      <w:tabs>
        <w:tab w:val="right" w:leader="dot" w:pos="9072"/>
      </w:tabs>
      <w:ind w:left="567"/>
    </w:pPr>
    <w:rPr>
      <w:szCs w:val="22"/>
    </w:rPr>
  </w:style>
  <w:style w:type="paragraph" w:customStyle="1" w:styleId="TOCBase">
    <w:name w:val="TOC Base"/>
    <w:rsid w:val="001D0D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DA6"/>
    <w:pPr>
      <w:tabs>
        <w:tab w:val="right" w:leader="dot" w:pos="9072"/>
      </w:tabs>
      <w:spacing w:before="40" w:after="40"/>
      <w:ind w:left="284"/>
    </w:pPr>
    <w:rPr>
      <w:rFonts w:ascii="Times New Roman" w:hAnsi="Times New Roman"/>
    </w:rPr>
  </w:style>
  <w:style w:type="paragraph" w:styleId="TOC1">
    <w:name w:val="toc 1"/>
    <w:basedOn w:val="TOCBase"/>
    <w:next w:val="Normal"/>
    <w:rsid w:val="001D0D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D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DA6"/>
    <w:rPr>
      <w:rFonts w:ascii="Times New Roman" w:eastAsia="Times New Roman" w:hAnsi="Times New Roman" w:cs="Times New Roman"/>
      <w:sz w:val="16"/>
      <w:lang w:eastAsia="en-US"/>
    </w:rPr>
  </w:style>
  <w:style w:type="paragraph" w:styleId="Title">
    <w:name w:val="Title"/>
    <w:basedOn w:val="HeadingBase"/>
    <w:link w:val="TitleChar"/>
    <w:qFormat/>
    <w:rsid w:val="001D0DA6"/>
    <w:pPr>
      <w:spacing w:before="5040"/>
      <w:jc w:val="center"/>
    </w:pPr>
    <w:rPr>
      <w:sz w:val="48"/>
      <w:szCs w:val="72"/>
      <w:lang w:val="en-US"/>
    </w:rPr>
  </w:style>
  <w:style w:type="character" w:customStyle="1" w:styleId="TitleChar">
    <w:name w:val="Title Char"/>
    <w:basedOn w:val="DefaultParagraphFont"/>
    <w:link w:val="Title"/>
    <w:rsid w:val="001D0D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DA6"/>
    <w:pPr>
      <w:tabs>
        <w:tab w:val="left" w:pos="3600"/>
        <w:tab w:val="left" w:pos="3958"/>
      </w:tabs>
    </w:pPr>
  </w:style>
  <w:style w:type="paragraph" w:styleId="List">
    <w:name w:val="List"/>
    <w:basedOn w:val="BodyText"/>
    <w:next w:val="BodyText"/>
    <w:rsid w:val="001D0DA6"/>
    <w:pPr>
      <w:tabs>
        <w:tab w:val="left" w:pos="340"/>
      </w:tabs>
      <w:spacing w:before="60" w:after="60"/>
      <w:ind w:left="340" w:hanging="340"/>
    </w:pPr>
  </w:style>
  <w:style w:type="paragraph" w:customStyle="1" w:styleId="Note">
    <w:name w:val="Note"/>
    <w:basedOn w:val="BodyText"/>
    <w:rsid w:val="001D0D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DA6"/>
    <w:pPr>
      <w:framePr w:wrap="auto" w:hAnchor="text" w:y="6049"/>
    </w:pPr>
    <w:rPr>
      <w:color w:val="000000"/>
      <w:sz w:val="40"/>
    </w:rPr>
  </w:style>
  <w:style w:type="paragraph" w:customStyle="1" w:styleId="TOCTitle">
    <w:name w:val="TOCTitle"/>
    <w:basedOn w:val="Heading1"/>
    <w:rsid w:val="001D0DA6"/>
    <w:pPr>
      <w:spacing w:after="240"/>
      <w:jc w:val="center"/>
      <w:outlineLvl w:val="9"/>
    </w:pPr>
    <w:rPr>
      <w:caps/>
    </w:rPr>
  </w:style>
  <w:style w:type="paragraph" w:customStyle="1" w:styleId="Version">
    <w:name w:val="Version"/>
    <w:rsid w:val="001D0D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DA6"/>
    <w:pPr>
      <w:keepNext w:val="0"/>
      <w:tabs>
        <w:tab w:val="right" w:pos="4176"/>
      </w:tabs>
      <w:ind w:left="198" w:hanging="198"/>
    </w:pPr>
    <w:rPr>
      <w:rFonts w:ascii="Garamond" w:hAnsi="Garamond"/>
    </w:rPr>
  </w:style>
  <w:style w:type="paragraph" w:styleId="IndexHeading">
    <w:name w:val="index heading"/>
    <w:basedOn w:val="Normal"/>
    <w:next w:val="Index1"/>
    <w:semiHidden/>
    <w:rsid w:val="001D0DA6"/>
    <w:pPr>
      <w:spacing w:before="120" w:after="120"/>
    </w:pPr>
    <w:rPr>
      <w:rFonts w:ascii="Arial" w:hAnsi="Arial"/>
      <w:b/>
      <w:color w:val="918585"/>
      <w:sz w:val="24"/>
    </w:rPr>
  </w:style>
  <w:style w:type="paragraph" w:styleId="Header">
    <w:name w:val="header"/>
    <w:basedOn w:val="Normal"/>
    <w:link w:val="HeaderChar"/>
    <w:rsid w:val="001D0D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DA6"/>
    <w:rPr>
      <w:rFonts w:ascii="Times New Roman" w:eastAsia="Times New Roman" w:hAnsi="Times New Roman" w:cs="Times New Roman"/>
      <w:sz w:val="16"/>
      <w:szCs w:val="20"/>
      <w:lang w:val="en-GB" w:eastAsia="en-US"/>
    </w:rPr>
  </w:style>
  <w:style w:type="paragraph" w:customStyle="1" w:styleId="Chapter">
    <w:name w:val="Chapter"/>
    <w:basedOn w:val="Normal"/>
    <w:rsid w:val="001D0DA6"/>
    <w:pPr>
      <w:spacing w:before="240"/>
    </w:pPr>
    <w:rPr>
      <w:rFonts w:ascii="Times New Roman" w:hAnsi="Times New Roman"/>
      <w:smallCaps/>
      <w:spacing w:val="80"/>
      <w:sz w:val="28"/>
    </w:rPr>
  </w:style>
  <w:style w:type="paragraph" w:customStyle="1" w:styleId="InChapter">
    <w:name w:val="InChapter"/>
    <w:basedOn w:val="Heading3"/>
    <w:rsid w:val="001D0DA6"/>
    <w:pPr>
      <w:spacing w:after="240"/>
      <w:outlineLvl w:val="9"/>
    </w:pPr>
    <w:rPr>
      <w:noProof/>
    </w:rPr>
  </w:style>
  <w:style w:type="paragraph" w:styleId="Index2">
    <w:name w:val="index 2"/>
    <w:basedOn w:val="Normal"/>
    <w:next w:val="Normal"/>
    <w:semiHidden/>
    <w:rsid w:val="001D0DA6"/>
    <w:pPr>
      <w:tabs>
        <w:tab w:val="right" w:pos="4176"/>
      </w:tabs>
      <w:ind w:left="568" w:hanging="284"/>
    </w:pPr>
    <w:rPr>
      <w:rFonts w:ascii="Garamond" w:hAnsi="Garamond"/>
    </w:rPr>
  </w:style>
  <w:style w:type="paragraph" w:customStyle="1" w:styleId="Byline">
    <w:name w:val="Byline"/>
    <w:rsid w:val="001D0D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DA6"/>
    <w:pPr>
      <w:tabs>
        <w:tab w:val="clear" w:pos="3600"/>
        <w:tab w:val="clear" w:pos="3958"/>
      </w:tabs>
      <w:jc w:val="right"/>
    </w:pPr>
  </w:style>
  <w:style w:type="paragraph" w:styleId="Caption">
    <w:name w:val="caption"/>
    <w:basedOn w:val="BodyText"/>
    <w:next w:val="Normal"/>
    <w:qFormat/>
    <w:rsid w:val="001D0DA6"/>
    <w:pPr>
      <w:framePr w:w="2268" w:hSpace="181" w:vSpace="181" w:wrap="around" w:vAnchor="text" w:hAnchor="page" w:x="1135" w:y="285" w:anchorLock="1"/>
    </w:pPr>
    <w:rPr>
      <w:i/>
    </w:rPr>
  </w:style>
  <w:style w:type="paragraph" w:customStyle="1" w:styleId="MiniTOCTitle">
    <w:name w:val="MiniTOCTitle"/>
    <w:basedOn w:val="Heading4"/>
    <w:rsid w:val="001D0DA6"/>
    <w:pPr>
      <w:spacing w:before="240"/>
      <w:outlineLvl w:val="9"/>
    </w:pPr>
    <w:rPr>
      <w:noProof/>
      <w:sz w:val="24"/>
    </w:rPr>
  </w:style>
  <w:style w:type="paragraph" w:customStyle="1" w:styleId="MiniTOCItem">
    <w:name w:val="MiniTOCItem"/>
    <w:basedOn w:val="ListBullet"/>
    <w:rsid w:val="001D0DA6"/>
    <w:pPr>
      <w:numPr>
        <w:numId w:val="0"/>
      </w:numPr>
      <w:tabs>
        <w:tab w:val="right" w:leader="dot" w:pos="6521"/>
      </w:tabs>
      <w:spacing w:before="0" w:after="0"/>
    </w:pPr>
  </w:style>
  <w:style w:type="paragraph" w:customStyle="1" w:styleId="TOFTitle">
    <w:name w:val="TOFTitle"/>
    <w:basedOn w:val="TOCTitle"/>
    <w:rsid w:val="001D0DA6"/>
  </w:style>
  <w:style w:type="paragraph" w:styleId="TableofFigures">
    <w:name w:val="table of figures"/>
    <w:basedOn w:val="Normal"/>
    <w:next w:val="Normal"/>
    <w:semiHidden/>
    <w:rsid w:val="001D0DA6"/>
    <w:pPr>
      <w:tabs>
        <w:tab w:val="right" w:leader="dot" w:pos="9072"/>
      </w:tabs>
      <w:ind w:left="970" w:hanging="403"/>
    </w:pPr>
    <w:rPr>
      <w:rFonts w:ascii="Times New Roman" w:hAnsi="Times New Roman"/>
      <w:b/>
    </w:rPr>
  </w:style>
  <w:style w:type="paragraph" w:styleId="ListNumber">
    <w:name w:val="List Number"/>
    <w:basedOn w:val="List"/>
    <w:rsid w:val="001D0DA6"/>
    <w:pPr>
      <w:numPr>
        <w:numId w:val="11"/>
      </w:numPr>
    </w:pPr>
  </w:style>
  <w:style w:type="character" w:customStyle="1" w:styleId="WingdingSymbols">
    <w:name w:val="Wingding Symbols"/>
    <w:rsid w:val="001D0DA6"/>
    <w:rPr>
      <w:rFonts w:ascii="Wingdings" w:hAnsi="Wingdings"/>
    </w:rPr>
  </w:style>
  <w:style w:type="paragraph" w:customStyle="1" w:styleId="TableHeading">
    <w:name w:val="Table Heading"/>
    <w:basedOn w:val="HeadingBase"/>
    <w:rsid w:val="001D0DA6"/>
    <w:pPr>
      <w:keepLines/>
      <w:pBdr>
        <w:bottom w:val="single" w:sz="6" w:space="1" w:color="918585"/>
      </w:pBdr>
      <w:spacing w:before="240"/>
    </w:pPr>
  </w:style>
  <w:style w:type="character" w:customStyle="1" w:styleId="HotSpot">
    <w:name w:val="HotSpot"/>
    <w:rsid w:val="001D0DA6"/>
    <w:rPr>
      <w:color w:val="0033CC"/>
      <w:u w:val="none"/>
    </w:rPr>
  </w:style>
  <w:style w:type="paragraph" w:customStyle="1" w:styleId="BodyTextRight">
    <w:name w:val="Body Text Right"/>
    <w:basedOn w:val="BodyText"/>
    <w:rsid w:val="001D0DA6"/>
    <w:pPr>
      <w:spacing w:before="0" w:after="0"/>
      <w:jc w:val="right"/>
    </w:pPr>
  </w:style>
  <w:style w:type="paragraph" w:styleId="Index3">
    <w:name w:val="index 3"/>
    <w:basedOn w:val="ListNumber2"/>
    <w:next w:val="Normal"/>
    <w:semiHidden/>
    <w:rsid w:val="001D0DA6"/>
    <w:pPr>
      <w:numPr>
        <w:numId w:val="0"/>
      </w:numPr>
      <w:tabs>
        <w:tab w:val="right" w:leader="dot" w:pos="4176"/>
      </w:tabs>
    </w:pPr>
  </w:style>
  <w:style w:type="paragraph" w:styleId="ListNumber2">
    <w:name w:val="List Number 2"/>
    <w:basedOn w:val="List2"/>
    <w:rsid w:val="001D0DA6"/>
    <w:pPr>
      <w:numPr>
        <w:numId w:val="10"/>
      </w:numPr>
      <w:tabs>
        <w:tab w:val="clear" w:pos="1060"/>
      </w:tabs>
    </w:pPr>
  </w:style>
  <w:style w:type="paragraph" w:customStyle="1" w:styleId="MarginNote">
    <w:name w:val="Margin Note"/>
    <w:basedOn w:val="BodyText"/>
    <w:rsid w:val="001D0D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D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D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DA6"/>
    <w:rPr>
      <w:sz w:val="32"/>
    </w:rPr>
  </w:style>
  <w:style w:type="paragraph" w:customStyle="1" w:styleId="HeadingProcedure">
    <w:name w:val="Heading Procedure"/>
    <w:basedOn w:val="HeadingBase"/>
    <w:next w:val="Normal"/>
    <w:rsid w:val="001D0DA6"/>
    <w:pPr>
      <w:tabs>
        <w:tab w:val="left" w:pos="0"/>
      </w:tabs>
      <w:spacing w:before="120" w:after="60"/>
    </w:pPr>
    <w:rPr>
      <w:i/>
      <w:color w:val="918585"/>
      <w:sz w:val="22"/>
    </w:rPr>
  </w:style>
  <w:style w:type="paragraph" w:customStyle="1" w:styleId="TableBodyText">
    <w:name w:val="Table Body Text"/>
    <w:basedOn w:val="BodyText"/>
    <w:rsid w:val="001D0DA6"/>
    <w:pPr>
      <w:spacing w:before="60" w:after="60"/>
    </w:pPr>
  </w:style>
  <w:style w:type="paragraph" w:styleId="ListContinue">
    <w:name w:val="List Continue"/>
    <w:basedOn w:val="List"/>
    <w:rsid w:val="001D0DA6"/>
    <w:pPr>
      <w:ind w:firstLine="0"/>
    </w:pPr>
  </w:style>
  <w:style w:type="paragraph" w:customStyle="1" w:styleId="ListNote">
    <w:name w:val="List Note"/>
    <w:basedOn w:val="List"/>
    <w:rsid w:val="001D0DA6"/>
    <w:pPr>
      <w:pBdr>
        <w:top w:val="single" w:sz="6" w:space="2" w:color="918585"/>
        <w:bottom w:val="single" w:sz="6" w:space="2" w:color="918585"/>
      </w:pBdr>
      <w:tabs>
        <w:tab w:val="left" w:pos="1021"/>
      </w:tabs>
      <w:ind w:firstLine="0"/>
    </w:pPr>
  </w:style>
  <w:style w:type="paragraph" w:customStyle="1" w:styleId="Warning">
    <w:name w:val="Warning"/>
    <w:basedOn w:val="BodyText"/>
    <w:rsid w:val="001D0DA6"/>
    <w:pPr>
      <w:shd w:val="clear" w:color="auto" w:fill="D9D9D9"/>
      <w:tabs>
        <w:tab w:val="left" w:pos="992"/>
      </w:tabs>
      <w:ind w:left="119" w:right="119"/>
    </w:pPr>
    <w:rPr>
      <w:sz w:val="20"/>
    </w:rPr>
  </w:style>
  <w:style w:type="paragraph" w:customStyle="1" w:styleId="MarginIcons">
    <w:name w:val="Margin Icons"/>
    <w:basedOn w:val="BodyText"/>
    <w:rsid w:val="001D0D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DA6"/>
    <w:rPr>
      <w:rFonts w:ascii="Courier New" w:hAnsi="Courier New"/>
    </w:rPr>
  </w:style>
  <w:style w:type="paragraph" w:customStyle="1" w:styleId="NoteBullet">
    <w:name w:val="Note Bullet"/>
    <w:basedOn w:val="Note"/>
    <w:rsid w:val="001D0DA6"/>
    <w:pPr>
      <w:tabs>
        <w:tab w:val="clear" w:pos="680"/>
      </w:tabs>
      <w:spacing w:before="60" w:after="60"/>
    </w:pPr>
  </w:style>
  <w:style w:type="paragraph" w:customStyle="1" w:styleId="SubHeading2">
    <w:name w:val="SubHeading2"/>
    <w:basedOn w:val="HeadingBase"/>
    <w:rsid w:val="001D0DA6"/>
    <w:pPr>
      <w:spacing w:before="240" w:after="60"/>
    </w:pPr>
    <w:rPr>
      <w:sz w:val="20"/>
    </w:rPr>
  </w:style>
  <w:style w:type="paragraph" w:customStyle="1" w:styleId="SubHeading1">
    <w:name w:val="SubHeading1"/>
    <w:basedOn w:val="HeadingBase"/>
    <w:rsid w:val="001D0DA6"/>
    <w:pPr>
      <w:spacing w:before="240" w:after="60"/>
    </w:pPr>
    <w:rPr>
      <w:color w:val="918585"/>
      <w:sz w:val="22"/>
    </w:rPr>
  </w:style>
  <w:style w:type="paragraph" w:customStyle="1" w:styleId="SideHeading">
    <w:name w:val="Side Heading"/>
    <w:basedOn w:val="HeadingBase"/>
    <w:rsid w:val="001D0D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DA6"/>
    <w:pPr>
      <w:numPr>
        <w:numId w:val="12"/>
      </w:numPr>
    </w:pPr>
  </w:style>
  <w:style w:type="paragraph" w:styleId="PlainText">
    <w:name w:val="Plain Text"/>
    <w:basedOn w:val="Normal"/>
    <w:link w:val="PlainTextChar"/>
    <w:rsid w:val="001D0DA6"/>
    <w:rPr>
      <w:sz w:val="20"/>
    </w:rPr>
  </w:style>
  <w:style w:type="character" w:customStyle="1" w:styleId="PlainTextChar">
    <w:name w:val="Plain Text Char"/>
    <w:basedOn w:val="DefaultParagraphFont"/>
    <w:link w:val="PlainText"/>
    <w:rsid w:val="001D0DA6"/>
    <w:rPr>
      <w:rFonts w:ascii="Courier New" w:eastAsia="Times New Roman" w:hAnsi="Courier New" w:cs="Times New Roman"/>
      <w:sz w:val="20"/>
      <w:szCs w:val="20"/>
      <w:lang w:eastAsia="en-US"/>
    </w:rPr>
  </w:style>
  <w:style w:type="character" w:customStyle="1" w:styleId="MenuOption">
    <w:name w:val="Menu Option"/>
    <w:basedOn w:val="DefaultParagraphFont"/>
    <w:rsid w:val="001D0DA6"/>
    <w:rPr>
      <w:b/>
      <w:smallCaps/>
    </w:rPr>
  </w:style>
  <w:style w:type="paragraph" w:customStyle="1" w:styleId="TableListNumber">
    <w:name w:val="Table List Number"/>
    <w:basedOn w:val="ListNumber"/>
    <w:rsid w:val="001D0DA6"/>
    <w:pPr>
      <w:numPr>
        <w:numId w:val="0"/>
      </w:numPr>
    </w:pPr>
  </w:style>
  <w:style w:type="paragraph" w:styleId="TOC4">
    <w:name w:val="toc 4"/>
    <w:basedOn w:val="TOCBase"/>
    <w:next w:val="Normal"/>
    <w:semiHidden/>
    <w:rsid w:val="001D0DA6"/>
    <w:pPr>
      <w:tabs>
        <w:tab w:val="right" w:leader="dot" w:pos="9071"/>
      </w:tabs>
      <w:ind w:left="1701"/>
    </w:pPr>
  </w:style>
  <w:style w:type="paragraph" w:customStyle="1" w:styleId="ListAlpha">
    <w:name w:val="List Alpha"/>
    <w:basedOn w:val="List"/>
    <w:rsid w:val="001D0DA6"/>
    <w:pPr>
      <w:numPr>
        <w:numId w:val="9"/>
      </w:numPr>
    </w:pPr>
  </w:style>
  <w:style w:type="paragraph" w:customStyle="1" w:styleId="ListAlpha2">
    <w:name w:val="List Alpha 2"/>
    <w:basedOn w:val="List2"/>
    <w:rsid w:val="001D0DA6"/>
    <w:pPr>
      <w:numPr>
        <w:numId w:val="8"/>
      </w:numPr>
    </w:pPr>
  </w:style>
  <w:style w:type="paragraph" w:styleId="List2">
    <w:name w:val="List 2"/>
    <w:basedOn w:val="BodyText"/>
    <w:rsid w:val="001D0DA6"/>
    <w:pPr>
      <w:tabs>
        <w:tab w:val="left" w:pos="680"/>
      </w:tabs>
      <w:spacing w:before="60" w:after="60"/>
      <w:ind w:left="680" w:hanging="340"/>
    </w:pPr>
  </w:style>
  <w:style w:type="paragraph" w:styleId="List3">
    <w:name w:val="List 3"/>
    <w:basedOn w:val="BodyText"/>
    <w:rsid w:val="001D0DA6"/>
    <w:pPr>
      <w:tabs>
        <w:tab w:val="left" w:pos="1021"/>
      </w:tabs>
      <w:spacing w:before="60" w:after="60"/>
      <w:ind w:left="1020" w:hanging="340"/>
    </w:pPr>
  </w:style>
  <w:style w:type="paragraph" w:styleId="List4">
    <w:name w:val="List 4"/>
    <w:basedOn w:val="BodyText"/>
    <w:rsid w:val="001D0DA6"/>
    <w:pPr>
      <w:tabs>
        <w:tab w:val="left" w:pos="1361"/>
      </w:tabs>
      <w:spacing w:before="60" w:after="60"/>
      <w:ind w:left="1361" w:hanging="340"/>
    </w:pPr>
  </w:style>
  <w:style w:type="paragraph" w:styleId="List5">
    <w:name w:val="List 5"/>
    <w:basedOn w:val="BodyText"/>
    <w:rsid w:val="001D0DA6"/>
    <w:pPr>
      <w:tabs>
        <w:tab w:val="left" w:pos="1701"/>
      </w:tabs>
      <w:spacing w:before="60" w:after="60"/>
      <w:ind w:left="1701" w:hanging="340"/>
    </w:pPr>
  </w:style>
  <w:style w:type="paragraph" w:styleId="ListBullet3">
    <w:name w:val="List Bullet 3"/>
    <w:basedOn w:val="List3"/>
    <w:rsid w:val="001D0DA6"/>
    <w:pPr>
      <w:numPr>
        <w:numId w:val="15"/>
      </w:numPr>
      <w:tabs>
        <w:tab w:val="clear" w:pos="1021"/>
      </w:tabs>
      <w:ind w:left="1037" w:hanging="357"/>
    </w:pPr>
  </w:style>
  <w:style w:type="paragraph" w:styleId="ListBullet4">
    <w:name w:val="List Bullet 4"/>
    <w:basedOn w:val="List4"/>
    <w:rsid w:val="001D0DA6"/>
    <w:pPr>
      <w:numPr>
        <w:numId w:val="3"/>
      </w:numPr>
    </w:pPr>
  </w:style>
  <w:style w:type="paragraph" w:styleId="ListBullet5">
    <w:name w:val="List Bullet 5"/>
    <w:basedOn w:val="List5"/>
    <w:rsid w:val="001D0DA6"/>
    <w:pPr>
      <w:numPr>
        <w:numId w:val="4"/>
      </w:numPr>
    </w:pPr>
  </w:style>
  <w:style w:type="paragraph" w:styleId="ListContinue2">
    <w:name w:val="List Continue 2"/>
    <w:basedOn w:val="List2"/>
    <w:rsid w:val="001D0DA6"/>
    <w:pPr>
      <w:ind w:firstLine="0"/>
    </w:pPr>
  </w:style>
  <w:style w:type="paragraph" w:styleId="ListContinue3">
    <w:name w:val="List Continue 3"/>
    <w:basedOn w:val="List3"/>
    <w:rsid w:val="001D0DA6"/>
    <w:pPr>
      <w:ind w:left="1021" w:firstLine="0"/>
    </w:pPr>
  </w:style>
  <w:style w:type="paragraph" w:styleId="ListContinue4">
    <w:name w:val="List Continue 4"/>
    <w:basedOn w:val="List4"/>
    <w:rsid w:val="001D0DA6"/>
    <w:pPr>
      <w:ind w:firstLine="0"/>
    </w:pPr>
  </w:style>
  <w:style w:type="paragraph" w:styleId="ListContinue5">
    <w:name w:val="List Continue 5"/>
    <w:basedOn w:val="List5"/>
    <w:rsid w:val="001D0DA6"/>
    <w:pPr>
      <w:ind w:firstLine="0"/>
    </w:pPr>
  </w:style>
  <w:style w:type="paragraph" w:styleId="ListNumber3">
    <w:name w:val="List Number 3"/>
    <w:basedOn w:val="List3"/>
    <w:rsid w:val="001D0DA6"/>
    <w:pPr>
      <w:numPr>
        <w:numId w:val="5"/>
      </w:numPr>
    </w:pPr>
  </w:style>
  <w:style w:type="paragraph" w:styleId="ListNumber4">
    <w:name w:val="List Number 4"/>
    <w:basedOn w:val="List4"/>
    <w:rsid w:val="001D0DA6"/>
    <w:pPr>
      <w:numPr>
        <w:numId w:val="6"/>
      </w:numPr>
    </w:pPr>
  </w:style>
  <w:style w:type="paragraph" w:styleId="ListNumber5">
    <w:name w:val="List Number 5"/>
    <w:basedOn w:val="List5"/>
    <w:rsid w:val="001D0DA6"/>
    <w:pPr>
      <w:numPr>
        <w:numId w:val="7"/>
      </w:numPr>
    </w:pPr>
  </w:style>
  <w:style w:type="paragraph" w:styleId="BlockText">
    <w:name w:val="Block Text"/>
    <w:basedOn w:val="Normal"/>
    <w:rsid w:val="001D0DA6"/>
    <w:pPr>
      <w:spacing w:after="120"/>
      <w:ind w:left="1440" w:right="1440"/>
    </w:pPr>
  </w:style>
  <w:style w:type="character" w:customStyle="1" w:styleId="Subscript">
    <w:name w:val="Subscript"/>
    <w:basedOn w:val="DefaultParagraphFont"/>
    <w:rsid w:val="001D0DA6"/>
    <w:rPr>
      <w:sz w:val="16"/>
      <w:vertAlign w:val="subscript"/>
    </w:rPr>
  </w:style>
  <w:style w:type="character" w:customStyle="1" w:styleId="Superscript">
    <w:name w:val="Superscript"/>
    <w:basedOn w:val="DefaultParagraphFont"/>
    <w:rsid w:val="001D0DA6"/>
    <w:rPr>
      <w:sz w:val="16"/>
      <w:vertAlign w:val="superscript"/>
    </w:rPr>
  </w:style>
  <w:style w:type="character" w:customStyle="1" w:styleId="Symbols">
    <w:name w:val="Symbols"/>
    <w:basedOn w:val="DefaultParagraphFont"/>
    <w:rsid w:val="001D0DA6"/>
    <w:rPr>
      <w:rFonts w:ascii="Symbol" w:hAnsi="Symbol"/>
    </w:rPr>
  </w:style>
  <w:style w:type="character" w:customStyle="1" w:styleId="MenuOptions">
    <w:name w:val="Menu Options"/>
    <w:basedOn w:val="DefaultParagraphFont"/>
    <w:rsid w:val="001D0DA6"/>
    <w:rPr>
      <w:rFonts w:ascii="Arial Narrow" w:hAnsi="Arial Narrow"/>
      <w:smallCaps/>
    </w:rPr>
  </w:style>
  <w:style w:type="character" w:customStyle="1" w:styleId="Buttons">
    <w:name w:val="Buttons"/>
    <w:basedOn w:val="DefaultParagraphFont"/>
    <w:rsid w:val="001D0DA6"/>
    <w:rPr>
      <w:b/>
    </w:rPr>
  </w:style>
  <w:style w:type="character" w:customStyle="1" w:styleId="Underlined">
    <w:name w:val="Underlined"/>
    <w:basedOn w:val="DefaultParagraphFont"/>
    <w:rsid w:val="001D0DA6"/>
    <w:rPr>
      <w:u w:val="single"/>
    </w:rPr>
  </w:style>
  <w:style w:type="paragraph" w:customStyle="1" w:styleId="TableBodyTextRight">
    <w:name w:val="Table Body Text Right"/>
    <w:basedOn w:val="TableBodyText"/>
    <w:rsid w:val="001D0DA6"/>
    <w:pPr>
      <w:widowControl w:val="0"/>
      <w:autoSpaceDE w:val="0"/>
      <w:autoSpaceDN w:val="0"/>
      <w:adjustRightInd w:val="0"/>
      <w:jc w:val="right"/>
    </w:pPr>
    <w:rPr>
      <w:rFonts w:cs="Arial"/>
      <w:szCs w:val="18"/>
    </w:rPr>
  </w:style>
  <w:style w:type="paragraph" w:customStyle="1" w:styleId="CopyrightText">
    <w:name w:val="Copyright Text"/>
    <w:basedOn w:val="BodyText"/>
    <w:rsid w:val="001D0DA6"/>
    <w:rPr>
      <w:sz w:val="18"/>
    </w:rPr>
  </w:style>
  <w:style w:type="paragraph" w:customStyle="1" w:styleId="BodySmallRight">
    <w:name w:val="Body Small Right"/>
    <w:basedOn w:val="BodyTextRight"/>
    <w:rsid w:val="001D0DA6"/>
    <w:rPr>
      <w:sz w:val="18"/>
      <w:szCs w:val="18"/>
    </w:rPr>
  </w:style>
  <w:style w:type="paragraph" w:customStyle="1" w:styleId="MarginEdition">
    <w:name w:val="Margin Edition"/>
    <w:basedOn w:val="MarginNote"/>
    <w:rsid w:val="001D0DA6"/>
    <w:pPr>
      <w:spacing w:before="0" w:after="0"/>
    </w:pPr>
    <w:rPr>
      <w:rFonts w:ascii="Times New Roman" w:hAnsi="Times New Roman"/>
      <w:color w:val="999999"/>
    </w:rPr>
  </w:style>
  <w:style w:type="paragraph" w:customStyle="1" w:styleId="Spacer">
    <w:name w:val="Spacer"/>
    <w:basedOn w:val="Normal"/>
    <w:rsid w:val="001D0DA6"/>
    <w:rPr>
      <w:sz w:val="2"/>
      <w:szCs w:val="2"/>
    </w:rPr>
  </w:style>
  <w:style w:type="character" w:customStyle="1" w:styleId="Small">
    <w:name w:val="Small"/>
    <w:basedOn w:val="DefaultParagraphFont"/>
    <w:rsid w:val="001D0DA6"/>
    <w:rPr>
      <w:sz w:val="16"/>
    </w:rPr>
  </w:style>
  <w:style w:type="paragraph" w:customStyle="1" w:styleId="WideTable">
    <w:name w:val="Wide Table"/>
    <w:basedOn w:val="Normal"/>
    <w:rsid w:val="001D0DA6"/>
    <w:pPr>
      <w:ind w:left="-1418"/>
    </w:pPr>
    <w:rPr>
      <w:sz w:val="2"/>
      <w:szCs w:val="2"/>
    </w:rPr>
  </w:style>
  <w:style w:type="character" w:styleId="PageNumber">
    <w:name w:val="page number"/>
    <w:basedOn w:val="DefaultParagraphFont"/>
    <w:rsid w:val="001D0DA6"/>
  </w:style>
  <w:style w:type="paragraph" w:styleId="Quote">
    <w:name w:val="Quote"/>
    <w:basedOn w:val="Heading1"/>
    <w:link w:val="QuoteChar"/>
    <w:qFormat/>
    <w:rsid w:val="001D0DA6"/>
    <w:rPr>
      <w:b w:val="0"/>
      <w:sz w:val="72"/>
      <w:szCs w:val="72"/>
      <w:lang w:val="en-NZ"/>
    </w:rPr>
  </w:style>
  <w:style w:type="character" w:customStyle="1" w:styleId="QuoteChar">
    <w:name w:val="Quote Char"/>
    <w:basedOn w:val="DefaultParagraphFont"/>
    <w:link w:val="Quote"/>
    <w:rsid w:val="001D0D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DA6"/>
    <w:pPr>
      <w:pageBreakBefore/>
    </w:pPr>
  </w:style>
  <w:style w:type="paragraph" w:customStyle="1" w:styleId="Border">
    <w:name w:val="Border"/>
    <w:basedOn w:val="Normal"/>
    <w:qFormat/>
    <w:rsid w:val="001D0D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DA6"/>
    <w:rPr>
      <w:b/>
      <w:bCs/>
      <w:i/>
      <w:iCs/>
      <w:color w:val="auto"/>
    </w:rPr>
  </w:style>
  <w:style w:type="paragraph" w:styleId="IntenseQuote">
    <w:name w:val="Intense Quote"/>
    <w:basedOn w:val="Normal"/>
    <w:next w:val="Normal"/>
    <w:link w:val="IntenseQuoteChar"/>
    <w:uiPriority w:val="30"/>
    <w:qFormat/>
    <w:rsid w:val="001D0D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D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DA6"/>
    <w:rPr>
      <w:smallCaps/>
      <w:color w:val="auto"/>
      <w:u w:val="single"/>
    </w:rPr>
  </w:style>
  <w:style w:type="character" w:styleId="IntenseReference">
    <w:name w:val="Intense Reference"/>
    <w:basedOn w:val="DefaultParagraphFont"/>
    <w:uiPriority w:val="32"/>
    <w:qFormat/>
    <w:rsid w:val="001D0DA6"/>
    <w:rPr>
      <w:b/>
      <w:bCs/>
      <w:smallCaps/>
      <w:color w:val="auto"/>
      <w:spacing w:val="5"/>
      <w:u w:val="single"/>
    </w:rPr>
  </w:style>
  <w:style w:type="paragraph" w:customStyle="1" w:styleId="2ColumnHeading">
    <w:name w:val="2Column Heading"/>
    <w:basedOn w:val="BodyText"/>
    <w:qFormat/>
    <w:rsid w:val="001D0DA6"/>
    <w:pPr>
      <w:spacing w:after="60"/>
      <w:ind w:left="-2268"/>
    </w:pPr>
    <w:rPr>
      <w:b/>
    </w:rPr>
  </w:style>
  <w:style w:type="paragraph" w:customStyle="1" w:styleId="Heading1TOC">
    <w:name w:val="Heading1 TOC"/>
    <w:basedOn w:val="Normal"/>
    <w:qFormat/>
    <w:rsid w:val="001D0DA6"/>
    <w:pPr>
      <w:spacing w:before="240" w:after="120"/>
    </w:pPr>
    <w:rPr>
      <w:rFonts w:ascii="Times New Roman" w:hAnsi="Times New Roman"/>
      <w:b/>
      <w:sz w:val="32"/>
    </w:rPr>
  </w:style>
  <w:style w:type="paragraph" w:customStyle="1" w:styleId="Heading2TOC">
    <w:name w:val="Heading2 TOC"/>
    <w:basedOn w:val="Normal"/>
    <w:qFormat/>
    <w:rsid w:val="001D0DA6"/>
    <w:pPr>
      <w:spacing w:before="240" w:after="60"/>
    </w:pPr>
    <w:rPr>
      <w:rFonts w:ascii="Times New Roman" w:hAnsi="Times New Roman"/>
      <w:b/>
      <w:sz w:val="28"/>
    </w:rPr>
  </w:style>
  <w:style w:type="character" w:customStyle="1" w:styleId="Underline">
    <w:name w:val="Underline"/>
    <w:basedOn w:val="DefaultParagraphFont"/>
    <w:qFormat/>
    <w:rsid w:val="001D0DA6"/>
    <w:rPr>
      <w:u w:val="single"/>
    </w:rPr>
  </w:style>
  <w:style w:type="character" w:customStyle="1" w:styleId="BoldandItalics">
    <w:name w:val="Bold and Italics"/>
    <w:qFormat/>
    <w:rsid w:val="001D0DA6"/>
    <w:rPr>
      <w:b/>
      <w:i/>
      <w:u w:val="none"/>
    </w:rPr>
  </w:style>
  <w:style w:type="paragraph" w:styleId="BalloonText">
    <w:name w:val="Balloon Text"/>
    <w:basedOn w:val="Normal"/>
    <w:link w:val="BalloonTextChar"/>
    <w:rsid w:val="001D0DA6"/>
    <w:rPr>
      <w:rFonts w:ascii="Tahoma" w:hAnsi="Tahoma" w:cs="Tahoma"/>
      <w:sz w:val="16"/>
      <w:szCs w:val="16"/>
    </w:rPr>
  </w:style>
  <w:style w:type="character" w:customStyle="1" w:styleId="BalloonTextChar">
    <w:name w:val="Balloon Text Char"/>
    <w:basedOn w:val="DefaultParagraphFont"/>
    <w:link w:val="BalloonText"/>
    <w:rsid w:val="001D0D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D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0D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DA6"/>
    <w:rPr>
      <w:b/>
      <w:color w:val="660033"/>
      <w:spacing w:val="0"/>
    </w:rPr>
  </w:style>
  <w:style w:type="paragraph" w:customStyle="1" w:styleId="Nameditemlist">
    <w:name w:val="Named item list"/>
    <w:basedOn w:val="BodyText"/>
    <w:qFormat/>
    <w:rsid w:val="001D0D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2983</Words>
  <Characters>18478</Characters>
  <Application>Microsoft Office Word</Application>
  <DocSecurity>0</DocSecurity>
  <Lines>724</Lines>
  <Paragraphs>314</Paragraphs>
  <ScaleCrop>false</ScaleCrop>
  <Company>Author-it Software Corporation Ltd.</Company>
  <LinksUpToDate>false</LinksUpToDate>
  <CharactersWithSpaces>21321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UEGNSG350A First response to a gas facility event</dc:title>
  <dc:subject>Approved</dc:subject>
  <dc:creator>E-Oz Training Standards</dc:creator>
  <cp:keywords>Release 1</cp:keywords>
  <dc:description>Review Date: 12 April 2008</dc:description>
  <cp:lastModifiedBy>HSD_TPCMSd.prod</cp:lastModifiedBy>
  <cp:revision>3</cp:revision>
  <dcterms:created xsi:type="dcterms:W3CDTF">2014-03-13T15:18:46Z</dcterms:created>
  <dcterms:modified xsi:type="dcterms:W3CDTF">2014-03-13T03:48:00Z</dcterms:modified>
</cp:coreProperties>
</file>