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7F6" w:rsidP="004D77F6">
      <w:pPr>
        <w:pStyle w:val="Title"/>
      </w:pPr>
      <w:r>
        <w:fldChar w:fldCharType="begin"/>
      </w:r>
      <w:r>
        <w:instrText xml:space="preserve"> TITLE   \* MERGEFORMAT </w:instrText>
      </w:r>
      <w:r>
        <w:fldChar w:fldCharType="separate"/>
      </w:r>
      <w:r>
        <w:t>UEGNSG349A Carry out surveillance of gas transmission pipelines</w:t>
      </w:r>
      <w:r>
        <w:fldChar w:fldCharType="end"/>
      </w:r>
    </w:p>
    <w:p w:rsidR="004D77F6" w:rsidP="004D77F6">
      <w:pPr>
        <w:pStyle w:val="Version"/>
        <w:sectPr w:rsidSect="00C13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783" w:rsidP="00C13783">
      <w:pPr>
        <w:pStyle w:val="SuperHeading"/>
      </w:pPr>
      <w:r w:rsidRPr="00C13783">
        <w:t>UEGNSG349A Carry out surveillance of gas transmission pipelines</w:t>
      </w:r>
    </w:p>
    <w:p w:rsidR="00000000" w:rsidRPr="00C13783" w:rsidP="00C13783">
      <w:pPr>
        <w:pStyle w:val="Heading1"/>
      </w:pPr>
      <w:bookmarkStart w:id="1" w:name="O_625851"/>
      <w:bookmarkEnd w:id="1"/>
      <w:r w:rsidRPr="00C13783">
        <w:t>Modification History</w:t>
      </w:r>
    </w:p>
    <w:p w:rsidR="00000000" w:rsidRPr="00C13783" w:rsidP="00C13783">
      <w:pPr>
        <w:pStyle w:val="BodyText"/>
      </w:pPr>
      <w:r w:rsidRPr="00C13783">
        <w:t>This unit replaces UEGNSG329A Gas transmission pipeline surveillance.</w:t>
      </w:r>
    </w:p>
    <w:p w:rsidR="00000000" w:rsidRPr="00C13783" w:rsidP="00C13783">
      <w:pPr>
        <w:pStyle w:val="AllowPageBreak"/>
      </w:pPr>
    </w:p>
    <w:p w:rsidR="00000000" w:rsidRPr="00C13783" w:rsidP="00C13783">
      <w:pPr>
        <w:pStyle w:val="Heading1"/>
      </w:pPr>
      <w:bookmarkStart w:id="2" w:name="O_625853"/>
      <w:bookmarkEnd w:id="2"/>
      <w:r w:rsidRPr="00C13783">
        <w:t>Unit Descriptor</w:t>
      </w:r>
    </w:p>
    <w:tbl>
      <w:tblPr>
        <w:tblW w:w="0" w:type="auto"/>
        <w:tblLayout w:type="fixed"/>
        <w:tblCellMar>
          <w:left w:w="62" w:type="dxa"/>
          <w:right w:w="62" w:type="dxa"/>
        </w:tblCellMar>
        <w:tblLook w:val="0000"/>
      </w:tblPr>
      <w:tblGrid>
        <w:gridCol w:w="2638"/>
        <w:gridCol w:w="5760"/>
      </w:tblGrid>
      <w:tr w:rsidTr="00C137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1) Scope:</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137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1.1) Descriptor</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 xml:space="preserve">This unit covers the ground surveillance of gas transmission pipelines in accordance with relevant legislation, standards, codes and established procedures including the procedures found under Australian and New Zealand Standard AS 2885.3. </w:t>
            </w:r>
          </w:p>
          <w:p w:rsidR="00000000" w:rsidRPr="00C13783" w:rsidP="00C13783">
            <w:pPr>
              <w:pStyle w:val="BodyText"/>
            </w:pPr>
          </w:p>
          <w:p w:rsidR="00000000" w:rsidRPr="00C13783" w:rsidP="00C13783">
            <w:pPr>
              <w:pStyle w:val="BodyText"/>
            </w:pPr>
            <w:r w:rsidRPr="00C13783">
              <w:t>It encompasses</w:t>
            </w:r>
            <w:r w:rsidRPr="00C13783">
              <w:t xml:space="preserve"> threat mitigation through identification of system non-conformance; areas to be monitored; inspection of areas; system's pipe work; structures; fittings; equipment; organisational and statutory requirements; and recording and reporting.</w:t>
            </w:r>
          </w:p>
          <w:p w:rsidR="00000000" w:rsidRPr="00C13783" w:rsidP="00C13783">
            <w:pPr>
              <w:pStyle w:val="BodyText"/>
            </w:pPr>
          </w:p>
          <w:p w:rsidR="00000000" w:rsidRPr="00C13783" w:rsidP="00C13783">
            <w:pPr>
              <w:pStyle w:val="BodyText"/>
            </w:pPr>
            <w:r w:rsidRPr="00C13783">
              <w:t>Note: Aerial surveillance is not covered by this unit, it is covered by UEGNSG353A Carry out aerial surveillance of gas transmission pipelines</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3" w:name="O_625854"/>
      <w:bookmarkEnd w:id="3"/>
      <w:r w:rsidRPr="00C13783">
        <w:t>Application of the Unit</w:t>
      </w:r>
    </w:p>
    <w:tbl>
      <w:tblPr>
        <w:tblW w:w="0" w:type="auto"/>
        <w:tblLayout w:type="fixed"/>
        <w:tblCellMar>
          <w:left w:w="62" w:type="dxa"/>
          <w:right w:w="62" w:type="dxa"/>
        </w:tblCellMar>
        <w:tblLook w:val="0000"/>
      </w:tblPr>
      <w:tblGrid>
        <w:gridCol w:w="2610"/>
        <w:gridCol w:w="5699"/>
      </w:tblGrid>
      <w:tr w:rsidTr="00C1378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2)</w:t>
            </w:r>
          </w:p>
        </w:tc>
      </w:tr>
      <w:tr w:rsidTr="00C1378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This competency standard shall apply to g</w:t>
            </w:r>
            <w:r w:rsidRPr="00C13783">
              <w:t>as transmission pipelines, subject to all Workplace Health and Safety (WHS)/ Occupational Health and Safety (OHS) and duty of care requirements being met for the workplace.</w:t>
            </w:r>
          </w:p>
          <w:p w:rsidR="00000000" w:rsidRPr="00C13783" w:rsidP="00C13783">
            <w:pPr>
              <w:pStyle w:val="BodyText"/>
            </w:pPr>
            <w:r w:rsidRPr="00C13783">
              <w:t>This unit is intended as an AQF 3 competency for new and existing workers in the ga</w:t>
            </w:r>
            <w:r w:rsidRPr="00C13783">
              <w:t>s industry. It is suitable for employment-based programs under an approved contract of training.</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4" w:name="O_625855"/>
      <w:bookmarkEnd w:id="4"/>
      <w:r w:rsidRPr="00C13783">
        <w:t>Licensing/Regulatory Information</w:t>
      </w:r>
    </w:p>
    <w:tbl>
      <w:tblPr>
        <w:tblW w:w="0" w:type="auto"/>
        <w:tblLayout w:type="fixed"/>
        <w:tblCellMar>
          <w:left w:w="62" w:type="dxa"/>
          <w:right w:w="62" w:type="dxa"/>
        </w:tblCellMar>
        <w:tblLook w:val="0000"/>
      </w:tblPr>
      <w:tblGrid>
        <w:gridCol w:w="2638"/>
        <w:gridCol w:w="5760"/>
      </w:tblGrid>
      <w:tr w:rsidTr="00C137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 xml:space="preserve">3) </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137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During Training:</w:t>
            </w:r>
            <w:r w:rsidRPr="00C13783">
              <w:t xml:space="preserve"> </w:t>
            </w:r>
          </w:p>
          <w:p w:rsidR="00000000" w:rsidRPr="00C13783" w:rsidP="00C13783">
            <w:pPr>
              <w:pStyle w:val="BodyText"/>
            </w:pPr>
            <w:r w:rsidRPr="00C13783">
              <w:t>Competency development activities are subject to regulations directly related to licensing, occupational health and safety and where applicable contracts of training such as apprenticeships.</w:t>
            </w:r>
          </w:p>
          <w:p w:rsidR="00000000" w:rsidRPr="00C13783" w:rsidP="00C13783">
            <w:pPr>
              <w:pStyle w:val="BodyText"/>
            </w:pPr>
            <w:r w:rsidRPr="00C13783">
              <w:rPr>
                <w:rStyle w:val="SpecialBold"/>
              </w:rPr>
              <w:t>In the workplace:</w:t>
            </w:r>
          </w:p>
          <w:p w:rsidR="00000000" w:rsidRPr="00C13783" w:rsidP="00C13783">
            <w:pPr>
              <w:pStyle w:val="BodyText"/>
            </w:pPr>
            <w:r w:rsidRPr="00C13783">
              <w:t>The skills and knowledge described in this unit</w:t>
            </w:r>
            <w:r w:rsidRPr="00C13783">
              <w:t xml:space="preserve"> are not subject to licence regulation other than those directly related to Workplace/Occupational Health and Safety, gas/electricity/water industry safety and compliance, industrial relations, environmental protection, telecommunications, anti-discriminat</w:t>
            </w:r>
            <w:r w:rsidRPr="00C13783">
              <w:t xml:space="preserve">ion and training. </w:t>
            </w:r>
          </w:p>
          <w:p w:rsidR="00000000" w:rsidRPr="00C13783" w:rsidP="00C13783">
            <w:pPr>
              <w:pStyle w:val="BodyText"/>
            </w:pPr>
            <w:r w:rsidRPr="00C13783">
              <w:t>Commonwealth, State/Territory or Local Government legislation and regulations may exist that limits the age of persons who can operate certain equipment.</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5" w:name="O_625856"/>
      <w:bookmarkEnd w:id="5"/>
      <w:r w:rsidRPr="00C13783">
        <w:t>Pre-Requisites</w:t>
      </w:r>
    </w:p>
    <w:tbl>
      <w:tblPr>
        <w:tblW w:w="0" w:type="auto"/>
        <w:tblLayout w:type="fixed"/>
        <w:tblCellMar>
          <w:left w:w="62" w:type="dxa"/>
          <w:right w:w="62" w:type="dxa"/>
        </w:tblCellMar>
        <w:tblLook w:val="0000"/>
      </w:tblPr>
      <w:tblGrid>
        <w:gridCol w:w="2638"/>
        <w:gridCol w:w="1800"/>
        <w:gridCol w:w="3960"/>
      </w:tblGrid>
      <w:tr w:rsidTr="00C137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 xml:space="preserve">4) </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4.1)</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Granting of competency in this unit shall be made only after competency in the following unit(s) has/have been confirmed:</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UEGNSG141A</w:t>
            </w:r>
          </w:p>
        </w:tc>
        <w:tc>
          <w:tcPr>
            <w:tcW w:w="39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Apply Occupational Health and Safety regulations, codes and practices in the workplace</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UEGNSG005A</w:t>
            </w:r>
          </w:p>
        </w:tc>
        <w:tc>
          <w:tcPr>
            <w:tcW w:w="39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Prepare to work in the Australian gas industry</w:t>
            </w:r>
          </w:p>
        </w:tc>
      </w:tr>
      <w:tr w:rsidTr="00C13783">
        <w:tblPrEx>
          <w:tblW w:w="0" w:type="auto"/>
          <w:tblLayout w:type="fixed"/>
          <w:tblCellMar>
            <w:left w:w="62" w:type="dxa"/>
            <w:right w:w="62" w:type="dxa"/>
          </w:tblCellMar>
          <w:tblLook w:val="0000"/>
        </w:tblPrEx>
        <w:trPr>
          <w:trHeight w:val="648"/>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UEGNSG140A</w:t>
            </w:r>
          </w:p>
        </w:tc>
        <w:tc>
          <w:tcPr>
            <w:tcW w:w="39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Apply environmental policies and procedures in the utilities industry</w:t>
            </w:r>
          </w:p>
        </w:tc>
      </w:tr>
    </w:tbl>
    <w:p w:rsidR="00000000" w:rsidRPr="00C13783" w:rsidP="00C13783">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4.2)</w:t>
            </w:r>
            <w:r w:rsidRPr="00C13783">
              <w:t xml:space="preserve"> </w:t>
            </w:r>
          </w:p>
          <w:p w:rsidR="00000000" w:rsidP="00C13783">
            <w:pPr>
              <w:pStyle w:val="BodyText"/>
              <w:rPr>
                <w:lang w:val="en-NZ"/>
              </w:rPr>
            </w:pPr>
            <w:r w:rsidRPr="00C13783">
              <w:t>Participants are best equipped to achieve this unit if they have reading, writing and num</w:t>
            </w:r>
            <w:r w:rsidRPr="00C13783">
              <w:t>eracy skills indicated by the following scales. Description of each scale is given in Volume 2, Part 3 ‘Literacy and Numeracy’</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Reading</w:t>
            </w:r>
          </w:p>
        </w:tc>
        <w:tc>
          <w:tcPr>
            <w:tcW w:w="81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3</w:t>
            </w:r>
          </w:p>
        </w:tc>
        <w:tc>
          <w:tcPr>
            <w:tcW w:w="99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Writing</w:t>
            </w: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3</w:t>
            </w:r>
          </w:p>
        </w:tc>
        <w:tc>
          <w:tcPr>
            <w:tcW w:w="12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Numeracy</w:t>
            </w:r>
          </w:p>
        </w:tc>
        <w:tc>
          <w:tcPr>
            <w:tcW w:w="72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3</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6" w:name="O_625857"/>
      <w:bookmarkEnd w:id="6"/>
      <w:r w:rsidRPr="00C13783">
        <w:t>Employability Skills Information</w:t>
      </w:r>
    </w:p>
    <w:tbl>
      <w:tblPr>
        <w:tblW w:w="0" w:type="auto"/>
        <w:tblLayout w:type="fixed"/>
        <w:tblCellMar>
          <w:left w:w="62" w:type="dxa"/>
          <w:right w:w="62" w:type="dxa"/>
        </w:tblCellMar>
        <w:tblLook w:val="0000"/>
      </w:tblPr>
      <w:tblGrid>
        <w:gridCol w:w="2638"/>
        <w:gridCol w:w="5760"/>
      </w:tblGrid>
      <w:tr w:rsidTr="00C137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 xml:space="preserve">5) </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This unit contains Employability Skills</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 xml:space="preserve">The required outcomes described in this unit of competency contain applicable facets of Employability Skills. The Employability Skills Summary of the qualification in which this unit of competency is packaged will </w:t>
            </w:r>
            <w:r w:rsidRPr="00C13783">
              <w:t>assist in identifying Employability Skill requirements.</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7" w:name="O_625858"/>
      <w:bookmarkEnd w:id="7"/>
      <w:r w:rsidRPr="00C13783">
        <w:t>Elements and Performance Criteria Pre-Content</w:t>
      </w:r>
    </w:p>
    <w:tbl>
      <w:tblPr>
        <w:tblW w:w="0" w:type="auto"/>
        <w:tblLayout w:type="fixed"/>
        <w:tblCellMar>
          <w:left w:w="62" w:type="dxa"/>
          <w:right w:w="62" w:type="dxa"/>
        </w:tblCellMar>
        <w:tblLook w:val="0000"/>
      </w:tblPr>
      <w:tblGrid>
        <w:gridCol w:w="2638"/>
        <w:gridCol w:w="5760"/>
      </w:tblGrid>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6)</w:t>
            </w:r>
            <w:r w:rsidRPr="00C13783">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Emphasis"/>
              </w:rPr>
              <w:t>Performance Cr</w:t>
            </w:r>
            <w:r w:rsidRPr="00C13783">
              <w:rPr>
                <w:rStyle w:val="Emphasis"/>
              </w:rPr>
              <w:t>iteria describe the required performance needed to demonstrate achievement of the element. Assessment of performance is to be consistent with the Evidence Guide.</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8" w:name="O_625859"/>
      <w:bookmarkEnd w:id="8"/>
      <w:r w:rsidRPr="00C13783">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C13783">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PERFORMANCE CRITERIA</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 xml:space="preserve">Prepare to carry out surveillance of gas transmission pipelines </w:t>
            </w: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1.1</w:t>
            </w:r>
          </w:p>
        </w:tc>
        <w:tc>
          <w:tcPr>
            <w:tcW w:w="48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WHS/OHS and environmental measures for the site are identified, obtained and understood.</w:t>
            </w:r>
          </w:p>
          <w:p w:rsidR="00000000" w:rsidP="00C13783">
            <w:pPr>
              <w:pStyle w:val="BodyText"/>
              <w:rPr>
                <w:lang w:val="en-NZ"/>
              </w:rPr>
            </w:pP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1.2</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Relevant requirements and established procedures for the</w:t>
            </w:r>
            <w:r w:rsidRPr="00C13783">
              <w:t xml:space="preserve"> work are discussed with relevant persons to establish and confirm the work schedule</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1.3</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WHS/OHS, environmental and sustainable energy policies and procedures are obtained, confirmed and communicated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1.4</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Work is prioritised and sequenced following c</w:t>
            </w:r>
            <w:r w:rsidRPr="00C13783">
              <w:t>onsultation with others for completion within acceptable timeframes and in accordance with established procedures and surveillance KPIs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1.5</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Hazards are identified, WHS/OHS risks are assesses and control measures are prioritised, implemented and monitore</w:t>
            </w:r>
            <w:r w:rsidRPr="00C13783">
              <w:t>d against the work schedule and established procedures.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1.6</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Scope of responsibility under the relevant work authorization, permit and/or relevant notification are received and confirmed with relevant persons according to established procedures.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1.7</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Resources including  plant, equipment, tools and personal protective equipment required for gas pipeline surveillance work are identified,  obtained checked for correct operation and safety r</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1.8</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Liaison and communication issues with authorised persons,</w:t>
            </w:r>
            <w:r w:rsidRPr="00C13783">
              <w:t xml:space="preserve"> authorities and clients are resolved and activities coordinated</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1.9</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Persons participating in the work are fully briefed and respective responsibilities confirmed in accordance with established procedures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1.10</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Site preparation, safety plan and the w</w:t>
            </w:r>
            <w:r w:rsidRPr="00C13783">
              <w:t>ork schedule are confirmed in accordance with established procedures.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Carry out surveillance of gas transmission pipelines</w:t>
            </w: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2.1</w:t>
            </w:r>
          </w:p>
        </w:tc>
        <w:tc>
          <w:tcPr>
            <w:tcW w:w="48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 xml:space="preserve">WHS/OHS risk control measures, schedule of work and standard operation  procedures for carrying out the work are followed </w:t>
            </w:r>
          </w:p>
          <w:p w:rsidR="00000000" w:rsidP="00C13783">
            <w:pPr>
              <w:pStyle w:val="BodyText"/>
              <w:rPr>
                <w:lang w:val="en-NZ"/>
              </w:rPr>
            </w:pP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2.2</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Appropriate materials, tools, equipment and measuring devices are selected and used correctly and safely.</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2.3</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Dealings with customers are consistent with standard operating procedures and the special needs of customers are identified and considered</w:t>
            </w:r>
            <w:r w:rsidRPr="00C13783">
              <w:t xml:space="preserve"> in targeting client service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2.4</w:t>
            </w:r>
          </w:p>
        </w:tc>
        <w:tc>
          <w:tcPr>
            <w:tcW w:w="48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The work carried out efficiently, to the required standard without waste of materials or damage to apparatus, equipment, the surrounding environment or services and using sustainable energy principles</w:t>
            </w:r>
          </w:p>
          <w:p w:rsidR="00000000" w:rsidP="00C13783">
            <w:pPr>
              <w:pStyle w:val="BodyText"/>
              <w:rPr>
                <w:lang w:val="en-NZ"/>
              </w:rPr>
            </w:pP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2.5</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Leakages and damaged pipes and fittings are recorded in accordance with the work schedule and established procedures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2.6</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Hazard warnings and safety signs are recognised and hazards are assessed and WHS/OHS risks and incidents are reported to the immedi</w:t>
            </w:r>
            <w:r w:rsidRPr="00C13783">
              <w:t>ate authorised persons for directions according to established procedures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2.7</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Unplanned events in pipeline surveillance are undertaken within the scope of established procedures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2.8</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System breaches, faults and the operational condition of the networ</w:t>
            </w:r>
            <w:r w:rsidRPr="00C13783">
              <w:t>k are identified and reported and known solutions are applied in accordance with established procedures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2.9</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Pressure and flow fluctuations outside acceptable limits are investigated and ongoing checks of quality of the work are undertaken in accordance </w:t>
            </w:r>
            <w:r w:rsidRPr="00C13783">
              <w:t>with given instructions and established procedures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2.10</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The key issues are identified and required solutions/options are developed, communicated and implemented in accordance with established procedures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2.11</w:t>
            </w:r>
          </w:p>
        </w:tc>
        <w:tc>
          <w:tcPr>
            <w:tcW w:w="48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Routine quality checks are carried out in</w:t>
            </w:r>
            <w:r w:rsidRPr="00C13783">
              <w:t xml:space="preserve"> accordance </w:t>
            </w:r>
            <w:r w:rsidRPr="00C13783">
              <w:t xml:space="preserve">with work instructions </w:t>
            </w:r>
          </w:p>
          <w:p w:rsidR="00000000" w:rsidP="00C13783">
            <w:pPr>
              <w:pStyle w:val="BodyText"/>
              <w:rPr>
                <w:lang w:val="en-NZ"/>
              </w:rPr>
            </w:pPr>
            <w:r w:rsidRPr="00C13783">
              <w:t xml:space="preserve">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Complete work and relevant documentation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3.1</w:t>
            </w:r>
          </w:p>
        </w:tc>
        <w:tc>
          <w:tcPr>
            <w:tcW w:w="48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WHS risk control work completion measures and procedures are followed.</w:t>
            </w:r>
          </w:p>
          <w:p w:rsidR="00000000" w:rsidP="00C13783">
            <w:pPr>
              <w:pStyle w:val="BodyText"/>
              <w:rPr>
                <w:lang w:val="en-NZ"/>
              </w:rPr>
            </w:pP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3.2</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Work area is tidied and made safe according to established procedures</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3.3</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Tools and equipment are cleaned, checked and securely stored.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3.4</w:t>
            </w:r>
          </w:p>
        </w:tc>
        <w:tc>
          <w:tcPr>
            <w:tcW w:w="48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Appropriate persons are notified of the work completion, non-conformances and proposed solutions/options are reported in accordance with established procedures </w:t>
            </w:r>
          </w:p>
        </w:tc>
      </w:tr>
      <w:tr w:rsidTr="00C1378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3.5</w:t>
            </w:r>
          </w:p>
        </w:tc>
        <w:tc>
          <w:tcPr>
            <w:tcW w:w="48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Work completion re</w:t>
            </w:r>
            <w:r w:rsidRPr="00C13783">
              <w:t>cords, reports and documentation are finalized, processed and provided to appropriate persons in accordance with established procedures</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9" w:name="O_625860"/>
      <w:bookmarkEnd w:id="9"/>
      <w:r w:rsidRPr="00C13783">
        <w:t>Required Skills and Knowledge</w:t>
      </w:r>
    </w:p>
    <w:tbl>
      <w:tblPr>
        <w:tblW w:w="0" w:type="auto"/>
        <w:tblLayout w:type="fixed"/>
        <w:tblCellMar>
          <w:left w:w="62" w:type="dxa"/>
          <w:right w:w="62" w:type="dxa"/>
        </w:tblCellMar>
        <w:tblLook w:val="0000"/>
      </w:tblPr>
      <w:tblGrid>
        <w:gridCol w:w="1843"/>
        <w:gridCol w:w="6527"/>
      </w:tblGrid>
      <w:tr w:rsidTr="00C13783">
        <w:tblPrEx>
          <w:tblW w:w="0" w:type="auto"/>
          <w:tblLayout w:type="fixed"/>
          <w:tblCellMar>
            <w:left w:w="62" w:type="dxa"/>
            <w:right w:w="62" w:type="dxa"/>
          </w:tblCellMar>
          <w:tblLook w:val="0000"/>
        </w:tblPrEx>
        <w:trPr>
          <w:tblHeader/>
        </w:trPr>
        <w:tc>
          <w:tcPr>
            <w:tcW w:w="837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REQUIRED SKILLS AND KNOWLEDGE</w:t>
            </w:r>
          </w:p>
        </w:tc>
      </w:tr>
      <w:tr w:rsidTr="00C13783">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7)</w:t>
            </w:r>
            <w:r w:rsidRPr="00C13783">
              <w:t xml:space="preserve"> </w:t>
            </w:r>
            <w:r w:rsidRPr="00C13783">
              <w:rPr>
                <w:rStyle w:val="Emphasis"/>
              </w:rPr>
              <w:t>This describes the skills and knowledge and their level, required for this unit.</w:t>
            </w:r>
          </w:p>
        </w:tc>
      </w:tr>
      <w:tr w:rsidTr="00C13783">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Evidence shall show that knowledge has been acquired of safe working practices for carrying out work in a gas industry environment.</w:t>
            </w:r>
          </w:p>
        </w:tc>
      </w:tr>
      <w:tr w:rsidTr="00C13783">
        <w:tblPrEx>
          <w:tblW w:w="0" w:type="auto"/>
          <w:tblLayout w:type="fixed"/>
          <w:tblCellMar>
            <w:left w:w="62" w:type="dxa"/>
            <w:right w:w="62" w:type="dxa"/>
          </w:tblCellMar>
          <w:tblLook w:val="0000"/>
        </w:tblPrEx>
        <w:trPr>
          <w:trHeight w:val="481"/>
        </w:trPr>
        <w:tc>
          <w:tcPr>
            <w:tcW w:w="8370"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All knowledge and skills detailed in th</w:t>
            </w:r>
            <w:r w:rsidRPr="00C13783">
              <w:t>is unit should be contextualised to current industry practices and technologies. The extent of the essential knowledge and associated skills (EKAS) required is provided below. It forms an integral part of this unit.</w:t>
            </w:r>
          </w:p>
        </w:tc>
      </w:tr>
      <w:tr w:rsidTr="00C13783">
        <w:tblPrEx>
          <w:tblW w:w="0" w:type="auto"/>
          <w:tblLayout w:type="fixed"/>
          <w:tblCellMar>
            <w:left w:w="62" w:type="dxa"/>
            <w:right w:w="62" w:type="dxa"/>
          </w:tblCellMar>
          <w:tblLook w:val="0000"/>
        </w:tblPrEx>
        <w:trPr>
          <w:trHeight w:val="346"/>
        </w:trPr>
        <w:tc>
          <w:tcPr>
            <w:tcW w:w="1843"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KS01-G349A</w:t>
            </w:r>
          </w:p>
        </w:tc>
        <w:tc>
          <w:tcPr>
            <w:tcW w:w="6527"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Transmission pipeline surveillance</w:t>
            </w:r>
          </w:p>
        </w:tc>
      </w:tr>
      <w:tr w:rsidTr="00C13783">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Evidence shall show an understanding of carrying out surveillance on gas transmission pipelines in accordance with relevant legislation, standards, codes and established procedures to an extent indicated by the following</w:t>
            </w:r>
            <w:r w:rsidRPr="00C13783">
              <w:t xml:space="preserve"> aspects:</w:t>
            </w:r>
          </w:p>
          <w:p w:rsidR="00000000" w:rsidRPr="00C13783" w:rsidP="00C13783">
            <w:pPr>
              <w:pStyle w:val="BodyText"/>
            </w:pPr>
          </w:p>
          <w:p w:rsidR="00000000" w:rsidRPr="00C13783" w:rsidP="00C13783">
            <w:pPr>
              <w:pStyle w:val="BodyText"/>
            </w:pPr>
            <w:r w:rsidRPr="00C13783">
              <w:t>T1. OHS and emergency procedures and environmental, cultural and heritage requirements in relation to pipeline surveillance</w:t>
            </w:r>
          </w:p>
          <w:p w:rsidR="00000000" w:rsidRPr="00C13783" w:rsidP="00C13783">
            <w:pPr>
              <w:pStyle w:val="ListBullet"/>
            </w:pPr>
            <w:r w:rsidRPr="00C13783">
              <w:t>Duty of care, risk assessment</w:t>
            </w:r>
          </w:p>
          <w:p w:rsidR="00000000" w:rsidRPr="00C13783" w:rsidP="00C13783">
            <w:pPr>
              <w:pStyle w:val="ListBullet"/>
            </w:pPr>
            <w:r w:rsidRPr="00C13783">
              <w:t>flora, fauna, working outside</w:t>
            </w:r>
          </w:p>
          <w:p w:rsidR="00000000" w:rsidRPr="00C13783" w:rsidP="00C13783">
            <w:pPr>
              <w:pStyle w:val="BodyText"/>
            </w:pPr>
            <w:r w:rsidRPr="00C13783">
              <w:t>T2. Documentation and communication relevant to pipeline sur</w:t>
            </w:r>
            <w:r w:rsidRPr="00C13783">
              <w:t>veillance including:</w:t>
            </w:r>
          </w:p>
          <w:p w:rsidR="00000000" w:rsidRPr="00C13783" w:rsidP="00C13783">
            <w:pPr>
              <w:pStyle w:val="ListBullet"/>
            </w:pPr>
            <w:r w:rsidRPr="00C13783">
              <w:t>Topographical and geographical maps (including GPS/GIS information)</w:t>
            </w:r>
          </w:p>
          <w:p w:rsidR="00000000" w:rsidRPr="00C13783" w:rsidP="00C13783">
            <w:pPr>
              <w:pStyle w:val="BodyText"/>
            </w:pPr>
            <w:r w:rsidRPr="00C13783">
              <w:t>T3. Stakeholder rights and responsibilities</w:t>
            </w:r>
          </w:p>
          <w:p w:rsidR="00000000" w:rsidRPr="00C13783" w:rsidP="00C13783">
            <w:pPr>
              <w:pStyle w:val="BodyText"/>
            </w:pPr>
            <w:r w:rsidRPr="00C13783">
              <w:t>T4. Third parties</w:t>
            </w:r>
          </w:p>
          <w:p w:rsidR="00000000" w:rsidRPr="00C13783" w:rsidP="00C13783">
            <w:pPr>
              <w:pStyle w:val="ListBullet"/>
            </w:pPr>
            <w:r w:rsidRPr="00C13783">
              <w:t xml:space="preserve">land holder engagement </w:t>
            </w:r>
          </w:p>
          <w:p w:rsidR="00000000" w:rsidRPr="00C13783" w:rsidP="00C13783">
            <w:pPr>
              <w:pStyle w:val="ListBullet"/>
            </w:pPr>
            <w:r w:rsidRPr="00C13783">
              <w:t xml:space="preserve">third party activities </w:t>
            </w:r>
          </w:p>
          <w:p w:rsidR="00000000" w:rsidRPr="00C13783" w:rsidP="00C13783">
            <w:pPr>
              <w:pStyle w:val="ListBullet"/>
            </w:pPr>
            <w:r w:rsidRPr="00C13783">
              <w:t>authorities to stop 3rd party activities</w:t>
            </w:r>
          </w:p>
          <w:p w:rsidR="00000000" w:rsidRPr="00C13783" w:rsidP="00C13783">
            <w:pPr>
              <w:pStyle w:val="ListBullet"/>
            </w:pPr>
            <w:r w:rsidRPr="00C13783">
              <w:t>monitoring of third party civil works including:</w:t>
            </w:r>
          </w:p>
          <w:p w:rsidR="00000000" w:rsidRPr="00C13783" w:rsidP="00C13783">
            <w:pPr>
              <w:pStyle w:val="ListBullet2"/>
            </w:pPr>
            <w:r w:rsidRPr="00C13783">
              <w:t>excavation shoring requirements</w:t>
            </w:r>
          </w:p>
          <w:p w:rsidR="00000000" w:rsidRPr="00C13783" w:rsidP="00C13783">
            <w:pPr>
              <w:pStyle w:val="ListBullet2"/>
            </w:pPr>
            <w:r w:rsidRPr="00C13783">
              <w:t>separation distances</w:t>
            </w:r>
          </w:p>
          <w:p w:rsidR="00000000" w:rsidRPr="00C13783" w:rsidP="00C13783">
            <w:pPr>
              <w:pStyle w:val="ListBullet2"/>
            </w:pPr>
            <w:r w:rsidRPr="00C13783">
              <w:t>flora and fauna control</w:t>
            </w:r>
          </w:p>
          <w:p w:rsidR="00000000" w:rsidRPr="00C13783" w:rsidP="00C13783">
            <w:pPr>
              <w:pStyle w:val="ListBullet"/>
            </w:pPr>
            <w:r w:rsidRPr="00C13783">
              <w:t>third party protection methods</w:t>
            </w:r>
          </w:p>
          <w:p w:rsidR="00000000" w:rsidRPr="00C13783" w:rsidP="00C13783">
            <w:pPr>
              <w:pStyle w:val="BodyText"/>
            </w:pPr>
            <w:r w:rsidRPr="00C13783">
              <w:t>T5. Easements and access rights</w:t>
            </w:r>
          </w:p>
          <w:p w:rsidR="00000000" w:rsidRPr="00C13783" w:rsidP="00C13783">
            <w:pPr>
              <w:pStyle w:val="ListBullet"/>
            </w:pPr>
            <w:r w:rsidRPr="00C13783">
              <w:t>protocols to access to pipeline/easement (including gates)</w:t>
            </w:r>
          </w:p>
          <w:p w:rsidR="00000000" w:rsidRPr="00C13783" w:rsidP="00C13783">
            <w:pPr>
              <w:pStyle w:val="ListBullet"/>
            </w:pPr>
            <w:r w:rsidRPr="00C13783">
              <w:t>impediments to access along easements</w:t>
            </w:r>
          </w:p>
          <w:p w:rsidR="00000000" w:rsidRPr="00C13783" w:rsidP="00C13783">
            <w:pPr>
              <w:pStyle w:val="BodyText"/>
            </w:pPr>
            <w:r w:rsidRPr="00C13783">
              <w:t>T6. Procedures and methods of surveillance</w:t>
            </w:r>
          </w:p>
          <w:p w:rsidR="00000000" w:rsidRPr="00C13783" w:rsidP="00C13783">
            <w:pPr>
              <w:pStyle w:val="ListBullet"/>
            </w:pPr>
            <w:r w:rsidRPr="00C13783">
              <w:t>Information gathering techniques</w:t>
            </w:r>
          </w:p>
          <w:p w:rsidR="00000000" w:rsidRPr="00C13783" w:rsidP="00C13783">
            <w:pPr>
              <w:pStyle w:val="ListBullet"/>
            </w:pPr>
            <w:r w:rsidRPr="00C13783">
              <w:t>Route plans</w:t>
            </w:r>
          </w:p>
          <w:p w:rsidR="00000000" w:rsidRPr="00C13783" w:rsidP="00C13783">
            <w:pPr>
              <w:pStyle w:val="ListBullet"/>
            </w:pPr>
            <w:r w:rsidRPr="00C13783">
              <w:t>Foot patrol OH&amp;S and procedures</w:t>
            </w:r>
          </w:p>
          <w:p w:rsidR="00000000" w:rsidRPr="00C13783" w:rsidP="00C13783">
            <w:pPr>
              <w:pStyle w:val="ListBullet"/>
            </w:pPr>
            <w:r w:rsidRPr="00C13783">
              <w:t>Vehicle patrol OH&amp;S and procedures</w:t>
            </w:r>
          </w:p>
          <w:p w:rsidR="00000000" w:rsidRPr="00C13783" w:rsidP="00C13783">
            <w:pPr>
              <w:pStyle w:val="BodyText"/>
            </w:pPr>
            <w:r w:rsidRPr="00C13783">
              <w:t>T7. Overview of pipeline components and their respective funct</w:t>
            </w:r>
            <w:r w:rsidRPr="00C13783">
              <w:t>ions</w:t>
            </w:r>
          </w:p>
          <w:p w:rsidR="00000000" w:rsidRPr="00C13783" w:rsidP="00C13783">
            <w:pPr>
              <w:pStyle w:val="ListBullet"/>
            </w:pPr>
            <w:r w:rsidRPr="00C13783">
              <w:t>materials</w:t>
            </w:r>
          </w:p>
          <w:p w:rsidR="00000000" w:rsidRPr="00C13783" w:rsidP="00C13783">
            <w:pPr>
              <w:pStyle w:val="ListBullet"/>
            </w:pPr>
            <w:r w:rsidRPr="00C13783">
              <w:t>siphon points</w:t>
            </w:r>
          </w:p>
          <w:p w:rsidR="00000000" w:rsidRPr="00C13783" w:rsidP="00C13783">
            <w:pPr>
              <w:pStyle w:val="ListBullet"/>
            </w:pPr>
            <w:r w:rsidRPr="00C13783">
              <w:t>filtering and separation</w:t>
            </w:r>
          </w:p>
          <w:p w:rsidR="00000000" w:rsidRPr="00C13783" w:rsidP="00C13783">
            <w:pPr>
              <w:pStyle w:val="ListBullet"/>
            </w:pPr>
            <w:r w:rsidRPr="00C13783">
              <w:t>compressor stations</w:t>
            </w:r>
          </w:p>
          <w:p w:rsidR="00000000" w:rsidRPr="00C13783" w:rsidP="00C13783">
            <w:pPr>
              <w:pStyle w:val="ListBullet"/>
            </w:pPr>
            <w:r w:rsidRPr="00C13783">
              <w:t>Signage and gas markers</w:t>
            </w:r>
          </w:p>
          <w:p w:rsidR="00000000" w:rsidRPr="00C13783" w:rsidP="00C13783">
            <w:pPr>
              <w:pStyle w:val="BodyText"/>
            </w:pPr>
            <w:r w:rsidRPr="00C13783">
              <w:t>T8. Field monitoring of pipeline components.</w:t>
            </w:r>
          </w:p>
          <w:p w:rsidR="00000000" w:rsidRPr="00C13783" w:rsidP="00C13783">
            <w:pPr>
              <w:pStyle w:val="ListBullet"/>
            </w:pPr>
            <w:r w:rsidRPr="00C13783">
              <w:t>variation in surface condition, vegetation or fencing etc.</w:t>
            </w:r>
          </w:p>
          <w:p w:rsidR="00000000" w:rsidRPr="00C13783" w:rsidP="00C13783">
            <w:pPr>
              <w:pStyle w:val="ListBullet"/>
            </w:pPr>
            <w:r w:rsidRPr="00C13783">
              <w:t>development encroachment (clearances)</w:t>
            </w:r>
          </w:p>
          <w:p w:rsidR="00000000" w:rsidRPr="00C13783" w:rsidP="00C13783">
            <w:pPr>
              <w:pStyle w:val="ListBullet"/>
            </w:pPr>
            <w:r w:rsidRPr="00C13783">
              <w:t>pipeline fugit</w:t>
            </w:r>
            <w:r w:rsidRPr="00C13783">
              <w:t xml:space="preserve">ive emissions </w:t>
            </w:r>
          </w:p>
          <w:p w:rsidR="00000000" w:rsidRPr="00C13783" w:rsidP="00C13783">
            <w:pPr>
              <w:pStyle w:val="ListBullet"/>
            </w:pPr>
            <w:r w:rsidRPr="00C13783">
              <w:t>identification</w:t>
            </w:r>
          </w:p>
          <w:p w:rsidR="00000000" w:rsidRPr="00C13783" w:rsidP="00C13783">
            <w:pPr>
              <w:pStyle w:val="ListBullet"/>
            </w:pPr>
            <w:r w:rsidRPr="00C13783">
              <w:t>risk assessment.</w:t>
            </w:r>
          </w:p>
          <w:p w:rsidR="00000000" w:rsidRPr="00C13783" w:rsidP="00C13783">
            <w:pPr>
              <w:pStyle w:val="ListBullet"/>
            </w:pPr>
            <w:r w:rsidRPr="00C13783">
              <w:t xml:space="preserve">first on site remediation </w:t>
            </w:r>
          </w:p>
          <w:p w:rsidR="00000000" w:rsidRPr="00C13783" w:rsidP="00C13783">
            <w:pPr>
              <w:pStyle w:val="BodyText"/>
            </w:pPr>
            <w:r w:rsidRPr="00C13783">
              <w:t>T9. Identification and documentation of potential encroachment</w:t>
            </w:r>
          </w:p>
          <w:p w:rsidR="00000000" w:rsidRPr="00C13783" w:rsidP="00C13783">
            <w:pPr>
              <w:pStyle w:val="BodyText"/>
            </w:pPr>
            <w:r w:rsidRPr="00C13783">
              <w:t xml:space="preserve">T10. Pipeline risks managed through surveillance </w:t>
            </w:r>
          </w:p>
          <w:p w:rsidR="00000000" w:rsidRPr="00C13783" w:rsidP="00C13783">
            <w:pPr>
              <w:pStyle w:val="BodyText"/>
            </w:pPr>
            <w:r w:rsidRPr="00C13783">
              <w:t>T11. Escalation processes</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10" w:name="O_625861"/>
      <w:bookmarkEnd w:id="10"/>
      <w:r w:rsidRPr="00C13783">
        <w:t>Evidence Guide</w:t>
      </w:r>
    </w:p>
    <w:tbl>
      <w:tblPr>
        <w:tblW w:w="0" w:type="auto"/>
        <w:tblLayout w:type="fixed"/>
        <w:tblCellMar>
          <w:left w:w="62" w:type="dxa"/>
          <w:right w:w="62" w:type="dxa"/>
        </w:tblCellMar>
        <w:tblLook w:val="0000"/>
      </w:tblPr>
      <w:tblGrid>
        <w:gridCol w:w="8398"/>
      </w:tblGrid>
      <w:tr w:rsidTr="00C1378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EVIDENCE GUIDE</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8)</w:t>
            </w:r>
            <w:r w:rsidRPr="00C13783">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C13783" w:rsidP="00C13783">
      <w:pPr>
        <w:pStyle w:val="BodyText"/>
      </w:pPr>
    </w:p>
    <w:tbl>
      <w:tblPr>
        <w:tblW w:w="0" w:type="auto"/>
        <w:tblLayout w:type="fixed"/>
        <w:tblCellMar>
          <w:left w:w="62" w:type="dxa"/>
          <w:right w:w="62" w:type="dxa"/>
        </w:tblCellMar>
        <w:tblLook w:val="0000"/>
      </w:tblPr>
      <w:tblGrid>
        <w:gridCol w:w="1828"/>
        <w:gridCol w:w="6570"/>
      </w:tblGrid>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8.1)</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Longitudinal competency development approaches to assessment, such as Profiling, require data to be reliably gathered in a form that can be consistently interpreted over time. This approach is best utilised in Apprenticeship programs and reduces ass</w:t>
            </w:r>
            <w:r w:rsidRPr="00C13783">
              <w:t>essment intervention. It is the Industry’s preferred model for apprenticeships. However, where summative (or final) assessment is used it is to include the application of the competency in the normal work environment or, at a minimum, the application of th</w:t>
            </w:r>
            <w:r w:rsidRPr="00C13783">
              <w:t>e competency in a realistically simulated work environment. It is recognised that, in some circumstances, assessment in part or full can occur outside the workplace. However, it must be in accord with Industry regulatory policy in this regard.</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Methods ch</w:t>
            </w:r>
            <w:r w:rsidRPr="00C13783">
              <w:t xml:space="preserve">osen for a particular assessment will be influenced by various factors. These include the extent of the assessment, the most effective locations for the assessment activities to take place, access to physical resources, additional safety measures that may </w:t>
            </w:r>
            <w:r w:rsidRPr="00C13783">
              <w:t>be required and the critical nature of the competencies being assessed.</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The critical safety nature of working with electricity, electrical equipment, gas or any other hazardous substance/material carries risk in </w:t>
            </w:r>
            <w:r w:rsidRPr="00C13783">
              <w:t>deeming a person competent. Hence, sources of evidence need to be ‘rich’ in nature so as to minimise error in judgment.</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Activities associated with normal every day work have a bearing on the decision as to how much and how detailed the data gathered will</w:t>
            </w:r>
            <w:r w:rsidRPr="00C13783">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C13783">
              <w:t xml:space="preserve"> developing assessment instruments. Sample assessment instruments are included for Assessors in the Assessment Guidelines of this Training Package.</w:t>
            </w:r>
          </w:p>
        </w:tc>
      </w:tr>
    </w:tbl>
    <w:p w:rsidR="00000000" w:rsidRPr="00C13783" w:rsidP="00C13783">
      <w:pPr>
        <w:pStyle w:val="BodyText"/>
      </w:pPr>
    </w:p>
    <w:tbl>
      <w:tblPr>
        <w:tblW w:w="0" w:type="auto"/>
        <w:tblLayout w:type="fixed"/>
        <w:tblCellMar>
          <w:left w:w="62" w:type="dxa"/>
          <w:right w:w="62" w:type="dxa"/>
        </w:tblCellMar>
        <w:tblLook w:val="0000"/>
      </w:tblPr>
      <w:tblGrid>
        <w:gridCol w:w="1800"/>
        <w:gridCol w:w="810"/>
        <w:gridCol w:w="360"/>
        <w:gridCol w:w="5400"/>
      </w:tblGrid>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8.2)</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Before the critical </w:t>
            </w:r>
            <w:r w:rsidRPr="00C13783">
              <w:t>aspects of evidence are considered all prerequisites shall be met.</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Evidence for competence in this unit shall be considered holistically. Each element and associated Performance Criteria shall be demonstrated </w:t>
            </w:r>
            <w:r w:rsidRPr="00C13783">
              <w:t>on at least two occasions in accordance with the ‘Assessment Guidelines — UEG11’. Evidence shall also comprise:</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A representative body of work performance demonstrated within the timeframes typically expected of the discipline, work function and indust</w:t>
            </w:r>
            <w:r w:rsidRPr="00C13783">
              <w:t>rial environment. In particular this shall incorporate evidence that shows a candidate is able to:</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2"/>
              <w:rPr>
                <w:lang w:val="en-NZ"/>
              </w:rPr>
            </w:pPr>
            <w:r w:rsidRPr="00C13783">
              <w:t>Implement Occupational Health and Safety workplace procedures and practices including the use of risk control measures as specified in the Performance C</w:t>
            </w:r>
            <w:r w:rsidRPr="00C13783">
              <w:t>riteria and range</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2"/>
              <w:rPr>
                <w:lang w:val="en-NZ"/>
              </w:rPr>
            </w:pPr>
            <w:r w:rsidRPr="00C13783">
              <w:t>Apply sustainable energy principles and practices as specified in the Performance Criteria and range</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2"/>
              <w:rPr>
                <w:lang w:val="en-NZ"/>
              </w:rPr>
            </w:pPr>
            <w:r w:rsidRPr="00C13783">
              <w:t xml:space="preserve">Demonstrate an understanding of the essential knowledge and associated skills as described </w:t>
            </w:r>
            <w:r w:rsidRPr="00C13783">
              <w:t xml:space="preserve">in this unit to such an extent that </w:t>
            </w:r>
            <w:r w:rsidRPr="00C13783">
              <w:t>the learner’s performance outcome is reported in accordance with the preferred approach; namely a percentile graded result, where required by the regulated environment</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2"/>
              <w:rPr>
                <w:lang w:val="en-NZ"/>
              </w:rPr>
            </w:pPr>
            <w:r w:rsidRPr="00C13783">
              <w:t>Demonstrate an appropriate level of employability skills</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2"/>
              <w:rPr>
                <w:lang w:val="en-NZ"/>
              </w:rPr>
            </w:pPr>
            <w:r w:rsidRPr="00C13783">
              <w:t>Conduct work observing the relevant anti-discrimination legislation, regulations, polices and workplace procedures</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Demonstrate performance across a representative range of contexts from the</w:t>
            </w:r>
            <w:r w:rsidRPr="00C13783">
              <w:t xml:space="preserve"> prescribed items below</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3783">
            <w:pPr>
              <w:pStyle w:val="ListBullet2"/>
              <w:rPr>
                <w:lang w:val="en-NZ"/>
              </w:rPr>
            </w:pPr>
            <w:r w:rsidRPr="00C13783">
              <w:t>Carry out surveillance on gas transmission pipelines as described in 9.) Range Statement and including:</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A</w:t>
            </w:r>
          </w:p>
        </w:tc>
        <w:tc>
          <w:tcPr>
            <w:tcW w:w="54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Identifying and interpreting correctly standards, codes, regulations, drawings, d</w:t>
            </w:r>
            <w:r w:rsidRPr="00C13783">
              <w:t>iagrams, schedules, procedures and manuals relevant to the work to be undertaken.</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B</w:t>
            </w:r>
          </w:p>
        </w:tc>
        <w:tc>
          <w:tcPr>
            <w:tcW w:w="54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 xml:space="preserve">Selecting correct materials, equipment, tools, personal protection equipment and measurement devices </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C</w:t>
            </w:r>
          </w:p>
        </w:tc>
        <w:tc>
          <w:tcPr>
            <w:tcW w:w="54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Carry out surveillance on gas transmission pipelines, identifying encroachments and risks and taking appropriate action in accordance with requirements</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D</w:t>
            </w:r>
          </w:p>
        </w:tc>
        <w:tc>
          <w:tcPr>
            <w:tcW w:w="540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Completing required documentation and reporting.</w:t>
            </w:r>
          </w:p>
        </w:tc>
      </w:tr>
      <w:tr w:rsidTr="004D77F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E</w:t>
            </w:r>
          </w:p>
        </w:tc>
        <w:tc>
          <w:tcPr>
            <w:tcW w:w="540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Dealing with unplanned events by drawing on e</w:t>
            </w:r>
            <w:r w:rsidRPr="00C13783">
              <w:t>ssential knowledge and skills, procedures/ protocols to provide appropriate solutions incorporated in the holistic assessment with the above listed items, for example encroachment and/or contact with assets</w:t>
            </w:r>
          </w:p>
        </w:tc>
      </w:tr>
    </w:tbl>
    <w:p w:rsidR="00000000" w:rsidRPr="00C13783" w:rsidP="00C13783">
      <w:pPr>
        <w:pStyle w:val="BodyText"/>
      </w:pPr>
    </w:p>
    <w:tbl>
      <w:tblPr>
        <w:tblW w:w="0" w:type="auto"/>
        <w:tblLayout w:type="fixed"/>
        <w:tblCellMar>
          <w:left w:w="62" w:type="dxa"/>
          <w:right w:w="62" w:type="dxa"/>
        </w:tblCellMar>
        <w:tblLook w:val="0000"/>
      </w:tblPr>
      <w:tblGrid>
        <w:gridCol w:w="1828"/>
        <w:gridCol w:w="6570"/>
      </w:tblGrid>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8.3)</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This unit contains Employability Skills</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This unit should be assessed as it relates to normal work practice using procedures, information and resources typical of a workplace. This should include:</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OHS policy and work procedures and instructions.</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Suitable work environment, facilities, equipment and materials to undertake actual work as prescribed by this Competency Standard Unit</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Appropriate environmental regulation and work practices.</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Appropriate organisational requirements.</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In addition to the resources listed above, in Context of and specific resources for assessment, evidence should show demonstrated competency of ground transmission pipeline surveillance.</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Assessment of this compe</w:t>
            </w:r>
            <w:r w:rsidRPr="00C13783">
              <w:t>tency must also be undertaken in either an actual workplace or under a simulated work environment. Assessment must also integrate the employability skills.</w:t>
            </w:r>
          </w:p>
        </w:tc>
      </w:tr>
    </w:tbl>
    <w:p w:rsidR="00000000" w:rsidRPr="00C13783" w:rsidP="00C13783">
      <w:pPr>
        <w:pStyle w:val="BodyText"/>
      </w:pPr>
    </w:p>
    <w:tbl>
      <w:tblPr>
        <w:tblW w:w="0" w:type="auto"/>
        <w:tblLayout w:type="fixed"/>
        <w:tblCellMar>
          <w:left w:w="62" w:type="dxa"/>
          <w:right w:w="62" w:type="dxa"/>
        </w:tblCellMar>
        <w:tblLook w:val="0000"/>
      </w:tblPr>
      <w:tblGrid>
        <w:gridCol w:w="1828"/>
        <w:gridCol w:w="6542"/>
      </w:tblGrid>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Method of assessment</w:t>
            </w:r>
          </w:p>
        </w:tc>
        <w:tc>
          <w:tcPr>
            <w:tcW w:w="6542"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8.4)</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This Competency Standard Unit shall be assessed by methods given in Volume 1, Part 3 ‘Assessment Guidelines’.</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Note: Competent performance with inherent safe working practices is expected in the Industry to which this Competency Standard Unit applies. Thi</w:t>
            </w:r>
            <w:r w:rsidRPr="00C13783">
              <w:t>s requires that the specified Essential Knowledge and Associated Skills are assessed in a structured environment which is primarily intended for learning/assessment and incorporates all necessary equipment and facilities for learners to develop and demonst</w:t>
            </w:r>
            <w:r w:rsidRPr="00C13783">
              <w:t>rate the essential knowledge and associated skills described in this unit.</w:t>
            </w:r>
          </w:p>
        </w:tc>
      </w:tr>
    </w:tbl>
    <w:p w:rsidR="00000000" w:rsidRPr="00C13783" w:rsidP="00C13783">
      <w:pPr>
        <w:pStyle w:val="BodyText"/>
      </w:pPr>
    </w:p>
    <w:tbl>
      <w:tblPr>
        <w:tblW w:w="0" w:type="auto"/>
        <w:tblLayout w:type="fixed"/>
        <w:tblCellMar>
          <w:left w:w="62" w:type="dxa"/>
          <w:right w:w="62" w:type="dxa"/>
        </w:tblCellMar>
        <w:tblLook w:val="0000"/>
      </w:tblPr>
      <w:tblGrid>
        <w:gridCol w:w="1828"/>
        <w:gridCol w:w="1858"/>
        <w:gridCol w:w="4684"/>
      </w:tblGrid>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8.5)</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There are no recommended concurrent assessments with this unit, however in some cases efficiencies may be gained in</w:t>
            </w:r>
            <w:r w:rsidRPr="00C13783">
              <w:t xml:space="preserve"> terms of learning and assessment effort being concurrently managed with allied Competency Standard Units where listed.</w:t>
            </w:r>
          </w:p>
        </w:tc>
      </w:tr>
      <w:tr w:rsidTr="00C1378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UEGNSG132A</w:t>
            </w:r>
          </w:p>
        </w:tc>
        <w:tc>
          <w:tcPr>
            <w:tcW w:w="4684"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Carry out work basic activities in a gas industry work environment</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11" w:name="O_625862"/>
      <w:bookmarkEnd w:id="11"/>
      <w:r w:rsidRPr="00C13783">
        <w:t>Range Statement</w:t>
      </w:r>
    </w:p>
    <w:tbl>
      <w:tblPr>
        <w:tblW w:w="0" w:type="auto"/>
        <w:tblLayout w:type="fixed"/>
        <w:tblCellMar>
          <w:left w:w="62" w:type="dxa"/>
          <w:right w:w="62" w:type="dxa"/>
        </w:tblCellMar>
        <w:tblLook w:val="0000"/>
      </w:tblPr>
      <w:tblGrid>
        <w:gridCol w:w="8398"/>
      </w:tblGrid>
      <w:tr w:rsidTr="00C1378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RANGE STATEMENT</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 xml:space="preserve">9) </w:t>
            </w:r>
            <w:r w:rsidRPr="00C13783">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This Competency Standard</w:t>
            </w:r>
            <w:r w:rsidRPr="00C13783">
              <w:t xml:space="preserve"> Unit shall be demonstrated in relation to gas transmission pipeline surveillance. </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t>The following constants and variables included in the element/Performance Criteria in this unit are fully described in the Definitions Section.</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Areas to be monitored</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I</w:t>
            </w:r>
            <w:r w:rsidRPr="00C13783">
              <w:t>nspection of areas</w:t>
            </w:r>
          </w:p>
        </w:tc>
      </w:tr>
      <w:tr w:rsidTr="00C13783">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System's pipe work</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Structures</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13783">
            <w:pPr>
              <w:pStyle w:val="ListBullet"/>
              <w:rPr>
                <w:lang w:val="en-NZ"/>
              </w:rPr>
            </w:pPr>
            <w:r w:rsidRPr="00C13783">
              <w:t>Fittings</w:t>
            </w:r>
          </w:p>
        </w:tc>
      </w:tr>
      <w:tr w:rsidTr="00C1378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C13783" w:rsidP="00C13783">
            <w:pPr>
              <w:pStyle w:val="ListBullet"/>
            </w:pPr>
            <w:r w:rsidRPr="00C13783">
              <w:t>Organisational and statutory requirements (3)</w:t>
            </w:r>
          </w:p>
          <w:p w:rsidR="00000000" w:rsidRPr="00C13783" w:rsidP="00C13783">
            <w:pPr>
              <w:pStyle w:val="ListBullet"/>
            </w:pPr>
            <w:r w:rsidRPr="00C13783">
              <w:t>Recording and reporting</w:t>
            </w:r>
          </w:p>
        </w:tc>
      </w:tr>
    </w:tbl>
    <w:p w:rsidR="00000000" w:rsidRPr="00C13783" w:rsidP="00C13783">
      <w:pPr>
        <w:pStyle w:val="BodyText"/>
      </w:pPr>
    </w:p>
    <w:p w:rsidR="00000000" w:rsidRPr="00C13783" w:rsidP="00C13783">
      <w:pPr>
        <w:pStyle w:val="AllowPageBreak"/>
      </w:pPr>
    </w:p>
    <w:p w:rsidR="00000000" w:rsidRPr="00C13783" w:rsidP="00C13783">
      <w:pPr>
        <w:pStyle w:val="Heading1"/>
      </w:pPr>
      <w:bookmarkStart w:id="12" w:name="O_625863"/>
      <w:bookmarkEnd w:id="12"/>
      <w:r w:rsidRPr="00C13783">
        <w:t>Unit Sector(s)</w:t>
      </w:r>
    </w:p>
    <w:p w:rsidR="00000000" w:rsidRPr="00C13783" w:rsidP="00C13783">
      <w:pPr>
        <w:pStyle w:val="BodyText"/>
      </w:pPr>
      <w:r w:rsidRPr="00C13783">
        <w:t xml:space="preserve">Gas supply industry </w:t>
      </w:r>
    </w:p>
    <w:p w:rsidR="00000000" w:rsidRPr="00C13783" w:rsidP="00C13783">
      <w:pPr>
        <w:pStyle w:val="AllowPageBreak"/>
      </w:pPr>
    </w:p>
    <w:p w:rsidR="00000000" w:rsidRPr="00C13783" w:rsidP="00C13783">
      <w:pPr>
        <w:pStyle w:val="Heading1"/>
      </w:pPr>
      <w:bookmarkStart w:id="13" w:name="O_625864"/>
      <w:bookmarkEnd w:id="13"/>
      <w:r w:rsidRPr="00C13783">
        <w:t>Competency Field</w:t>
      </w:r>
    </w:p>
    <w:tbl>
      <w:tblPr>
        <w:tblW w:w="0" w:type="auto"/>
        <w:tblLayout w:type="fixed"/>
        <w:tblCellMar>
          <w:left w:w="62" w:type="dxa"/>
          <w:right w:w="62" w:type="dxa"/>
        </w:tblCellMar>
        <w:tblLook w:val="0000"/>
      </w:tblPr>
      <w:tblGrid>
        <w:gridCol w:w="2638"/>
        <w:gridCol w:w="5760"/>
      </w:tblGrid>
      <w:tr w:rsidTr="00C1378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3783">
            <w:pPr>
              <w:pStyle w:val="BodyText"/>
              <w:rPr>
                <w:lang w:val="en-NZ"/>
              </w:rPr>
            </w:pPr>
            <w:r w:rsidRPr="00C13783">
              <w:rPr>
                <w:rStyle w:val="SpecialBold"/>
              </w:rPr>
              <w:t xml:space="preserve">10) </w:t>
            </w:r>
          </w:p>
        </w:tc>
      </w:tr>
      <w:tr w:rsidTr="00C1378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783" w:rsidP="00C13783">
            <w:pPr>
              <w:pStyle w:val="BodyText"/>
            </w:pPr>
            <w:r w:rsidRPr="00C13783">
              <w:t>Transmission.</w:t>
            </w:r>
          </w:p>
        </w:tc>
      </w:tr>
    </w:tbl>
    <w:p w:rsidR="00000000" w:rsidRPr="00C13783" w:rsidP="00C13783">
      <w:pPr>
        <w:pStyle w:val="BodyText"/>
      </w:pPr>
    </w:p>
    <w:p w:rsidR="00000000" w:rsidRPr="00C13783" w:rsidP="00C13783"/>
    <w:sectPr w:rsidSect="00C13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783" w:rsidRPr="004D77F6" w:rsidP="004D7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F6" w:rsidP="00C13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D77F6" w:rsidP="00C1378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D77F6" w:rsidP="00C13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783" w:rsidRPr="004D77F6" w:rsidP="004D77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F6" w:rsidRPr="002D2AF8" w:rsidP="00C13783">
    <w:pPr>
      <w:pStyle w:val="Header"/>
      <w:framePr w:wrap="around"/>
    </w:pPr>
    <w:r>
      <w:fldChar w:fldCharType="begin"/>
    </w:r>
    <w:r>
      <w:instrText xml:space="preserve"> TITLE   \* MERGEFORMAT </w:instrText>
    </w:r>
    <w:r>
      <w:fldChar w:fldCharType="separate"/>
    </w:r>
    <w:r>
      <w:t>UEGNSG349A Carry out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4D77F6" w:rsidP="00C13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ED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10E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E1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783"/>
    <w:pPr>
      <w:spacing w:before="360" w:after="60"/>
      <w:outlineLvl w:val="0"/>
    </w:pPr>
    <w:rPr>
      <w:sz w:val="32"/>
    </w:rPr>
  </w:style>
  <w:style w:type="paragraph" w:styleId="Heading2">
    <w:name w:val="heading 2"/>
    <w:basedOn w:val="HeadingBase"/>
    <w:next w:val="BodyText"/>
    <w:link w:val="Heading2Char"/>
    <w:qFormat/>
    <w:rsid w:val="00C13783"/>
    <w:pPr>
      <w:keepLines/>
      <w:spacing w:before="240" w:after="120"/>
      <w:outlineLvl w:val="1"/>
    </w:pPr>
    <w:rPr>
      <w:sz w:val="28"/>
      <w:szCs w:val="40"/>
    </w:rPr>
  </w:style>
  <w:style w:type="paragraph" w:styleId="Heading3">
    <w:name w:val="heading 3"/>
    <w:basedOn w:val="HeadingBase"/>
    <w:next w:val="BodyText"/>
    <w:link w:val="Heading3Char"/>
    <w:qFormat/>
    <w:rsid w:val="00C13783"/>
    <w:pPr>
      <w:spacing w:before="180" w:after="120"/>
      <w:outlineLvl w:val="2"/>
    </w:pPr>
    <w:rPr>
      <w:spacing w:val="-10"/>
      <w:kern w:val="32"/>
    </w:rPr>
  </w:style>
  <w:style w:type="paragraph" w:styleId="Heading4">
    <w:name w:val="heading 4"/>
    <w:basedOn w:val="HeadingBase"/>
    <w:next w:val="BodyText"/>
    <w:link w:val="Heading4Char"/>
    <w:qFormat/>
    <w:rsid w:val="00C13783"/>
    <w:pPr>
      <w:spacing w:before="160" w:after="120"/>
      <w:outlineLvl w:val="3"/>
    </w:pPr>
    <w:rPr>
      <w:sz w:val="22"/>
    </w:rPr>
  </w:style>
  <w:style w:type="paragraph" w:styleId="Heading5">
    <w:name w:val="heading 5"/>
    <w:basedOn w:val="HeadingBase"/>
    <w:next w:val="Normal"/>
    <w:link w:val="Heading5Char"/>
    <w:qFormat/>
    <w:rsid w:val="00C13783"/>
    <w:pPr>
      <w:spacing w:before="80"/>
      <w:outlineLvl w:val="4"/>
    </w:pPr>
    <w:rPr>
      <w:color w:val="918585"/>
      <w:sz w:val="20"/>
    </w:rPr>
  </w:style>
  <w:style w:type="paragraph" w:styleId="Heading6">
    <w:name w:val="heading 6"/>
    <w:basedOn w:val="HeadingBase"/>
    <w:next w:val="Normal"/>
    <w:link w:val="Heading6Char"/>
    <w:qFormat/>
    <w:rsid w:val="00C13783"/>
    <w:pPr>
      <w:spacing w:before="60"/>
      <w:outlineLvl w:val="5"/>
    </w:pPr>
    <w:rPr>
      <w:color w:val="918585"/>
      <w:sz w:val="20"/>
    </w:rPr>
  </w:style>
  <w:style w:type="paragraph" w:styleId="Heading7">
    <w:name w:val="heading 7"/>
    <w:basedOn w:val="Normal"/>
    <w:next w:val="Normal"/>
    <w:link w:val="Heading7Char"/>
    <w:qFormat/>
    <w:rsid w:val="00C13783"/>
    <w:pPr>
      <w:ind w:left="720"/>
      <w:outlineLvl w:val="6"/>
    </w:pPr>
    <w:rPr>
      <w:i/>
    </w:rPr>
  </w:style>
  <w:style w:type="paragraph" w:styleId="Heading8">
    <w:name w:val="heading 8"/>
    <w:basedOn w:val="Normal"/>
    <w:next w:val="Normal"/>
    <w:link w:val="Heading8Char"/>
    <w:qFormat/>
    <w:rsid w:val="00C13783"/>
    <w:pPr>
      <w:ind w:left="720"/>
      <w:outlineLvl w:val="7"/>
    </w:pPr>
    <w:rPr>
      <w:i/>
    </w:rPr>
  </w:style>
  <w:style w:type="paragraph" w:styleId="Heading9">
    <w:name w:val="heading 9"/>
    <w:basedOn w:val="Normal"/>
    <w:next w:val="Normal"/>
    <w:link w:val="Heading9Char"/>
    <w:qFormat/>
    <w:rsid w:val="00C13783"/>
    <w:pPr>
      <w:ind w:left="720"/>
      <w:outlineLvl w:val="8"/>
    </w:pPr>
    <w:rPr>
      <w:i/>
    </w:rPr>
  </w:style>
  <w:style w:type="character" w:default="1" w:styleId="DefaultParagraphFont">
    <w:name w:val="Default Paragraph Font"/>
    <w:uiPriority w:val="1"/>
    <w:unhideWhenUsed/>
    <w:rsid w:val="00C13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783"/>
  </w:style>
  <w:style w:type="character" w:customStyle="1" w:styleId="Heading1Char">
    <w:name w:val="Heading 1 Char"/>
    <w:basedOn w:val="DefaultParagraphFont"/>
    <w:link w:val="Heading1"/>
    <w:rsid w:val="00C13783"/>
    <w:rPr>
      <w:rFonts w:ascii="Times New Roman" w:eastAsia="Times New Roman" w:hAnsi="Times New Roman" w:cs="Times New Roman"/>
      <w:b/>
      <w:sz w:val="32"/>
      <w:szCs w:val="20"/>
      <w:lang w:eastAsia="en-US"/>
    </w:rPr>
  </w:style>
  <w:style w:type="paragraph" w:styleId="BodyText">
    <w:name w:val="Body Text"/>
    <w:basedOn w:val="Normal"/>
    <w:link w:val="BodyTextChar"/>
    <w:rsid w:val="00C137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783"/>
    <w:rPr>
      <w:rFonts w:ascii="Times New Roman" w:eastAsia="Times New Roman" w:hAnsi="Times New Roman" w:cs="Times New Roman"/>
      <w:sz w:val="24"/>
      <w:lang w:eastAsia="en-US"/>
    </w:rPr>
  </w:style>
  <w:style w:type="paragraph" w:styleId="ListBullet">
    <w:name w:val="List Bullet"/>
    <w:basedOn w:val="List"/>
    <w:rsid w:val="00C13783"/>
    <w:pPr>
      <w:numPr>
        <w:numId w:val="13"/>
      </w:numPr>
      <w:tabs>
        <w:tab w:val="clear" w:pos="340"/>
      </w:tabs>
      <w:spacing w:before="40" w:after="40"/>
    </w:pPr>
  </w:style>
  <w:style w:type="character" w:customStyle="1" w:styleId="SpecialBold">
    <w:name w:val="Special Bold"/>
    <w:basedOn w:val="DefaultParagraphFont"/>
    <w:rsid w:val="00C13783"/>
    <w:rPr>
      <w:b/>
      <w:spacing w:val="0"/>
    </w:rPr>
  </w:style>
  <w:style w:type="paragraph" w:styleId="ListBullet2">
    <w:name w:val="List Bullet 2"/>
    <w:basedOn w:val="List2"/>
    <w:rsid w:val="00C13783"/>
    <w:pPr>
      <w:numPr>
        <w:numId w:val="14"/>
      </w:numPr>
      <w:tabs>
        <w:tab w:val="clear" w:pos="680"/>
      </w:tabs>
    </w:pPr>
  </w:style>
  <w:style w:type="character" w:styleId="Emphasis">
    <w:name w:val="Emphasis"/>
    <w:basedOn w:val="DefaultParagraphFont"/>
    <w:qFormat/>
    <w:rsid w:val="00C13783"/>
    <w:rPr>
      <w:i/>
    </w:rPr>
  </w:style>
  <w:style w:type="paragraph" w:customStyle="1" w:styleId="SuperHeading">
    <w:name w:val="SuperHeading"/>
    <w:basedOn w:val="Normal"/>
    <w:rsid w:val="00C13783"/>
    <w:pPr>
      <w:spacing w:before="240" w:after="120"/>
      <w:outlineLvl w:val="0"/>
    </w:pPr>
    <w:rPr>
      <w:rFonts w:ascii="Times New Roman" w:hAnsi="Times New Roman"/>
      <w:b/>
      <w:sz w:val="32"/>
    </w:rPr>
  </w:style>
  <w:style w:type="paragraph" w:customStyle="1" w:styleId="AllowPageBreak">
    <w:name w:val="AllowPageBreak"/>
    <w:rsid w:val="00C137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783"/>
    <w:rPr>
      <w:rFonts w:ascii="Courier New" w:eastAsia="Times New Roman" w:hAnsi="Courier New" w:cs="Times New Roman"/>
      <w:i/>
      <w:szCs w:val="20"/>
      <w:lang w:eastAsia="en-US"/>
    </w:rPr>
  </w:style>
  <w:style w:type="paragraph" w:customStyle="1" w:styleId="HeadingBase">
    <w:name w:val="Heading Base"/>
    <w:rsid w:val="00C13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783"/>
    <w:pPr>
      <w:tabs>
        <w:tab w:val="right" w:leader="dot" w:pos="9072"/>
      </w:tabs>
      <w:ind w:left="567"/>
    </w:pPr>
    <w:rPr>
      <w:szCs w:val="22"/>
    </w:rPr>
  </w:style>
  <w:style w:type="paragraph" w:customStyle="1" w:styleId="TOCBase">
    <w:name w:val="TOC Base"/>
    <w:rsid w:val="00C13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783"/>
    <w:pPr>
      <w:tabs>
        <w:tab w:val="right" w:leader="dot" w:pos="9072"/>
      </w:tabs>
      <w:spacing w:before="40" w:after="40"/>
      <w:ind w:left="284"/>
    </w:pPr>
    <w:rPr>
      <w:rFonts w:ascii="Times New Roman" w:hAnsi="Times New Roman"/>
    </w:rPr>
  </w:style>
  <w:style w:type="paragraph" w:styleId="TOC1">
    <w:name w:val="toc 1"/>
    <w:basedOn w:val="TOCBase"/>
    <w:next w:val="Normal"/>
    <w:rsid w:val="00C13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783"/>
    <w:rPr>
      <w:rFonts w:ascii="Times New Roman" w:eastAsia="Times New Roman" w:hAnsi="Times New Roman" w:cs="Times New Roman"/>
      <w:sz w:val="16"/>
      <w:lang w:eastAsia="en-US"/>
    </w:rPr>
  </w:style>
  <w:style w:type="paragraph" w:styleId="Title">
    <w:name w:val="Title"/>
    <w:basedOn w:val="HeadingBase"/>
    <w:link w:val="TitleChar"/>
    <w:qFormat/>
    <w:rsid w:val="00C13783"/>
    <w:pPr>
      <w:spacing w:before="5040"/>
      <w:jc w:val="center"/>
    </w:pPr>
    <w:rPr>
      <w:sz w:val="48"/>
      <w:szCs w:val="72"/>
      <w:lang w:val="en-US"/>
    </w:rPr>
  </w:style>
  <w:style w:type="character" w:customStyle="1" w:styleId="TitleChar">
    <w:name w:val="Title Char"/>
    <w:basedOn w:val="DefaultParagraphFont"/>
    <w:link w:val="Title"/>
    <w:rsid w:val="00C13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783"/>
    <w:pPr>
      <w:tabs>
        <w:tab w:val="left" w:pos="3600"/>
        <w:tab w:val="left" w:pos="3958"/>
      </w:tabs>
    </w:pPr>
  </w:style>
  <w:style w:type="paragraph" w:styleId="List">
    <w:name w:val="List"/>
    <w:basedOn w:val="BodyText"/>
    <w:next w:val="BodyText"/>
    <w:rsid w:val="00C13783"/>
    <w:pPr>
      <w:tabs>
        <w:tab w:val="left" w:pos="340"/>
      </w:tabs>
      <w:spacing w:before="60" w:after="60"/>
      <w:ind w:left="340" w:hanging="340"/>
    </w:pPr>
  </w:style>
  <w:style w:type="paragraph" w:customStyle="1" w:styleId="Note">
    <w:name w:val="Note"/>
    <w:basedOn w:val="BodyText"/>
    <w:rsid w:val="00C13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783"/>
    <w:pPr>
      <w:framePr w:wrap="auto" w:hAnchor="text" w:y="6049"/>
    </w:pPr>
    <w:rPr>
      <w:color w:val="000000"/>
      <w:sz w:val="40"/>
    </w:rPr>
  </w:style>
  <w:style w:type="paragraph" w:customStyle="1" w:styleId="TOCTitle">
    <w:name w:val="TOCTitle"/>
    <w:basedOn w:val="Heading1"/>
    <w:rsid w:val="00C13783"/>
    <w:pPr>
      <w:spacing w:after="240"/>
      <w:jc w:val="center"/>
      <w:outlineLvl w:val="9"/>
    </w:pPr>
    <w:rPr>
      <w:caps/>
    </w:rPr>
  </w:style>
  <w:style w:type="paragraph" w:customStyle="1" w:styleId="Version">
    <w:name w:val="Version"/>
    <w:rsid w:val="00C13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783"/>
    <w:pPr>
      <w:keepNext w:val="0"/>
      <w:tabs>
        <w:tab w:val="right" w:pos="4176"/>
      </w:tabs>
      <w:ind w:left="198" w:hanging="198"/>
    </w:pPr>
    <w:rPr>
      <w:rFonts w:ascii="Garamond" w:hAnsi="Garamond"/>
    </w:rPr>
  </w:style>
  <w:style w:type="paragraph" w:styleId="IndexHeading">
    <w:name w:val="index heading"/>
    <w:basedOn w:val="Normal"/>
    <w:next w:val="Index1"/>
    <w:semiHidden/>
    <w:rsid w:val="00C13783"/>
    <w:pPr>
      <w:spacing w:before="120" w:after="120"/>
    </w:pPr>
    <w:rPr>
      <w:rFonts w:ascii="Arial" w:hAnsi="Arial"/>
      <w:b/>
      <w:color w:val="918585"/>
      <w:sz w:val="24"/>
    </w:rPr>
  </w:style>
  <w:style w:type="paragraph" w:styleId="Header">
    <w:name w:val="header"/>
    <w:basedOn w:val="Normal"/>
    <w:link w:val="HeaderChar"/>
    <w:rsid w:val="00C13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783"/>
    <w:rPr>
      <w:rFonts w:ascii="Times New Roman" w:eastAsia="Times New Roman" w:hAnsi="Times New Roman" w:cs="Times New Roman"/>
      <w:sz w:val="16"/>
      <w:szCs w:val="20"/>
      <w:lang w:val="en-GB" w:eastAsia="en-US"/>
    </w:rPr>
  </w:style>
  <w:style w:type="paragraph" w:customStyle="1" w:styleId="Chapter">
    <w:name w:val="Chapter"/>
    <w:basedOn w:val="Normal"/>
    <w:rsid w:val="00C13783"/>
    <w:pPr>
      <w:spacing w:before="240"/>
    </w:pPr>
    <w:rPr>
      <w:rFonts w:ascii="Times New Roman" w:hAnsi="Times New Roman"/>
      <w:smallCaps/>
      <w:spacing w:val="80"/>
      <w:sz w:val="28"/>
    </w:rPr>
  </w:style>
  <w:style w:type="paragraph" w:customStyle="1" w:styleId="InChapter">
    <w:name w:val="InChapter"/>
    <w:basedOn w:val="Heading3"/>
    <w:rsid w:val="00C13783"/>
    <w:pPr>
      <w:spacing w:after="240"/>
      <w:outlineLvl w:val="9"/>
    </w:pPr>
    <w:rPr>
      <w:noProof/>
    </w:rPr>
  </w:style>
  <w:style w:type="paragraph" w:styleId="Index2">
    <w:name w:val="index 2"/>
    <w:basedOn w:val="Normal"/>
    <w:next w:val="Normal"/>
    <w:semiHidden/>
    <w:rsid w:val="00C13783"/>
    <w:pPr>
      <w:tabs>
        <w:tab w:val="right" w:pos="4176"/>
      </w:tabs>
      <w:ind w:left="568" w:hanging="284"/>
    </w:pPr>
    <w:rPr>
      <w:rFonts w:ascii="Garamond" w:hAnsi="Garamond"/>
    </w:rPr>
  </w:style>
  <w:style w:type="paragraph" w:customStyle="1" w:styleId="Byline">
    <w:name w:val="Byline"/>
    <w:rsid w:val="00C13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783"/>
    <w:pPr>
      <w:tabs>
        <w:tab w:val="clear" w:pos="3600"/>
        <w:tab w:val="clear" w:pos="3958"/>
      </w:tabs>
      <w:jc w:val="right"/>
    </w:pPr>
  </w:style>
  <w:style w:type="paragraph" w:styleId="Caption">
    <w:name w:val="caption"/>
    <w:basedOn w:val="BodyText"/>
    <w:next w:val="Normal"/>
    <w:qFormat/>
    <w:rsid w:val="00C13783"/>
    <w:pPr>
      <w:framePr w:w="2268" w:hSpace="181" w:vSpace="181" w:wrap="around" w:vAnchor="text" w:hAnchor="page" w:x="1135" w:y="285" w:anchorLock="1"/>
    </w:pPr>
    <w:rPr>
      <w:i/>
    </w:rPr>
  </w:style>
  <w:style w:type="paragraph" w:customStyle="1" w:styleId="MiniTOCTitle">
    <w:name w:val="MiniTOCTitle"/>
    <w:basedOn w:val="Heading4"/>
    <w:rsid w:val="00C13783"/>
    <w:pPr>
      <w:spacing w:before="240"/>
      <w:outlineLvl w:val="9"/>
    </w:pPr>
    <w:rPr>
      <w:noProof/>
      <w:sz w:val="24"/>
    </w:rPr>
  </w:style>
  <w:style w:type="paragraph" w:customStyle="1" w:styleId="MiniTOCItem">
    <w:name w:val="MiniTOCItem"/>
    <w:basedOn w:val="ListBullet"/>
    <w:rsid w:val="00C13783"/>
    <w:pPr>
      <w:numPr>
        <w:numId w:val="0"/>
      </w:numPr>
      <w:tabs>
        <w:tab w:val="right" w:leader="dot" w:pos="6521"/>
      </w:tabs>
      <w:spacing w:before="0" w:after="0"/>
    </w:pPr>
  </w:style>
  <w:style w:type="paragraph" w:customStyle="1" w:styleId="TOFTitle">
    <w:name w:val="TOFTitle"/>
    <w:basedOn w:val="TOCTitle"/>
    <w:rsid w:val="00C13783"/>
  </w:style>
  <w:style w:type="paragraph" w:styleId="TableofFigures">
    <w:name w:val="table of figures"/>
    <w:basedOn w:val="Normal"/>
    <w:next w:val="Normal"/>
    <w:semiHidden/>
    <w:rsid w:val="00C13783"/>
    <w:pPr>
      <w:tabs>
        <w:tab w:val="right" w:leader="dot" w:pos="9072"/>
      </w:tabs>
      <w:ind w:left="970" w:hanging="403"/>
    </w:pPr>
    <w:rPr>
      <w:rFonts w:ascii="Times New Roman" w:hAnsi="Times New Roman"/>
      <w:b/>
    </w:rPr>
  </w:style>
  <w:style w:type="paragraph" w:styleId="ListNumber">
    <w:name w:val="List Number"/>
    <w:basedOn w:val="List"/>
    <w:rsid w:val="00C13783"/>
    <w:pPr>
      <w:numPr>
        <w:numId w:val="11"/>
      </w:numPr>
    </w:pPr>
  </w:style>
  <w:style w:type="character" w:customStyle="1" w:styleId="WingdingSymbols">
    <w:name w:val="Wingding Symbols"/>
    <w:rsid w:val="00C13783"/>
    <w:rPr>
      <w:rFonts w:ascii="Wingdings" w:hAnsi="Wingdings"/>
    </w:rPr>
  </w:style>
  <w:style w:type="paragraph" w:customStyle="1" w:styleId="TableHeading">
    <w:name w:val="Table Heading"/>
    <w:basedOn w:val="HeadingBase"/>
    <w:rsid w:val="00C13783"/>
    <w:pPr>
      <w:keepLines/>
      <w:pBdr>
        <w:bottom w:val="single" w:sz="6" w:space="1" w:color="918585"/>
      </w:pBdr>
      <w:spacing w:before="240"/>
    </w:pPr>
  </w:style>
  <w:style w:type="character" w:customStyle="1" w:styleId="HotSpot">
    <w:name w:val="HotSpot"/>
    <w:rsid w:val="00C13783"/>
    <w:rPr>
      <w:color w:val="0033CC"/>
      <w:u w:val="none"/>
    </w:rPr>
  </w:style>
  <w:style w:type="paragraph" w:customStyle="1" w:styleId="BodyTextRight">
    <w:name w:val="Body Text Right"/>
    <w:basedOn w:val="BodyText"/>
    <w:rsid w:val="00C13783"/>
    <w:pPr>
      <w:spacing w:before="0" w:after="0"/>
      <w:jc w:val="right"/>
    </w:pPr>
  </w:style>
  <w:style w:type="paragraph" w:styleId="Index3">
    <w:name w:val="index 3"/>
    <w:basedOn w:val="ListNumber2"/>
    <w:next w:val="Normal"/>
    <w:semiHidden/>
    <w:rsid w:val="00C13783"/>
    <w:pPr>
      <w:numPr>
        <w:numId w:val="0"/>
      </w:numPr>
      <w:tabs>
        <w:tab w:val="right" w:leader="dot" w:pos="4176"/>
      </w:tabs>
    </w:pPr>
  </w:style>
  <w:style w:type="paragraph" w:styleId="ListNumber2">
    <w:name w:val="List Number 2"/>
    <w:basedOn w:val="List2"/>
    <w:rsid w:val="00C13783"/>
    <w:pPr>
      <w:numPr>
        <w:numId w:val="10"/>
      </w:numPr>
      <w:tabs>
        <w:tab w:val="clear" w:pos="1060"/>
      </w:tabs>
    </w:pPr>
  </w:style>
  <w:style w:type="paragraph" w:customStyle="1" w:styleId="MarginNote">
    <w:name w:val="Margin Note"/>
    <w:basedOn w:val="BodyText"/>
    <w:rsid w:val="00C13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783"/>
    <w:rPr>
      <w:sz w:val="32"/>
    </w:rPr>
  </w:style>
  <w:style w:type="paragraph" w:customStyle="1" w:styleId="HeadingProcedure">
    <w:name w:val="Heading Procedure"/>
    <w:basedOn w:val="HeadingBase"/>
    <w:next w:val="Normal"/>
    <w:rsid w:val="00C13783"/>
    <w:pPr>
      <w:tabs>
        <w:tab w:val="left" w:pos="0"/>
      </w:tabs>
      <w:spacing w:before="120" w:after="60"/>
    </w:pPr>
    <w:rPr>
      <w:i/>
      <w:color w:val="918585"/>
      <w:sz w:val="22"/>
    </w:rPr>
  </w:style>
  <w:style w:type="paragraph" w:customStyle="1" w:styleId="TableBodyText">
    <w:name w:val="Table Body Text"/>
    <w:basedOn w:val="BodyText"/>
    <w:rsid w:val="00C13783"/>
    <w:pPr>
      <w:spacing w:before="60" w:after="60"/>
    </w:pPr>
  </w:style>
  <w:style w:type="paragraph" w:styleId="ListContinue">
    <w:name w:val="List Continue"/>
    <w:basedOn w:val="List"/>
    <w:rsid w:val="00C13783"/>
    <w:pPr>
      <w:ind w:firstLine="0"/>
    </w:pPr>
  </w:style>
  <w:style w:type="paragraph" w:customStyle="1" w:styleId="ListNote">
    <w:name w:val="List Note"/>
    <w:basedOn w:val="List"/>
    <w:rsid w:val="00C13783"/>
    <w:pPr>
      <w:pBdr>
        <w:top w:val="single" w:sz="6" w:space="2" w:color="918585"/>
        <w:bottom w:val="single" w:sz="6" w:space="2" w:color="918585"/>
      </w:pBdr>
      <w:tabs>
        <w:tab w:val="left" w:pos="1021"/>
      </w:tabs>
      <w:ind w:firstLine="0"/>
    </w:pPr>
  </w:style>
  <w:style w:type="paragraph" w:customStyle="1" w:styleId="Warning">
    <w:name w:val="Warning"/>
    <w:basedOn w:val="BodyText"/>
    <w:rsid w:val="00C13783"/>
    <w:pPr>
      <w:shd w:val="clear" w:color="auto" w:fill="D9D9D9"/>
      <w:tabs>
        <w:tab w:val="left" w:pos="992"/>
      </w:tabs>
      <w:ind w:left="119" w:right="119"/>
    </w:pPr>
    <w:rPr>
      <w:sz w:val="20"/>
    </w:rPr>
  </w:style>
  <w:style w:type="paragraph" w:customStyle="1" w:styleId="MarginIcons">
    <w:name w:val="Margin Icons"/>
    <w:basedOn w:val="BodyText"/>
    <w:rsid w:val="00C13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783"/>
    <w:rPr>
      <w:rFonts w:ascii="Courier New" w:hAnsi="Courier New"/>
    </w:rPr>
  </w:style>
  <w:style w:type="paragraph" w:customStyle="1" w:styleId="NoteBullet">
    <w:name w:val="Note Bullet"/>
    <w:basedOn w:val="Note"/>
    <w:rsid w:val="00C13783"/>
    <w:pPr>
      <w:tabs>
        <w:tab w:val="clear" w:pos="680"/>
      </w:tabs>
      <w:spacing w:before="60" w:after="60"/>
    </w:pPr>
  </w:style>
  <w:style w:type="paragraph" w:customStyle="1" w:styleId="SubHeading2">
    <w:name w:val="SubHeading2"/>
    <w:basedOn w:val="HeadingBase"/>
    <w:rsid w:val="00C13783"/>
    <w:pPr>
      <w:spacing w:before="240" w:after="60"/>
    </w:pPr>
    <w:rPr>
      <w:sz w:val="20"/>
    </w:rPr>
  </w:style>
  <w:style w:type="paragraph" w:customStyle="1" w:styleId="SubHeading1">
    <w:name w:val="SubHeading1"/>
    <w:basedOn w:val="HeadingBase"/>
    <w:rsid w:val="00C13783"/>
    <w:pPr>
      <w:spacing w:before="240" w:after="60"/>
    </w:pPr>
    <w:rPr>
      <w:color w:val="918585"/>
      <w:sz w:val="22"/>
    </w:rPr>
  </w:style>
  <w:style w:type="paragraph" w:customStyle="1" w:styleId="SideHeading">
    <w:name w:val="Side Heading"/>
    <w:basedOn w:val="HeadingBase"/>
    <w:rsid w:val="00C13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783"/>
    <w:pPr>
      <w:numPr>
        <w:numId w:val="12"/>
      </w:numPr>
    </w:pPr>
  </w:style>
  <w:style w:type="paragraph" w:styleId="PlainText">
    <w:name w:val="Plain Text"/>
    <w:basedOn w:val="Normal"/>
    <w:link w:val="PlainTextChar"/>
    <w:rsid w:val="00C13783"/>
    <w:rPr>
      <w:sz w:val="20"/>
    </w:rPr>
  </w:style>
  <w:style w:type="character" w:customStyle="1" w:styleId="PlainTextChar">
    <w:name w:val="Plain Text Char"/>
    <w:basedOn w:val="DefaultParagraphFont"/>
    <w:link w:val="PlainText"/>
    <w:rsid w:val="00C13783"/>
    <w:rPr>
      <w:rFonts w:ascii="Courier New" w:eastAsia="Times New Roman" w:hAnsi="Courier New" w:cs="Times New Roman"/>
      <w:sz w:val="20"/>
      <w:szCs w:val="20"/>
      <w:lang w:eastAsia="en-US"/>
    </w:rPr>
  </w:style>
  <w:style w:type="character" w:customStyle="1" w:styleId="MenuOption">
    <w:name w:val="Menu Option"/>
    <w:basedOn w:val="DefaultParagraphFont"/>
    <w:rsid w:val="00C13783"/>
    <w:rPr>
      <w:b/>
      <w:smallCaps/>
    </w:rPr>
  </w:style>
  <w:style w:type="paragraph" w:customStyle="1" w:styleId="TableListNumber">
    <w:name w:val="Table List Number"/>
    <w:basedOn w:val="ListNumber"/>
    <w:rsid w:val="00C13783"/>
    <w:pPr>
      <w:numPr>
        <w:numId w:val="0"/>
      </w:numPr>
    </w:pPr>
  </w:style>
  <w:style w:type="paragraph" w:styleId="TOC4">
    <w:name w:val="toc 4"/>
    <w:basedOn w:val="TOCBase"/>
    <w:next w:val="Normal"/>
    <w:semiHidden/>
    <w:rsid w:val="00C13783"/>
    <w:pPr>
      <w:tabs>
        <w:tab w:val="right" w:leader="dot" w:pos="9071"/>
      </w:tabs>
      <w:ind w:left="1701"/>
    </w:pPr>
  </w:style>
  <w:style w:type="paragraph" w:customStyle="1" w:styleId="ListAlpha">
    <w:name w:val="List Alpha"/>
    <w:basedOn w:val="List"/>
    <w:rsid w:val="00C13783"/>
    <w:pPr>
      <w:numPr>
        <w:numId w:val="9"/>
      </w:numPr>
    </w:pPr>
  </w:style>
  <w:style w:type="paragraph" w:customStyle="1" w:styleId="ListAlpha2">
    <w:name w:val="List Alpha 2"/>
    <w:basedOn w:val="List2"/>
    <w:rsid w:val="00C13783"/>
    <w:pPr>
      <w:numPr>
        <w:numId w:val="8"/>
      </w:numPr>
    </w:pPr>
  </w:style>
  <w:style w:type="paragraph" w:styleId="List2">
    <w:name w:val="List 2"/>
    <w:basedOn w:val="BodyText"/>
    <w:rsid w:val="00C13783"/>
    <w:pPr>
      <w:tabs>
        <w:tab w:val="left" w:pos="680"/>
      </w:tabs>
      <w:spacing w:before="60" w:after="60"/>
      <w:ind w:left="680" w:hanging="340"/>
    </w:pPr>
  </w:style>
  <w:style w:type="paragraph" w:styleId="List3">
    <w:name w:val="List 3"/>
    <w:basedOn w:val="BodyText"/>
    <w:rsid w:val="00C13783"/>
    <w:pPr>
      <w:tabs>
        <w:tab w:val="left" w:pos="1021"/>
      </w:tabs>
      <w:spacing w:before="60" w:after="60"/>
      <w:ind w:left="1020" w:hanging="340"/>
    </w:pPr>
  </w:style>
  <w:style w:type="paragraph" w:styleId="List4">
    <w:name w:val="List 4"/>
    <w:basedOn w:val="BodyText"/>
    <w:rsid w:val="00C13783"/>
    <w:pPr>
      <w:tabs>
        <w:tab w:val="left" w:pos="1361"/>
      </w:tabs>
      <w:spacing w:before="60" w:after="60"/>
      <w:ind w:left="1361" w:hanging="340"/>
    </w:pPr>
  </w:style>
  <w:style w:type="paragraph" w:styleId="List5">
    <w:name w:val="List 5"/>
    <w:basedOn w:val="BodyText"/>
    <w:rsid w:val="00C13783"/>
    <w:pPr>
      <w:tabs>
        <w:tab w:val="left" w:pos="1701"/>
      </w:tabs>
      <w:spacing w:before="60" w:after="60"/>
      <w:ind w:left="1701" w:hanging="340"/>
    </w:pPr>
  </w:style>
  <w:style w:type="paragraph" w:styleId="ListBullet3">
    <w:name w:val="List Bullet 3"/>
    <w:basedOn w:val="List3"/>
    <w:rsid w:val="00C13783"/>
    <w:pPr>
      <w:numPr>
        <w:numId w:val="15"/>
      </w:numPr>
      <w:tabs>
        <w:tab w:val="clear" w:pos="1021"/>
      </w:tabs>
      <w:ind w:left="1037" w:hanging="357"/>
    </w:pPr>
  </w:style>
  <w:style w:type="paragraph" w:styleId="ListBullet4">
    <w:name w:val="List Bullet 4"/>
    <w:basedOn w:val="List4"/>
    <w:rsid w:val="00C13783"/>
    <w:pPr>
      <w:numPr>
        <w:numId w:val="3"/>
      </w:numPr>
    </w:pPr>
  </w:style>
  <w:style w:type="paragraph" w:styleId="ListBullet5">
    <w:name w:val="List Bullet 5"/>
    <w:basedOn w:val="List5"/>
    <w:rsid w:val="00C13783"/>
    <w:pPr>
      <w:numPr>
        <w:numId w:val="4"/>
      </w:numPr>
    </w:pPr>
  </w:style>
  <w:style w:type="paragraph" w:styleId="ListContinue2">
    <w:name w:val="List Continue 2"/>
    <w:basedOn w:val="List2"/>
    <w:rsid w:val="00C13783"/>
    <w:pPr>
      <w:ind w:firstLine="0"/>
    </w:pPr>
  </w:style>
  <w:style w:type="paragraph" w:styleId="ListContinue3">
    <w:name w:val="List Continue 3"/>
    <w:basedOn w:val="List3"/>
    <w:rsid w:val="00C13783"/>
    <w:pPr>
      <w:ind w:left="1021" w:firstLine="0"/>
    </w:pPr>
  </w:style>
  <w:style w:type="paragraph" w:styleId="ListContinue4">
    <w:name w:val="List Continue 4"/>
    <w:basedOn w:val="List4"/>
    <w:rsid w:val="00C13783"/>
    <w:pPr>
      <w:ind w:firstLine="0"/>
    </w:pPr>
  </w:style>
  <w:style w:type="paragraph" w:styleId="ListContinue5">
    <w:name w:val="List Continue 5"/>
    <w:basedOn w:val="List5"/>
    <w:rsid w:val="00C13783"/>
    <w:pPr>
      <w:ind w:firstLine="0"/>
    </w:pPr>
  </w:style>
  <w:style w:type="paragraph" w:styleId="ListNumber3">
    <w:name w:val="List Number 3"/>
    <w:basedOn w:val="List3"/>
    <w:rsid w:val="00C13783"/>
    <w:pPr>
      <w:numPr>
        <w:numId w:val="5"/>
      </w:numPr>
    </w:pPr>
  </w:style>
  <w:style w:type="paragraph" w:styleId="ListNumber4">
    <w:name w:val="List Number 4"/>
    <w:basedOn w:val="List4"/>
    <w:rsid w:val="00C13783"/>
    <w:pPr>
      <w:numPr>
        <w:numId w:val="6"/>
      </w:numPr>
    </w:pPr>
  </w:style>
  <w:style w:type="paragraph" w:styleId="ListNumber5">
    <w:name w:val="List Number 5"/>
    <w:basedOn w:val="List5"/>
    <w:rsid w:val="00C13783"/>
    <w:pPr>
      <w:numPr>
        <w:numId w:val="7"/>
      </w:numPr>
    </w:pPr>
  </w:style>
  <w:style w:type="paragraph" w:styleId="BlockText">
    <w:name w:val="Block Text"/>
    <w:basedOn w:val="Normal"/>
    <w:rsid w:val="00C13783"/>
    <w:pPr>
      <w:spacing w:after="120"/>
      <w:ind w:left="1440" w:right="1440"/>
    </w:pPr>
  </w:style>
  <w:style w:type="character" w:customStyle="1" w:styleId="Subscript">
    <w:name w:val="Subscript"/>
    <w:basedOn w:val="DefaultParagraphFont"/>
    <w:rsid w:val="00C13783"/>
    <w:rPr>
      <w:sz w:val="16"/>
      <w:vertAlign w:val="subscript"/>
    </w:rPr>
  </w:style>
  <w:style w:type="character" w:customStyle="1" w:styleId="Superscript">
    <w:name w:val="Superscript"/>
    <w:basedOn w:val="DefaultParagraphFont"/>
    <w:rsid w:val="00C13783"/>
    <w:rPr>
      <w:sz w:val="16"/>
      <w:vertAlign w:val="superscript"/>
    </w:rPr>
  </w:style>
  <w:style w:type="character" w:customStyle="1" w:styleId="Symbols">
    <w:name w:val="Symbols"/>
    <w:basedOn w:val="DefaultParagraphFont"/>
    <w:rsid w:val="00C13783"/>
    <w:rPr>
      <w:rFonts w:ascii="Symbol" w:hAnsi="Symbol"/>
    </w:rPr>
  </w:style>
  <w:style w:type="character" w:customStyle="1" w:styleId="MenuOptions">
    <w:name w:val="Menu Options"/>
    <w:basedOn w:val="DefaultParagraphFont"/>
    <w:rsid w:val="00C13783"/>
    <w:rPr>
      <w:rFonts w:ascii="Arial Narrow" w:hAnsi="Arial Narrow"/>
      <w:smallCaps/>
    </w:rPr>
  </w:style>
  <w:style w:type="character" w:customStyle="1" w:styleId="Buttons">
    <w:name w:val="Buttons"/>
    <w:basedOn w:val="DefaultParagraphFont"/>
    <w:rsid w:val="00C13783"/>
    <w:rPr>
      <w:b/>
    </w:rPr>
  </w:style>
  <w:style w:type="character" w:customStyle="1" w:styleId="Underlined">
    <w:name w:val="Underlined"/>
    <w:basedOn w:val="DefaultParagraphFont"/>
    <w:rsid w:val="00C13783"/>
    <w:rPr>
      <w:u w:val="single"/>
    </w:rPr>
  </w:style>
  <w:style w:type="paragraph" w:customStyle="1" w:styleId="TableBodyTextRight">
    <w:name w:val="Table Body Text Right"/>
    <w:basedOn w:val="TableBodyText"/>
    <w:rsid w:val="00C13783"/>
    <w:pPr>
      <w:widowControl w:val="0"/>
      <w:autoSpaceDE w:val="0"/>
      <w:autoSpaceDN w:val="0"/>
      <w:adjustRightInd w:val="0"/>
      <w:jc w:val="right"/>
    </w:pPr>
    <w:rPr>
      <w:rFonts w:cs="Arial"/>
      <w:szCs w:val="18"/>
    </w:rPr>
  </w:style>
  <w:style w:type="paragraph" w:customStyle="1" w:styleId="CopyrightText">
    <w:name w:val="Copyright Text"/>
    <w:basedOn w:val="BodyText"/>
    <w:rsid w:val="00C13783"/>
    <w:rPr>
      <w:sz w:val="18"/>
    </w:rPr>
  </w:style>
  <w:style w:type="paragraph" w:customStyle="1" w:styleId="BodySmallRight">
    <w:name w:val="Body Small Right"/>
    <w:basedOn w:val="BodyTextRight"/>
    <w:rsid w:val="00C13783"/>
    <w:rPr>
      <w:sz w:val="18"/>
      <w:szCs w:val="18"/>
    </w:rPr>
  </w:style>
  <w:style w:type="paragraph" w:customStyle="1" w:styleId="MarginEdition">
    <w:name w:val="Margin Edition"/>
    <w:basedOn w:val="MarginNote"/>
    <w:rsid w:val="00C13783"/>
    <w:pPr>
      <w:spacing w:before="0" w:after="0"/>
    </w:pPr>
    <w:rPr>
      <w:rFonts w:ascii="Times New Roman" w:hAnsi="Times New Roman"/>
      <w:color w:val="999999"/>
    </w:rPr>
  </w:style>
  <w:style w:type="paragraph" w:customStyle="1" w:styleId="Spacer">
    <w:name w:val="Spacer"/>
    <w:basedOn w:val="Normal"/>
    <w:rsid w:val="00C13783"/>
    <w:rPr>
      <w:sz w:val="2"/>
      <w:szCs w:val="2"/>
    </w:rPr>
  </w:style>
  <w:style w:type="character" w:customStyle="1" w:styleId="Small">
    <w:name w:val="Small"/>
    <w:basedOn w:val="DefaultParagraphFont"/>
    <w:rsid w:val="00C13783"/>
    <w:rPr>
      <w:sz w:val="16"/>
    </w:rPr>
  </w:style>
  <w:style w:type="paragraph" w:customStyle="1" w:styleId="WideTable">
    <w:name w:val="Wide Table"/>
    <w:basedOn w:val="Normal"/>
    <w:rsid w:val="00C13783"/>
    <w:pPr>
      <w:ind w:left="-1418"/>
    </w:pPr>
    <w:rPr>
      <w:sz w:val="2"/>
      <w:szCs w:val="2"/>
    </w:rPr>
  </w:style>
  <w:style w:type="character" w:styleId="PageNumber">
    <w:name w:val="page number"/>
    <w:basedOn w:val="DefaultParagraphFont"/>
    <w:rsid w:val="00C13783"/>
  </w:style>
  <w:style w:type="paragraph" w:styleId="Quote">
    <w:name w:val="Quote"/>
    <w:basedOn w:val="Heading1"/>
    <w:link w:val="QuoteChar"/>
    <w:qFormat/>
    <w:rsid w:val="00C13783"/>
    <w:rPr>
      <w:b w:val="0"/>
      <w:sz w:val="72"/>
      <w:szCs w:val="72"/>
      <w:lang w:val="en-NZ"/>
    </w:rPr>
  </w:style>
  <w:style w:type="character" w:customStyle="1" w:styleId="QuoteChar">
    <w:name w:val="Quote Char"/>
    <w:basedOn w:val="DefaultParagraphFont"/>
    <w:link w:val="Quote"/>
    <w:rsid w:val="00C13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783"/>
    <w:pPr>
      <w:pageBreakBefore/>
    </w:pPr>
  </w:style>
  <w:style w:type="paragraph" w:customStyle="1" w:styleId="Border">
    <w:name w:val="Border"/>
    <w:basedOn w:val="Normal"/>
    <w:qFormat/>
    <w:rsid w:val="00C13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783"/>
    <w:rPr>
      <w:b/>
      <w:bCs/>
      <w:i/>
      <w:iCs/>
      <w:color w:val="auto"/>
    </w:rPr>
  </w:style>
  <w:style w:type="paragraph" w:styleId="IntenseQuote">
    <w:name w:val="Intense Quote"/>
    <w:basedOn w:val="Normal"/>
    <w:next w:val="Normal"/>
    <w:link w:val="IntenseQuoteChar"/>
    <w:uiPriority w:val="30"/>
    <w:qFormat/>
    <w:rsid w:val="00C13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783"/>
    <w:rPr>
      <w:smallCaps/>
      <w:color w:val="auto"/>
      <w:u w:val="single"/>
    </w:rPr>
  </w:style>
  <w:style w:type="character" w:styleId="IntenseReference">
    <w:name w:val="Intense Reference"/>
    <w:basedOn w:val="DefaultParagraphFont"/>
    <w:uiPriority w:val="32"/>
    <w:qFormat/>
    <w:rsid w:val="00C13783"/>
    <w:rPr>
      <w:b/>
      <w:bCs/>
      <w:smallCaps/>
      <w:color w:val="auto"/>
      <w:spacing w:val="5"/>
      <w:u w:val="single"/>
    </w:rPr>
  </w:style>
  <w:style w:type="paragraph" w:customStyle="1" w:styleId="2ColumnHeading">
    <w:name w:val="2Column Heading"/>
    <w:basedOn w:val="BodyText"/>
    <w:qFormat/>
    <w:rsid w:val="00C13783"/>
    <w:pPr>
      <w:spacing w:after="60"/>
      <w:ind w:left="-2268"/>
    </w:pPr>
    <w:rPr>
      <w:b/>
    </w:rPr>
  </w:style>
  <w:style w:type="paragraph" w:customStyle="1" w:styleId="Heading1TOC">
    <w:name w:val="Heading1 TOC"/>
    <w:basedOn w:val="Normal"/>
    <w:qFormat/>
    <w:rsid w:val="00C13783"/>
    <w:pPr>
      <w:spacing w:before="240" w:after="120"/>
    </w:pPr>
    <w:rPr>
      <w:rFonts w:ascii="Times New Roman" w:hAnsi="Times New Roman"/>
      <w:b/>
      <w:sz w:val="32"/>
    </w:rPr>
  </w:style>
  <w:style w:type="paragraph" w:customStyle="1" w:styleId="Heading2TOC">
    <w:name w:val="Heading2 TOC"/>
    <w:basedOn w:val="Normal"/>
    <w:qFormat/>
    <w:rsid w:val="00C13783"/>
    <w:pPr>
      <w:spacing w:before="240" w:after="60"/>
    </w:pPr>
    <w:rPr>
      <w:rFonts w:ascii="Times New Roman" w:hAnsi="Times New Roman"/>
      <w:b/>
      <w:sz w:val="28"/>
    </w:rPr>
  </w:style>
  <w:style w:type="character" w:customStyle="1" w:styleId="Underline">
    <w:name w:val="Underline"/>
    <w:basedOn w:val="DefaultParagraphFont"/>
    <w:qFormat/>
    <w:rsid w:val="00C13783"/>
    <w:rPr>
      <w:u w:val="single"/>
    </w:rPr>
  </w:style>
  <w:style w:type="character" w:customStyle="1" w:styleId="BoldandItalics">
    <w:name w:val="Bold and Italics"/>
    <w:qFormat/>
    <w:rsid w:val="00C13783"/>
    <w:rPr>
      <w:b/>
      <w:i/>
      <w:u w:val="none"/>
    </w:rPr>
  </w:style>
  <w:style w:type="paragraph" w:styleId="BalloonText">
    <w:name w:val="Balloon Text"/>
    <w:basedOn w:val="Normal"/>
    <w:link w:val="BalloonTextChar"/>
    <w:rsid w:val="00C13783"/>
    <w:rPr>
      <w:rFonts w:ascii="Tahoma" w:hAnsi="Tahoma" w:cs="Tahoma"/>
      <w:sz w:val="16"/>
      <w:szCs w:val="16"/>
    </w:rPr>
  </w:style>
  <w:style w:type="character" w:customStyle="1" w:styleId="BalloonTextChar">
    <w:name w:val="Balloon Text Char"/>
    <w:basedOn w:val="DefaultParagraphFont"/>
    <w:link w:val="BalloonText"/>
    <w:rsid w:val="00C13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7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783"/>
    <w:rPr>
      <w:b/>
      <w:color w:val="660033"/>
      <w:spacing w:val="0"/>
    </w:rPr>
  </w:style>
  <w:style w:type="paragraph" w:customStyle="1" w:styleId="Nameditemlist">
    <w:name w:val="Named item list"/>
    <w:basedOn w:val="BodyText"/>
    <w:qFormat/>
    <w:rsid w:val="00C137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2316</Words>
  <Characters>14484</Characters>
  <Application>Microsoft Office Word</Application>
  <DocSecurity>0</DocSecurity>
  <Lines>585</Lines>
  <Paragraphs>230</Paragraphs>
  <ScaleCrop>false</ScaleCrop>
  <Company>Author-it Software Corporation Ltd.</Company>
  <LinksUpToDate>false</LinksUpToDate>
  <CharactersWithSpaces>16649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UEGNSG349A Carry out surveillance of gas transmission pipelines</dc:title>
  <dc:subject>Approved</dc:subject>
  <dc:creator>E-Oz Training Standards</dc:creator>
  <cp:keywords>Release 1</cp:keywords>
  <dc:description>Review Date: 12 April 2008</dc:description>
  <cp:lastModifiedBy>HSD_TPCMSd.prod</cp:lastModifiedBy>
  <cp:revision>3</cp:revision>
  <dcterms:created xsi:type="dcterms:W3CDTF">2014-03-13T15:19:14Z</dcterms:created>
  <dcterms:modified xsi:type="dcterms:W3CDTF">2014-03-13T03:50:00Z</dcterms:modified>
</cp:coreProperties>
</file>