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77C6" w:rsidP="005877C6">
      <w:pPr>
        <w:pStyle w:val="Title"/>
      </w:pPr>
      <w:r>
        <w:fldChar w:fldCharType="begin"/>
      </w:r>
      <w:r>
        <w:instrText xml:space="preserve"> TITLE   \* MERGEFORMAT </w:instrText>
      </w:r>
      <w:r>
        <w:fldChar w:fldCharType="separate"/>
      </w:r>
      <w:r>
        <w:t>UEGNSG333A Work in proximity of transmission pipeline construction plant and equipment</w:t>
      </w:r>
      <w:r>
        <w:fldChar w:fldCharType="end"/>
      </w:r>
    </w:p>
    <w:p w:rsidR="005877C6" w:rsidP="005877C6">
      <w:pPr>
        <w:pStyle w:val="Version"/>
        <w:sectPr w:rsidSect="001850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50A1" w:rsidP="001850A1">
      <w:pPr>
        <w:pStyle w:val="SuperHeading"/>
      </w:pPr>
      <w:r w:rsidRPr="001850A1">
        <w:t>UEGNSG333A Work in proximity of transmission pipeline construction plant and equipment</w:t>
      </w:r>
    </w:p>
    <w:p w:rsidR="00000000" w:rsidRPr="001850A1" w:rsidP="001850A1">
      <w:pPr>
        <w:pStyle w:val="Heading1"/>
      </w:pPr>
      <w:bookmarkStart w:id="1" w:name="O_583335"/>
      <w:bookmarkEnd w:id="1"/>
      <w:r w:rsidRPr="001850A1">
        <w:t>Modification History</w:t>
      </w:r>
    </w:p>
    <w:tbl>
      <w:tblPr>
        <w:tblW w:w="0" w:type="auto"/>
        <w:tblLayout w:type="fixed"/>
        <w:tblCellMar>
          <w:left w:w="62" w:type="dxa"/>
          <w:right w:w="62" w:type="dxa"/>
        </w:tblCellMar>
        <w:tblLook w:val="0000"/>
      </w:tblPr>
      <w:tblGrid>
        <w:gridCol w:w="8280"/>
      </w:tblGrid>
      <w:tr w:rsidTr="005877C6">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RPr="001850A1" w:rsidP="001850A1">
            <w:pPr>
              <w:pStyle w:val="BodyText"/>
            </w:pPr>
            <w:r w:rsidRPr="001850A1">
              <w:t xml:space="preserve">This is a new unit which replaces the UEG11 unit UEGNSG323A Operate transmission pipeline construction plant and equipment </w:t>
            </w:r>
          </w:p>
        </w:tc>
      </w:tr>
    </w:tbl>
    <w:p w:rsidR="00000000" w:rsidRPr="001850A1" w:rsidP="001850A1">
      <w:pPr>
        <w:pStyle w:val="BodyText"/>
      </w:pPr>
    </w:p>
    <w:p w:rsidR="00000000" w:rsidRPr="001850A1" w:rsidP="001850A1">
      <w:pPr>
        <w:pStyle w:val="AllowPageBreak"/>
      </w:pPr>
    </w:p>
    <w:p w:rsidR="00000000" w:rsidRPr="001850A1" w:rsidP="001850A1">
      <w:pPr>
        <w:pStyle w:val="Heading1"/>
      </w:pPr>
      <w:bookmarkStart w:id="2" w:name="O_583336"/>
      <w:bookmarkEnd w:id="2"/>
      <w:r w:rsidRPr="001850A1">
        <w:t>Unit Descriptor</w:t>
      </w:r>
    </w:p>
    <w:tbl>
      <w:tblPr>
        <w:tblW w:w="0" w:type="auto"/>
        <w:tblLayout w:type="fixed"/>
        <w:tblCellMar>
          <w:left w:w="62" w:type="dxa"/>
          <w:right w:w="62" w:type="dxa"/>
        </w:tblCellMar>
        <w:tblLook w:val="0000"/>
      </w:tblPr>
      <w:tblGrid>
        <w:gridCol w:w="2638"/>
        <w:gridCol w:w="5760"/>
      </w:tblGrid>
      <w:tr w:rsidTr="001850A1">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P="001850A1">
            <w:pPr>
              <w:pStyle w:val="Heading4"/>
              <w:rPr>
                <w:lang w:val="en-NZ"/>
              </w:rPr>
            </w:pPr>
            <w:r w:rsidRPr="001850A1">
              <w:t>Unit Descriptor</w:t>
            </w:r>
          </w:p>
        </w:tc>
        <w:tc>
          <w:tcPr>
            <w:tcW w:w="5760" w:type="dxa"/>
            <w:tcBorders>
              <w:top w:val="nil"/>
              <w:left w:val="nil"/>
              <w:bottom w:val="nil"/>
              <w:right w:val="nil"/>
            </w:tcBorders>
            <w:tcMar>
              <w:top w:w="0" w:type="dxa"/>
              <w:left w:w="62" w:type="dxa"/>
              <w:bottom w:w="0" w:type="dxa"/>
              <w:right w:w="62" w:type="dxa"/>
            </w:tcMar>
          </w:tcPr>
          <w:p w:rsidR="00000000" w:rsidP="001850A1">
            <w:pPr>
              <w:pStyle w:val="Heading4"/>
              <w:rPr>
                <w:lang w:val="en-NZ"/>
              </w:rPr>
            </w:pPr>
            <w:r w:rsidRPr="001850A1">
              <w:t xml:space="preserve">1) Scope: </w:t>
            </w:r>
          </w:p>
        </w:tc>
      </w:tr>
      <w:tr w:rsidTr="001850A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5760" w:type="dxa"/>
            <w:tcBorders>
              <w:top w:val="nil"/>
              <w:left w:val="nil"/>
              <w:bottom w:val="nil"/>
              <w:right w:val="nil"/>
            </w:tcBorders>
            <w:tcMar>
              <w:top w:w="0" w:type="dxa"/>
              <w:left w:w="62" w:type="dxa"/>
              <w:bottom w:w="0" w:type="dxa"/>
              <w:right w:w="62" w:type="dxa"/>
            </w:tcMar>
          </w:tcPr>
          <w:p w:rsidR="00000000" w:rsidP="001850A1">
            <w:pPr>
              <w:pStyle w:val="Heading4"/>
              <w:rPr>
                <w:lang w:val="en-NZ"/>
              </w:rPr>
            </w:pPr>
            <w:r w:rsidRPr="001850A1">
              <w:t>1.1) Descriptor</w:t>
            </w:r>
          </w:p>
        </w:tc>
      </w:tr>
      <w:tr w:rsidTr="001850A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5760" w:type="dxa"/>
            <w:tcBorders>
              <w:top w:val="nil"/>
              <w:left w:val="nil"/>
              <w:bottom w:val="nil"/>
              <w:right w:val="nil"/>
            </w:tcBorders>
            <w:tcMar>
              <w:top w:w="0" w:type="dxa"/>
              <w:left w:w="62" w:type="dxa"/>
              <w:bottom w:w="0" w:type="dxa"/>
              <w:right w:w="62" w:type="dxa"/>
            </w:tcMar>
          </w:tcPr>
          <w:p w:rsidR="00000000" w:rsidRPr="001850A1" w:rsidP="001850A1">
            <w:r w:rsidRPr="001850A1">
              <w:t>This unit covers working in proximity of gas transmission construction plant and equipment in accordance with relevant legislation, code, regulations and procedures.</w:t>
            </w:r>
          </w:p>
          <w:p w:rsidR="00000000" w:rsidRPr="001850A1" w:rsidP="001850A1"/>
          <w:p w:rsidR="00000000" w:rsidRPr="001850A1" w:rsidP="001850A1">
            <w:r w:rsidRPr="001850A1">
              <w:t>It encompasses the operating parameters and safety issues of a range of specific plant and equipment dedicated to the construction of transmission pipelines.</w:t>
            </w:r>
          </w:p>
          <w:p w:rsidR="00000000" w:rsidRPr="001850A1" w:rsidP="001850A1"/>
          <w:p w:rsidR="00000000" w:rsidRPr="001850A1" w:rsidP="001850A1"/>
        </w:tc>
      </w:tr>
    </w:tbl>
    <w:p w:rsidR="00000000" w:rsidRPr="001850A1" w:rsidP="001850A1"/>
    <w:p w:rsidR="00000000" w:rsidRPr="001850A1" w:rsidP="001850A1">
      <w:pPr>
        <w:pStyle w:val="AllowPageBreak"/>
      </w:pPr>
    </w:p>
    <w:p w:rsidR="00000000" w:rsidRPr="001850A1" w:rsidP="001850A1">
      <w:pPr>
        <w:pStyle w:val="Heading1"/>
      </w:pPr>
      <w:bookmarkStart w:id="3" w:name="O_583337"/>
      <w:bookmarkEnd w:id="3"/>
      <w:r w:rsidRPr="001850A1">
        <w:t>Application of the Unit</w:t>
      </w:r>
    </w:p>
    <w:tbl>
      <w:tblPr>
        <w:tblW w:w="0" w:type="auto"/>
        <w:tblLayout w:type="fixed"/>
        <w:tblCellMar>
          <w:left w:w="62" w:type="dxa"/>
          <w:right w:w="62" w:type="dxa"/>
        </w:tblCellMar>
        <w:tblLook w:val="0000"/>
      </w:tblPr>
      <w:tblGrid>
        <w:gridCol w:w="2610"/>
        <w:gridCol w:w="5699"/>
      </w:tblGrid>
      <w:tr w:rsidTr="001850A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1850A1">
            <w:pPr>
              <w:pStyle w:val="Heading4"/>
              <w:rPr>
                <w:lang w:val="en-NZ"/>
              </w:rPr>
            </w:pPr>
            <w:r w:rsidRPr="001850A1">
              <w:t>Application of the Unit</w:t>
            </w:r>
          </w:p>
        </w:tc>
        <w:tc>
          <w:tcPr>
            <w:tcW w:w="5699" w:type="dxa"/>
            <w:tcBorders>
              <w:top w:val="nil"/>
              <w:left w:val="nil"/>
              <w:bottom w:val="nil"/>
              <w:right w:val="nil"/>
            </w:tcBorders>
            <w:tcMar>
              <w:top w:w="0" w:type="dxa"/>
              <w:left w:w="62" w:type="dxa"/>
              <w:bottom w:w="0" w:type="dxa"/>
              <w:right w:w="62" w:type="dxa"/>
            </w:tcMar>
          </w:tcPr>
          <w:p w:rsidR="00000000" w:rsidP="001850A1">
            <w:pPr>
              <w:pStyle w:val="Heading4"/>
              <w:rPr>
                <w:lang w:val="en-NZ"/>
              </w:rPr>
            </w:pPr>
            <w:r w:rsidRPr="001850A1">
              <w:t>2)</w:t>
            </w:r>
          </w:p>
        </w:tc>
      </w:tr>
      <w:tr w:rsidTr="001850A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5699" w:type="dxa"/>
            <w:tcBorders>
              <w:top w:val="nil"/>
              <w:left w:val="nil"/>
              <w:bottom w:val="nil"/>
              <w:right w:val="nil"/>
            </w:tcBorders>
            <w:tcMar>
              <w:top w:w="0" w:type="dxa"/>
              <w:left w:w="62" w:type="dxa"/>
              <w:bottom w:w="0" w:type="dxa"/>
              <w:right w:w="62" w:type="dxa"/>
            </w:tcMar>
          </w:tcPr>
          <w:p w:rsidR="00000000" w:rsidRPr="001850A1" w:rsidP="001850A1">
            <w:r w:rsidRPr="001850A1">
              <w:t>This competency standard</w:t>
            </w:r>
            <w:r w:rsidRPr="001850A1">
              <w:t xml:space="preserve"> shall apply to any safe transmission pipeline construction work site, subject to all Workplace Health and Safety (WHS)/Occupational Health and Safety (OHS) and duty of care requirements being met for the workplace.</w:t>
            </w:r>
          </w:p>
          <w:p w:rsidR="00000000" w:rsidRPr="001850A1" w:rsidP="001850A1"/>
          <w:p w:rsidR="00000000" w:rsidRPr="001850A1" w:rsidP="001850A1">
            <w:r w:rsidRPr="001850A1">
              <w:t>This unit is intended as an entry level AQF 2 competency for new entrants in the gas industry. It is suitable for employment-based programs under an approved contract of training.</w:t>
            </w:r>
          </w:p>
        </w:tc>
      </w:tr>
    </w:tbl>
    <w:p w:rsidR="00000000" w:rsidRPr="001850A1" w:rsidP="001850A1"/>
    <w:p w:rsidR="00000000" w:rsidRPr="001850A1" w:rsidP="001850A1">
      <w:pPr>
        <w:pStyle w:val="AllowPageBreak"/>
      </w:pPr>
    </w:p>
    <w:p w:rsidR="00000000" w:rsidRPr="001850A1" w:rsidP="001850A1">
      <w:pPr>
        <w:pStyle w:val="Heading1"/>
      </w:pPr>
      <w:bookmarkStart w:id="4" w:name="O_583338"/>
      <w:bookmarkEnd w:id="4"/>
      <w:r w:rsidRPr="001850A1">
        <w:t>Licensing/Regulatory Information</w:t>
      </w:r>
    </w:p>
    <w:tbl>
      <w:tblPr>
        <w:tblW w:w="0" w:type="auto"/>
        <w:tblLayout w:type="fixed"/>
        <w:tblCellMar>
          <w:left w:w="62" w:type="dxa"/>
          <w:right w:w="62" w:type="dxa"/>
        </w:tblCellMar>
        <w:tblLook w:val="0000"/>
      </w:tblPr>
      <w:tblGrid>
        <w:gridCol w:w="2638"/>
        <w:gridCol w:w="5760"/>
      </w:tblGrid>
      <w:tr w:rsidTr="001850A1">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P="001850A1">
            <w:pPr>
              <w:pStyle w:val="Heading4"/>
              <w:rPr>
                <w:lang w:val="en-NZ"/>
              </w:rPr>
            </w:pPr>
            <w:r w:rsidRPr="001850A1">
              <w:t>License to practice</w:t>
            </w:r>
          </w:p>
        </w:tc>
        <w:tc>
          <w:tcPr>
            <w:tcW w:w="5760" w:type="dxa"/>
            <w:tcBorders>
              <w:top w:val="nil"/>
              <w:left w:val="nil"/>
              <w:bottom w:val="nil"/>
              <w:right w:val="nil"/>
            </w:tcBorders>
            <w:tcMar>
              <w:top w:w="0" w:type="dxa"/>
              <w:left w:w="62" w:type="dxa"/>
              <w:bottom w:w="0" w:type="dxa"/>
              <w:right w:w="62" w:type="dxa"/>
            </w:tcMar>
          </w:tcPr>
          <w:p w:rsidR="00000000" w:rsidP="001850A1">
            <w:pPr>
              <w:pStyle w:val="Heading4"/>
              <w:rPr>
                <w:lang w:val="en-NZ"/>
              </w:rPr>
            </w:pPr>
            <w:r w:rsidRPr="001850A1">
              <w:t xml:space="preserve">3) </w:t>
            </w:r>
          </w:p>
        </w:tc>
      </w:tr>
      <w:tr w:rsidTr="001850A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1850A1">
            <w:pPr>
              <w:rPr>
                <w:lang w:val="en-NZ"/>
              </w:rPr>
            </w:pPr>
          </w:p>
        </w:tc>
        <w:tc>
          <w:tcPr>
            <w:tcW w:w="5760" w:type="dxa"/>
            <w:tcBorders>
              <w:top w:val="nil"/>
              <w:left w:val="nil"/>
              <w:bottom w:val="nil"/>
              <w:right w:val="nil"/>
            </w:tcBorders>
            <w:tcMar>
              <w:top w:w="0" w:type="dxa"/>
              <w:left w:w="62" w:type="dxa"/>
              <w:bottom w:w="0" w:type="dxa"/>
              <w:right w:w="62" w:type="dxa"/>
            </w:tcMar>
          </w:tcPr>
          <w:p w:rsidR="00000000" w:rsidRPr="001850A1" w:rsidP="001850A1">
            <w:pPr>
              <w:pStyle w:val="Heading4"/>
            </w:pPr>
            <w:r w:rsidRPr="001850A1">
              <w:t xml:space="preserve">During Training: </w:t>
            </w:r>
          </w:p>
          <w:p w:rsidR="00000000" w:rsidRPr="001850A1" w:rsidP="001850A1">
            <w:r w:rsidRPr="001850A1">
              <w:t xml:space="preserve">Competency development activities are subject to regulations directly related to licensing, occupational health and safety and where applicable contracts of training such as apprenticeships. </w:t>
            </w:r>
          </w:p>
          <w:p w:rsidR="00000000" w:rsidRPr="001850A1" w:rsidP="001850A1"/>
          <w:p w:rsidR="00000000" w:rsidRPr="001850A1" w:rsidP="001850A1">
            <w:pPr>
              <w:pStyle w:val="Heading4"/>
            </w:pPr>
            <w:r w:rsidRPr="001850A1">
              <w:t>In the workplace:</w:t>
            </w:r>
          </w:p>
          <w:p w:rsidR="00000000" w:rsidRPr="001850A1" w:rsidP="001850A1">
            <w:r w:rsidRPr="001850A1">
              <w:t>The skills and knowledge described in this unit are not subject to licence regulation other than those directly related to Workplace Health and Safety (WHS)/ Occupational Health and Safety (OHS), gas/electricity/water industry safety and compliance, indust</w:t>
            </w:r>
            <w:r w:rsidRPr="001850A1">
              <w:t xml:space="preserve">rial relations, environmental protection, telecommunications, anti-discrimination and training. </w:t>
            </w:r>
          </w:p>
          <w:p w:rsidR="00000000" w:rsidRPr="001850A1" w:rsidP="001850A1"/>
          <w:p w:rsidR="00000000" w:rsidRPr="001850A1" w:rsidP="001850A1">
            <w:r w:rsidRPr="001850A1">
              <w:t>Commonwealth, State/Territory or Local government legislation and regulations may exist that limit the age at which a person can operate certain equipment. Ot</w:t>
            </w:r>
            <w:r w:rsidRPr="001850A1">
              <w:t>her conditions may apply to this competency under State and Territory legislative and regulatory requirements.</w:t>
            </w:r>
          </w:p>
          <w:p w:rsidR="00000000" w:rsidRPr="001850A1" w:rsidP="001850A1"/>
        </w:tc>
      </w:tr>
    </w:tbl>
    <w:p w:rsidR="00000000" w:rsidRPr="001850A1" w:rsidP="001850A1"/>
    <w:p w:rsidR="00000000" w:rsidRPr="001850A1" w:rsidP="001850A1">
      <w:pPr>
        <w:pStyle w:val="AllowPageBreak"/>
      </w:pPr>
    </w:p>
    <w:p w:rsidR="00000000" w:rsidRPr="001850A1" w:rsidP="001850A1">
      <w:pPr>
        <w:pStyle w:val="Heading1"/>
      </w:pPr>
      <w:bookmarkStart w:id="5" w:name="O_583339"/>
      <w:bookmarkEnd w:id="5"/>
      <w:r w:rsidRPr="001850A1">
        <w:t>Pre-Requisites</w:t>
      </w:r>
    </w:p>
    <w:tbl>
      <w:tblPr>
        <w:tblW w:w="0" w:type="auto"/>
        <w:tblLayout w:type="fixed"/>
        <w:tblCellMar>
          <w:left w:w="62" w:type="dxa"/>
          <w:right w:w="62" w:type="dxa"/>
        </w:tblCellMar>
        <w:tblLook w:val="0000"/>
      </w:tblPr>
      <w:tblGrid>
        <w:gridCol w:w="2790"/>
        <w:gridCol w:w="1800"/>
        <w:gridCol w:w="3690"/>
        <w:gridCol w:w="15"/>
      </w:tblGrid>
      <w:tr w:rsidTr="005877C6">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1850A1" w:rsidP="001850A1">
            <w:pPr>
              <w:pStyle w:val="BodyText"/>
            </w:pPr>
            <w:r w:rsidRPr="001850A1">
              <w:rPr>
                <w:rStyle w:val="SpecialBold"/>
              </w:rPr>
              <w:t>Prerequisite Unit(s)</w:t>
            </w:r>
          </w:p>
        </w:tc>
        <w:tc>
          <w:tcPr>
            <w:tcW w:w="5505" w:type="dxa"/>
            <w:gridSpan w:val="3"/>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rPr>
                <w:rStyle w:val="SpecialBold"/>
              </w:rPr>
              <w:t>4)</w:t>
            </w:r>
          </w:p>
        </w:tc>
      </w:tr>
      <w:tr w:rsidTr="005877C6">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1850A1" w:rsidP="001850A1">
            <w:pPr>
              <w:pStyle w:val="BodyText"/>
            </w:pPr>
            <w:r w:rsidRPr="001850A1">
              <w:rPr>
                <w:rStyle w:val="SpecialBold"/>
              </w:rPr>
              <w:t>Competencies</w:t>
            </w:r>
            <w:r w:rsidRPr="001850A1">
              <w:rPr>
                <w:rStyle w:val="SpecialBold"/>
              </w:rPr>
              <w:tab/>
            </w:r>
          </w:p>
        </w:tc>
        <w:tc>
          <w:tcPr>
            <w:tcW w:w="5505" w:type="dxa"/>
            <w:gridSpan w:val="3"/>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rPr>
                <w:rStyle w:val="SpecialBold"/>
              </w:rPr>
              <w:t>4.1)</w:t>
            </w:r>
          </w:p>
        </w:tc>
      </w:tr>
      <w:tr w:rsidTr="005877C6">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05" w:type="dxa"/>
            <w:gridSpan w:val="3"/>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t>Granting of competency in this unit shall be made only after competency in the following unit(s) has/have been confirmed:</w:t>
            </w:r>
          </w:p>
        </w:tc>
      </w:tr>
      <w:tr w:rsidTr="005877C6">
        <w:tblPrEx>
          <w:tblW w:w="0" w:type="auto"/>
          <w:tblLayout w:type="fixed"/>
          <w:tblCellMar>
            <w:left w:w="62" w:type="dxa"/>
            <w:right w:w="62" w:type="dxa"/>
          </w:tblCellMar>
          <w:tblLook w:val="0000"/>
        </w:tblPrEx>
        <w:trPr>
          <w:gridAfter w:val="1"/>
          <w:wAfter w:w="15" w:type="dxa"/>
        </w:trPr>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t>UEGNSG141A</w:t>
            </w:r>
          </w:p>
        </w:tc>
        <w:tc>
          <w:tcPr>
            <w:tcW w:w="369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t>Apply Workplace Health and Safety regulations, codes and practices in the gas industry</w:t>
            </w:r>
          </w:p>
        </w:tc>
      </w:tr>
      <w:tr w:rsidTr="005877C6">
        <w:tblPrEx>
          <w:tblW w:w="0" w:type="auto"/>
          <w:tblLayout w:type="fixed"/>
          <w:tblCellMar>
            <w:left w:w="62" w:type="dxa"/>
            <w:right w:w="62" w:type="dxa"/>
          </w:tblCellMar>
          <w:tblLook w:val="0000"/>
        </w:tblPrEx>
        <w:trPr>
          <w:gridAfter w:val="1"/>
          <w:wAfter w:w="15" w:type="dxa"/>
        </w:trPr>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t>UEGNSG005A</w:t>
            </w:r>
          </w:p>
        </w:tc>
        <w:tc>
          <w:tcPr>
            <w:tcW w:w="369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t>Prepare to work in t</w:t>
            </w:r>
            <w:r w:rsidRPr="001850A1">
              <w:t>he gas industry</w:t>
            </w:r>
          </w:p>
        </w:tc>
      </w:tr>
      <w:tr w:rsidTr="005877C6">
        <w:tblPrEx>
          <w:tblW w:w="0" w:type="auto"/>
          <w:tblLayout w:type="fixed"/>
          <w:tblCellMar>
            <w:left w:w="62" w:type="dxa"/>
            <w:right w:w="62" w:type="dxa"/>
          </w:tblCellMar>
          <w:tblLook w:val="0000"/>
        </w:tblPrEx>
        <w:trPr>
          <w:gridAfter w:val="1"/>
          <w:wAfter w:w="15" w:type="dxa"/>
          <w:trHeight w:val="466"/>
        </w:trPr>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t>UEGNSG132A</w:t>
            </w:r>
          </w:p>
        </w:tc>
        <w:tc>
          <w:tcPr>
            <w:tcW w:w="369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t>Carry out basic work activities in a gas industry work environment</w:t>
            </w:r>
          </w:p>
        </w:tc>
      </w:tr>
      <w:tr w:rsidTr="005877C6">
        <w:tblPrEx>
          <w:tblW w:w="0" w:type="auto"/>
          <w:tblLayout w:type="fixed"/>
          <w:tblCellMar>
            <w:left w:w="62" w:type="dxa"/>
            <w:right w:w="62" w:type="dxa"/>
          </w:tblCellMar>
          <w:tblLook w:val="0000"/>
        </w:tblPrEx>
        <w:trPr>
          <w:gridAfter w:val="1"/>
          <w:wAfter w:w="15" w:type="dxa"/>
        </w:trPr>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t>UEGNSG140A</w:t>
            </w:r>
          </w:p>
        </w:tc>
        <w:tc>
          <w:tcPr>
            <w:tcW w:w="369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t>Apply with environmental policies and procedures in the utilities industry</w:t>
            </w:r>
          </w:p>
        </w:tc>
      </w:tr>
      <w:tr w:rsidTr="005877C6">
        <w:tblPrEx>
          <w:tblW w:w="0" w:type="auto"/>
          <w:tblLayout w:type="fixed"/>
          <w:tblCellMar>
            <w:left w:w="62" w:type="dxa"/>
            <w:right w:w="62" w:type="dxa"/>
          </w:tblCellMar>
          <w:tblLook w:val="0000"/>
        </w:tblPrEx>
        <w:trPr>
          <w:gridAfter w:val="1"/>
          <w:wAfter w:w="15" w:type="dxa"/>
          <w:trHeight w:val="481"/>
        </w:trPr>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t>UEGNSG134A</w:t>
            </w:r>
          </w:p>
        </w:tc>
        <w:tc>
          <w:tcPr>
            <w:tcW w:w="3690" w:type="dxa"/>
            <w:tcBorders>
              <w:top w:val="nil"/>
              <w:left w:val="nil"/>
              <w:bottom w:val="nil"/>
              <w:right w:val="nil"/>
            </w:tcBorders>
            <w:tcMar>
              <w:top w:w="0" w:type="dxa"/>
              <w:left w:w="62" w:type="dxa"/>
              <w:bottom w:w="0" w:type="dxa"/>
              <w:right w:w="62" w:type="dxa"/>
            </w:tcMar>
          </w:tcPr>
          <w:p w:rsidR="00000000" w:rsidRPr="001850A1" w:rsidP="001850A1">
            <w:pPr>
              <w:pStyle w:val="BodyText"/>
            </w:pPr>
            <w:r w:rsidRPr="001850A1">
              <w:t>Establish a utilities infrastructure work site</w:t>
            </w:r>
          </w:p>
        </w:tc>
      </w:tr>
    </w:tbl>
    <w:p w:rsidR="00000000" w:rsidRPr="001850A1" w:rsidP="001850A1">
      <w:pPr>
        <w:pStyle w:val="BodyText"/>
      </w:pPr>
    </w:p>
    <w:tbl>
      <w:tblPr>
        <w:tblW w:w="0" w:type="auto"/>
        <w:tblLayout w:type="fixed"/>
        <w:tblCellMar>
          <w:left w:w="62" w:type="dxa"/>
          <w:right w:w="62" w:type="dxa"/>
        </w:tblCellMar>
        <w:tblLook w:val="0000"/>
      </w:tblPr>
      <w:tblGrid>
        <w:gridCol w:w="2790"/>
        <w:gridCol w:w="1170"/>
        <w:gridCol w:w="540"/>
        <w:gridCol w:w="1080"/>
        <w:gridCol w:w="540"/>
        <w:gridCol w:w="1260"/>
        <w:gridCol w:w="900"/>
      </w:tblGrid>
      <w:tr w:rsidTr="005877C6">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1850A1" w:rsidP="001850A1">
            <w:pPr>
              <w:pStyle w:val="BodyText"/>
            </w:pPr>
            <w:r w:rsidRPr="001850A1">
              <w:rPr>
                <w:rStyle w:val="SpecialBold"/>
              </w:rPr>
              <w:t>Literacy and numeracy skills</w:t>
            </w:r>
          </w:p>
        </w:tc>
        <w:tc>
          <w:tcPr>
            <w:tcW w:w="5490" w:type="dxa"/>
            <w:gridSpan w:val="6"/>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rPr>
                <w:rStyle w:val="SpecialBold"/>
              </w:rPr>
              <w:t xml:space="preserve">4.2) </w:t>
            </w:r>
          </w:p>
        </w:tc>
      </w:tr>
      <w:tr w:rsidTr="005877C6">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90" w:type="dxa"/>
            <w:gridSpan w:val="6"/>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t>Participants are best equipped to achieve this unit if they have reading, writing and numeracy skills indicated by the following scales. Description of each scale is given in Volume 2, Part 3 ‘Literacy and Numeracy</w:t>
            </w:r>
            <w:r w:rsidRPr="001850A1">
              <w:t>’</w:t>
            </w:r>
          </w:p>
        </w:tc>
      </w:tr>
      <w:tr w:rsidTr="005877C6">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7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t>Reading</w:t>
            </w:r>
          </w:p>
        </w:tc>
        <w:tc>
          <w:tcPr>
            <w:tcW w:w="54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t>3</w:t>
            </w:r>
          </w:p>
        </w:tc>
        <w:tc>
          <w:tcPr>
            <w:tcW w:w="108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t>Writing</w:t>
            </w:r>
          </w:p>
        </w:tc>
        <w:tc>
          <w:tcPr>
            <w:tcW w:w="54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t>3</w:t>
            </w:r>
          </w:p>
        </w:tc>
        <w:tc>
          <w:tcPr>
            <w:tcW w:w="126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t>Numeracy</w:t>
            </w:r>
          </w:p>
        </w:tc>
        <w:tc>
          <w:tcPr>
            <w:tcW w:w="900" w:type="dxa"/>
            <w:tcBorders>
              <w:top w:val="nil"/>
              <w:left w:val="nil"/>
              <w:bottom w:val="nil"/>
              <w:right w:val="nil"/>
            </w:tcBorders>
            <w:tcMar>
              <w:top w:w="0" w:type="dxa"/>
              <w:left w:w="62" w:type="dxa"/>
              <w:bottom w:w="0" w:type="dxa"/>
              <w:right w:w="62" w:type="dxa"/>
            </w:tcMar>
          </w:tcPr>
          <w:p w:rsidR="00000000" w:rsidRPr="001850A1" w:rsidP="001850A1">
            <w:pPr>
              <w:pStyle w:val="BodyText"/>
            </w:pPr>
            <w:r w:rsidRPr="001850A1">
              <w:t>3</w:t>
            </w:r>
          </w:p>
        </w:tc>
      </w:tr>
    </w:tbl>
    <w:p w:rsidR="00000000" w:rsidRPr="001850A1" w:rsidP="001850A1">
      <w:pPr>
        <w:pStyle w:val="BodyText"/>
      </w:pPr>
    </w:p>
    <w:p w:rsidR="00000000" w:rsidRPr="001850A1" w:rsidP="001850A1">
      <w:pPr>
        <w:pStyle w:val="AllowPageBreak"/>
      </w:pPr>
    </w:p>
    <w:p w:rsidR="00000000" w:rsidRPr="001850A1" w:rsidP="001850A1">
      <w:pPr>
        <w:pStyle w:val="Heading1"/>
      </w:pPr>
      <w:bookmarkStart w:id="6" w:name="O_583340"/>
      <w:bookmarkEnd w:id="6"/>
      <w:r w:rsidRPr="001850A1">
        <w:t>Employability Skills Information</w:t>
      </w:r>
    </w:p>
    <w:tbl>
      <w:tblPr>
        <w:tblW w:w="0" w:type="auto"/>
        <w:tblLayout w:type="fixed"/>
        <w:tblCellMar>
          <w:left w:w="62" w:type="dxa"/>
          <w:right w:w="62" w:type="dxa"/>
        </w:tblCellMar>
        <w:tblLook w:val="0000"/>
      </w:tblPr>
      <w:tblGrid>
        <w:gridCol w:w="2638"/>
        <w:gridCol w:w="5760"/>
      </w:tblGrid>
      <w:tr w:rsidTr="001850A1">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P="001850A1">
            <w:pPr>
              <w:pStyle w:val="Heading4"/>
              <w:rPr>
                <w:lang w:val="en-NZ"/>
              </w:rPr>
            </w:pPr>
            <w:r w:rsidRPr="001850A1">
              <w:t>Employability Skills</w:t>
            </w:r>
          </w:p>
        </w:tc>
        <w:tc>
          <w:tcPr>
            <w:tcW w:w="5760" w:type="dxa"/>
            <w:tcBorders>
              <w:top w:val="nil"/>
              <w:left w:val="nil"/>
              <w:bottom w:val="nil"/>
              <w:right w:val="nil"/>
            </w:tcBorders>
            <w:tcMar>
              <w:top w:w="0" w:type="dxa"/>
              <w:left w:w="62" w:type="dxa"/>
              <w:bottom w:w="0" w:type="dxa"/>
              <w:right w:w="62" w:type="dxa"/>
            </w:tcMar>
          </w:tcPr>
          <w:p w:rsidR="00000000" w:rsidP="001850A1">
            <w:pPr>
              <w:pStyle w:val="Heading4"/>
              <w:rPr>
                <w:lang w:val="en-NZ"/>
              </w:rPr>
            </w:pPr>
            <w:r w:rsidRPr="001850A1">
              <w:t xml:space="preserve">5) </w:t>
            </w:r>
          </w:p>
        </w:tc>
      </w:tr>
      <w:tr w:rsidTr="001850A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576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This unit contains Employability Skills</w:t>
            </w:r>
          </w:p>
        </w:tc>
      </w:tr>
      <w:tr w:rsidTr="001850A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5760" w:type="dxa"/>
            <w:tcBorders>
              <w:top w:val="nil"/>
              <w:left w:val="nil"/>
              <w:bottom w:val="nil"/>
              <w:right w:val="nil"/>
            </w:tcBorders>
            <w:tcMar>
              <w:top w:w="0" w:type="dxa"/>
              <w:left w:w="62" w:type="dxa"/>
              <w:bottom w:w="0" w:type="dxa"/>
              <w:right w:w="62" w:type="dxa"/>
            </w:tcMar>
          </w:tcPr>
          <w:p w:rsidR="00000000" w:rsidRPr="001850A1" w:rsidP="001850A1">
            <w:r w:rsidRPr="001850A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850A1">
              <w:t>requirements.</w:t>
            </w:r>
          </w:p>
        </w:tc>
      </w:tr>
    </w:tbl>
    <w:p w:rsidR="00000000" w:rsidRPr="001850A1" w:rsidP="001850A1"/>
    <w:p w:rsidR="00000000" w:rsidRPr="001850A1" w:rsidP="001850A1">
      <w:pPr>
        <w:pStyle w:val="AllowPageBreak"/>
      </w:pPr>
    </w:p>
    <w:p w:rsidR="00000000" w:rsidRPr="001850A1" w:rsidP="001850A1">
      <w:pPr>
        <w:pStyle w:val="Heading1"/>
      </w:pPr>
      <w:bookmarkStart w:id="7" w:name="O_583341"/>
      <w:bookmarkEnd w:id="7"/>
      <w:r w:rsidRPr="001850A1">
        <w:t>Elements and Performance Criteria Pre-Content</w:t>
      </w:r>
    </w:p>
    <w:tbl>
      <w:tblPr>
        <w:tblW w:w="0" w:type="auto"/>
        <w:tblLayout w:type="fixed"/>
        <w:tblCellMar>
          <w:left w:w="62" w:type="dxa"/>
          <w:right w:w="62" w:type="dxa"/>
        </w:tblCellMar>
        <w:tblLook w:val="0000"/>
      </w:tblPr>
      <w:tblGrid>
        <w:gridCol w:w="2638"/>
        <w:gridCol w:w="5760"/>
      </w:tblGrid>
      <w:tr w:rsidTr="001850A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1850A1" w:rsidP="001850A1">
            <w:pPr>
              <w:pStyle w:val="BodyText"/>
            </w:pPr>
            <w:r w:rsidRPr="001850A1">
              <w:rPr>
                <w:rStyle w:val="SpecialBold"/>
              </w:rPr>
              <w:t xml:space="preserve">6) </w:t>
            </w:r>
            <w:r w:rsidRPr="001850A1">
              <w:rPr>
                <w:rStyle w:val="Emphasis"/>
              </w:rPr>
              <w:t>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850A1" w:rsidP="001850A1">
            <w:pPr>
              <w:pStyle w:val="BodyText"/>
            </w:pPr>
            <w:r w:rsidRPr="001850A1">
              <w:rPr>
                <w:rStyle w:val="Emphasis"/>
              </w:rPr>
              <w:t>Performance Criteria describe the required performance needed to demonstrate achievement of the element. Assessment of performance is to be consistent with the Evidence Guide.</w:t>
            </w:r>
          </w:p>
        </w:tc>
      </w:tr>
    </w:tbl>
    <w:p w:rsidR="00000000" w:rsidRPr="001850A1" w:rsidP="001850A1">
      <w:pPr>
        <w:pStyle w:val="BodyText"/>
      </w:pPr>
    </w:p>
    <w:p w:rsidR="00000000" w:rsidRPr="001850A1" w:rsidP="001850A1">
      <w:pPr>
        <w:pStyle w:val="AllowPageBreak"/>
      </w:pPr>
    </w:p>
    <w:p w:rsidR="00000000" w:rsidRPr="001850A1" w:rsidP="001850A1">
      <w:pPr>
        <w:pStyle w:val="Heading1"/>
      </w:pPr>
      <w:bookmarkStart w:id="8" w:name="O_583342"/>
      <w:bookmarkEnd w:id="8"/>
      <w:r w:rsidRPr="001850A1">
        <w:t>Elements and Performance Criteria</w:t>
      </w:r>
    </w:p>
    <w:tbl>
      <w:tblPr>
        <w:tblW w:w="0" w:type="auto"/>
        <w:tblLayout w:type="fixed"/>
        <w:tblCellMar>
          <w:left w:w="62" w:type="dxa"/>
          <w:right w:w="62" w:type="dxa"/>
        </w:tblCellMar>
        <w:tblLook w:val="0000"/>
      </w:tblPr>
      <w:tblGrid>
        <w:gridCol w:w="342"/>
        <w:gridCol w:w="2296"/>
        <w:gridCol w:w="900"/>
        <w:gridCol w:w="4860"/>
      </w:tblGrid>
      <w:tr w:rsidTr="001850A1">
        <w:tblPrEx>
          <w:tblW w:w="0" w:type="auto"/>
          <w:tblLayout w:type="fixed"/>
          <w:tblCellMar>
            <w:left w:w="62" w:type="dxa"/>
            <w:right w:w="62" w:type="dxa"/>
          </w:tblCellMar>
          <w:tblLook w:val="0000"/>
        </w:tblPrEx>
        <w:trPr>
          <w:tblHeader/>
        </w:trPr>
        <w:tc>
          <w:tcPr>
            <w:tcW w:w="2638" w:type="dxa"/>
            <w:gridSpan w:val="2"/>
            <w:tcBorders>
              <w:top w:val="nil"/>
              <w:left w:val="nil"/>
              <w:bottom w:val="nil"/>
              <w:right w:val="nil"/>
            </w:tcBorders>
            <w:tcMar>
              <w:top w:w="0" w:type="dxa"/>
              <w:left w:w="62" w:type="dxa"/>
              <w:bottom w:w="0" w:type="dxa"/>
              <w:right w:w="62" w:type="dxa"/>
            </w:tcMar>
          </w:tcPr>
          <w:p w:rsidR="00000000" w:rsidP="001850A1">
            <w:pPr>
              <w:pStyle w:val="Heading4"/>
              <w:rPr>
                <w:lang w:val="en-NZ"/>
              </w:rPr>
            </w:pPr>
            <w:r w:rsidRPr="001850A1">
              <w:t>ELEMENT</w:t>
            </w:r>
          </w:p>
        </w:tc>
        <w:tc>
          <w:tcPr>
            <w:tcW w:w="5760" w:type="dxa"/>
            <w:gridSpan w:val="2"/>
            <w:tcBorders>
              <w:top w:val="nil"/>
              <w:left w:val="nil"/>
              <w:bottom w:val="nil"/>
              <w:right w:val="nil"/>
            </w:tcBorders>
            <w:tcMar>
              <w:top w:w="0" w:type="dxa"/>
              <w:left w:w="62" w:type="dxa"/>
              <w:bottom w:w="0" w:type="dxa"/>
              <w:right w:w="62" w:type="dxa"/>
            </w:tcMar>
          </w:tcPr>
          <w:p w:rsidR="00000000" w:rsidP="001850A1">
            <w:pPr>
              <w:pStyle w:val="Heading4"/>
              <w:rPr>
                <w:lang w:val="en-NZ"/>
              </w:rPr>
            </w:pPr>
            <w:r w:rsidRPr="001850A1">
              <w:t>PERFORMANCE CRITER</w:t>
            </w:r>
            <w:r w:rsidRPr="001850A1">
              <w:t>IA</w:t>
            </w:r>
          </w:p>
        </w:tc>
      </w:tr>
      <w:tr w:rsidTr="001850A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P="001850A1">
            <w:pPr>
              <w:pStyle w:val="Heading4"/>
              <w:rPr>
                <w:lang w:val="en-NZ"/>
              </w:rPr>
            </w:pPr>
            <w:r w:rsidRPr="001850A1">
              <w:t>1</w:t>
            </w:r>
          </w:p>
        </w:tc>
        <w:tc>
          <w:tcPr>
            <w:tcW w:w="2296" w:type="dxa"/>
            <w:tcBorders>
              <w:top w:val="nil"/>
              <w:left w:val="nil"/>
              <w:bottom w:val="nil"/>
              <w:right w:val="nil"/>
            </w:tcBorders>
            <w:tcMar>
              <w:top w:w="0" w:type="dxa"/>
              <w:left w:w="62" w:type="dxa"/>
              <w:bottom w:w="0" w:type="dxa"/>
              <w:right w:w="62" w:type="dxa"/>
            </w:tcMar>
          </w:tcPr>
          <w:p w:rsidR="00000000" w:rsidP="001850A1">
            <w:pPr>
              <w:pStyle w:val="Heading4"/>
              <w:rPr>
                <w:lang w:val="en-NZ"/>
              </w:rPr>
            </w:pPr>
            <w:r w:rsidRPr="001850A1">
              <w:t>Prepare to work in proximity of plant and equipment for transmission pipeline construction</w:t>
            </w:r>
          </w:p>
        </w:tc>
        <w:tc>
          <w:tcPr>
            <w:tcW w:w="90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1.1</w:t>
            </w:r>
          </w:p>
        </w:tc>
        <w:tc>
          <w:tcPr>
            <w:tcW w:w="4860" w:type="dxa"/>
            <w:tcBorders>
              <w:top w:val="nil"/>
              <w:left w:val="nil"/>
              <w:bottom w:val="nil"/>
              <w:right w:val="nil"/>
            </w:tcBorders>
            <w:tcMar>
              <w:top w:w="0" w:type="dxa"/>
              <w:left w:w="62" w:type="dxa"/>
              <w:bottom w:w="0" w:type="dxa"/>
              <w:right w:w="62" w:type="dxa"/>
            </w:tcMar>
          </w:tcPr>
          <w:p w:rsidR="00000000" w:rsidRPr="001850A1" w:rsidP="001850A1">
            <w:r w:rsidRPr="001850A1">
              <w:t>WHS/OHS and environmental measures for the site are identified, obtained and understood.</w:t>
            </w:r>
          </w:p>
          <w:p w:rsidR="00000000">
            <w:pPr>
              <w:keepNext w:val="0"/>
              <w:keepLines w:val="0"/>
              <w:rPr>
                <w:rFonts w:ascii="Tahoma" w:hAnsi="Tahoma"/>
                <w:color w:val="000000"/>
                <w:sz w:val="20"/>
                <w:szCs w:val="24"/>
                <w:lang w:val="en-NZ"/>
              </w:rPr>
            </w:pPr>
          </w:p>
        </w:tc>
      </w:tr>
      <w:tr w:rsidTr="001850A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1850A1">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1.2</w:t>
            </w:r>
          </w:p>
        </w:tc>
        <w:tc>
          <w:tcPr>
            <w:tcW w:w="486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Relevant requirements and established procedures for the site are discussed with relevant persons to establish and confirm the work schedule.</w:t>
            </w:r>
          </w:p>
        </w:tc>
      </w:tr>
      <w:tr w:rsidTr="001850A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1850A1">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1.3</w:t>
            </w:r>
          </w:p>
        </w:tc>
        <w:tc>
          <w:tcPr>
            <w:tcW w:w="486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WHS/OHS, environmental and sustainable energy policies and procedures are received and confirmed</w:t>
            </w:r>
          </w:p>
        </w:tc>
      </w:tr>
      <w:tr w:rsidTr="001850A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1850A1">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1.4</w:t>
            </w:r>
          </w:p>
        </w:tc>
        <w:tc>
          <w:tcPr>
            <w:tcW w:w="486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 xml:space="preserve">Easement is inspected and assessed to determine relevant requirements in accordance with standard operating procedures </w:t>
            </w:r>
          </w:p>
        </w:tc>
      </w:tr>
      <w:tr w:rsidTr="001850A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1850A1">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1.5</w:t>
            </w:r>
          </w:p>
        </w:tc>
        <w:tc>
          <w:tcPr>
            <w:tcW w:w="486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Hazards are identified, WHS/OHS risks assessed and control measures are prioritised, implemented and monitored according to established procedures</w:t>
            </w:r>
          </w:p>
        </w:tc>
      </w:tr>
      <w:tr w:rsidTr="001850A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1850A1">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1.6</w:t>
            </w:r>
          </w:p>
        </w:tc>
        <w:tc>
          <w:tcPr>
            <w:tcW w:w="486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Scope of responsibility under the relevant work permit and/or relevant notification is received and co</w:t>
            </w:r>
            <w:r w:rsidRPr="001850A1">
              <w:t xml:space="preserve">nfirmed with relevant persons according to requirements and established procedures </w:t>
            </w:r>
          </w:p>
        </w:tc>
      </w:tr>
      <w:tr w:rsidTr="001850A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1850A1">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1.7</w:t>
            </w:r>
          </w:p>
        </w:tc>
        <w:tc>
          <w:tcPr>
            <w:tcW w:w="486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Equipment,  tools and personal protective equipment needed to carry out the work  are identified, scheduled, obtained and checked for operation and safety</w:t>
            </w:r>
          </w:p>
        </w:tc>
      </w:tr>
      <w:tr w:rsidTr="001850A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1850A1">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1.8</w:t>
            </w:r>
          </w:p>
        </w:tc>
        <w:tc>
          <w:tcPr>
            <w:tcW w:w="486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App</w:t>
            </w:r>
            <w:r w:rsidRPr="001850A1">
              <w:t>ropriate persons are consulted to ensure the work is coordinated effectively with others involved</w:t>
            </w:r>
          </w:p>
        </w:tc>
      </w:tr>
      <w:tr w:rsidTr="001850A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1850A1">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1.9</w:t>
            </w:r>
          </w:p>
        </w:tc>
        <w:tc>
          <w:tcPr>
            <w:tcW w:w="486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Materials, plans, diagrams, drawings and resources  required for work are confirmed, scheduled and obtained in accordance with established procedures</w:t>
            </w:r>
          </w:p>
        </w:tc>
      </w:tr>
      <w:tr w:rsidTr="001850A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1850A1">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1.10</w:t>
            </w:r>
          </w:p>
        </w:tc>
        <w:tc>
          <w:tcPr>
            <w:tcW w:w="486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 xml:space="preserve">Relevant responsibilities associated with first aid and other related work safety procedures for an incident at the worksite are checked and confirmed.  </w:t>
            </w:r>
          </w:p>
        </w:tc>
      </w:tr>
      <w:tr w:rsidTr="001850A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1850A1">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1.11</w:t>
            </w:r>
          </w:p>
        </w:tc>
        <w:tc>
          <w:tcPr>
            <w:tcW w:w="486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Third party issues are referred to appropriate persons in accordance with established p</w:t>
            </w:r>
            <w:r w:rsidRPr="001850A1">
              <w:t xml:space="preserve">rocedures. </w:t>
            </w:r>
          </w:p>
        </w:tc>
      </w:tr>
      <w:tr w:rsidTr="001850A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1850A1">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1.12</w:t>
            </w:r>
          </w:p>
        </w:tc>
        <w:tc>
          <w:tcPr>
            <w:tcW w:w="486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Site preparation, safety plan and the work schedule are confirmed in accordance with established procedures.</w:t>
            </w:r>
          </w:p>
        </w:tc>
      </w:tr>
      <w:tr w:rsidTr="001850A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P="001850A1">
            <w:pPr>
              <w:pStyle w:val="Heading4"/>
              <w:rPr>
                <w:lang w:val="en-NZ"/>
              </w:rPr>
            </w:pPr>
            <w:r w:rsidRPr="001850A1">
              <w:t>2</w:t>
            </w:r>
          </w:p>
        </w:tc>
        <w:tc>
          <w:tcPr>
            <w:tcW w:w="2296" w:type="dxa"/>
            <w:tcBorders>
              <w:top w:val="nil"/>
              <w:left w:val="nil"/>
              <w:bottom w:val="nil"/>
              <w:right w:val="nil"/>
            </w:tcBorders>
            <w:tcMar>
              <w:top w:w="0" w:type="dxa"/>
              <w:left w:w="62" w:type="dxa"/>
              <w:bottom w:w="0" w:type="dxa"/>
              <w:right w:w="62" w:type="dxa"/>
            </w:tcMar>
          </w:tcPr>
          <w:p w:rsidR="00000000" w:rsidP="001850A1">
            <w:pPr>
              <w:pStyle w:val="Heading4"/>
              <w:rPr>
                <w:lang w:val="en-NZ"/>
              </w:rPr>
            </w:pPr>
            <w:r w:rsidRPr="001850A1">
              <w:t>Work in proximity of plant and equipment for transmission pipeline construction</w:t>
            </w:r>
          </w:p>
        </w:tc>
        <w:tc>
          <w:tcPr>
            <w:tcW w:w="90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2.1</w:t>
            </w:r>
          </w:p>
        </w:tc>
        <w:tc>
          <w:tcPr>
            <w:tcW w:w="486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 xml:space="preserve">WHS/OHS risk control measures, schedule </w:t>
            </w:r>
            <w:r w:rsidRPr="001850A1">
              <w:t xml:space="preserve">of work and standard operating procedures for carrying out the work are followed. </w:t>
            </w:r>
          </w:p>
        </w:tc>
      </w:tr>
      <w:tr w:rsidTr="001850A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1850A1">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2.2</w:t>
            </w:r>
          </w:p>
        </w:tc>
        <w:tc>
          <w:tcPr>
            <w:tcW w:w="486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Appropriate materials, tools, equipment and measuring devices are selected and used correctly and safely.</w:t>
            </w:r>
          </w:p>
        </w:tc>
      </w:tr>
      <w:tr w:rsidTr="001850A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1850A1">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2.3</w:t>
            </w:r>
          </w:p>
        </w:tc>
        <w:tc>
          <w:tcPr>
            <w:tcW w:w="486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Hazardous activities such as lift</w:t>
            </w:r>
            <w:r w:rsidRPr="001850A1">
              <w:t xml:space="preserve">ing, climbing, working in confined spaces, excavations, trenches, or aloft, and use of power tools, techniques and practices are conducted safely  in accordance with given instructions and to requirements </w:t>
            </w:r>
          </w:p>
        </w:tc>
      </w:tr>
      <w:tr w:rsidTr="001850A1">
        <w:tblPrEx>
          <w:tblW w:w="0" w:type="auto"/>
          <w:tblLayout w:type="fixed"/>
          <w:tblCellMar>
            <w:left w:w="62" w:type="dxa"/>
            <w:right w:w="62" w:type="dxa"/>
          </w:tblCellMar>
          <w:tblLook w:val="0000"/>
        </w:tblPrEx>
        <w:trPr>
          <w:trHeight w:val="1099"/>
        </w:trPr>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1850A1">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2.4</w:t>
            </w:r>
          </w:p>
        </w:tc>
        <w:tc>
          <w:tcPr>
            <w:tcW w:w="486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Work is carried out efficiently, to the req</w:t>
            </w:r>
            <w:r w:rsidRPr="001850A1">
              <w:t>uired standard without waste of materials or damage to apparatus, circuits, the surrounding environment or services and using sustainable energy principles.</w:t>
            </w:r>
          </w:p>
        </w:tc>
      </w:tr>
      <w:tr w:rsidTr="001850A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1850A1">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2.5</w:t>
            </w:r>
          </w:p>
        </w:tc>
        <w:tc>
          <w:tcPr>
            <w:tcW w:w="486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 xml:space="preserve">WHS/OHS risks and incidents are reported to the immediate authorised persons for directions according to established procedures </w:t>
            </w:r>
          </w:p>
        </w:tc>
      </w:tr>
      <w:tr w:rsidTr="001850A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1850A1">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2.6</w:t>
            </w:r>
          </w:p>
        </w:tc>
        <w:tc>
          <w:tcPr>
            <w:tcW w:w="486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Procedures for referring non-routine events to the immediate authorised persons for directions are followed.</w:t>
            </w:r>
          </w:p>
        </w:tc>
      </w:tr>
      <w:tr w:rsidTr="001850A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1850A1">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2.7</w:t>
            </w:r>
          </w:p>
        </w:tc>
        <w:tc>
          <w:tcPr>
            <w:tcW w:w="486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Remedial action associated with constructing pipeline easements is dealt with in accordance with established procedures</w:t>
            </w:r>
          </w:p>
        </w:tc>
      </w:tr>
      <w:tr w:rsidTr="001850A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1850A1">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2.8</w:t>
            </w:r>
          </w:p>
        </w:tc>
        <w:tc>
          <w:tcPr>
            <w:tcW w:w="486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 xml:space="preserve">Routine quality checks are carried out in accordance with work  instructions </w:t>
            </w:r>
          </w:p>
        </w:tc>
      </w:tr>
      <w:tr w:rsidTr="001850A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P="001850A1">
            <w:pPr>
              <w:pStyle w:val="Heading4"/>
              <w:rPr>
                <w:lang w:val="en-NZ"/>
              </w:rPr>
            </w:pPr>
            <w:r w:rsidRPr="001850A1">
              <w:t>3</w:t>
            </w:r>
          </w:p>
        </w:tc>
        <w:tc>
          <w:tcPr>
            <w:tcW w:w="2296" w:type="dxa"/>
            <w:tcBorders>
              <w:top w:val="nil"/>
              <w:left w:val="nil"/>
              <w:bottom w:val="nil"/>
              <w:right w:val="nil"/>
            </w:tcBorders>
            <w:tcMar>
              <w:top w:w="0" w:type="dxa"/>
              <w:left w:w="62" w:type="dxa"/>
              <w:bottom w:w="0" w:type="dxa"/>
              <w:right w:w="62" w:type="dxa"/>
            </w:tcMar>
          </w:tcPr>
          <w:p w:rsidR="00000000" w:rsidP="001850A1">
            <w:pPr>
              <w:pStyle w:val="Heading4"/>
              <w:rPr>
                <w:lang w:val="en-NZ"/>
              </w:rPr>
            </w:pPr>
            <w:r w:rsidRPr="001850A1">
              <w:t>Complete work and relevant documentation</w:t>
            </w:r>
          </w:p>
        </w:tc>
        <w:tc>
          <w:tcPr>
            <w:tcW w:w="90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3.1</w:t>
            </w:r>
          </w:p>
        </w:tc>
        <w:tc>
          <w:tcPr>
            <w:tcW w:w="4860" w:type="dxa"/>
            <w:tcBorders>
              <w:top w:val="nil"/>
              <w:left w:val="nil"/>
              <w:bottom w:val="nil"/>
              <w:right w:val="nil"/>
            </w:tcBorders>
            <w:tcMar>
              <w:top w:w="0" w:type="dxa"/>
              <w:left w:w="62" w:type="dxa"/>
              <w:bottom w:w="0" w:type="dxa"/>
              <w:right w:w="62" w:type="dxa"/>
            </w:tcMar>
          </w:tcPr>
          <w:p w:rsidR="00000000" w:rsidRPr="001850A1" w:rsidP="001850A1"/>
          <w:p w:rsidR="00000000" w:rsidP="001850A1">
            <w:pPr>
              <w:rPr>
                <w:rFonts w:ascii="Times New Roman" w:hAnsi="Times New Roman"/>
                <w:sz w:val="24"/>
                <w:lang w:val="en-NZ"/>
              </w:rPr>
            </w:pPr>
            <w:r w:rsidRPr="001850A1">
              <w:t>WHS/OHS risk control work completion measures and procedures are followed.</w:t>
            </w:r>
          </w:p>
        </w:tc>
      </w:tr>
      <w:tr w:rsidTr="001850A1">
        <w:tblPrEx>
          <w:tblW w:w="0" w:type="auto"/>
          <w:tblLayout w:type="fixed"/>
          <w:tblCellMar>
            <w:left w:w="62" w:type="dxa"/>
            <w:right w:w="62" w:type="dxa"/>
          </w:tblCellMar>
          <w:tblLook w:val="0000"/>
        </w:tblPrEx>
        <w:trPr>
          <w:trHeight w:val="361"/>
        </w:trPr>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1850A1">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3.3</w:t>
            </w:r>
          </w:p>
        </w:tc>
        <w:tc>
          <w:tcPr>
            <w:tcW w:w="486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 xml:space="preserve">Work site is tidied and made safe in accordance with established procedures </w:t>
            </w:r>
          </w:p>
        </w:tc>
      </w:tr>
      <w:tr w:rsidTr="001850A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1850A1">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3.4</w:t>
            </w:r>
          </w:p>
        </w:tc>
        <w:tc>
          <w:tcPr>
            <w:tcW w:w="486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 xml:space="preserve">Tools, equipment and any surplus resources and materials are cleaned, checked and securely stored. </w:t>
            </w:r>
          </w:p>
        </w:tc>
      </w:tr>
      <w:tr w:rsidTr="001850A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1850A1">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3.5</w:t>
            </w:r>
          </w:p>
        </w:tc>
        <w:tc>
          <w:tcPr>
            <w:tcW w:w="486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Appropriate persons are notified of work completion according to established procedures</w:t>
            </w:r>
          </w:p>
        </w:tc>
      </w:tr>
      <w:tr w:rsidTr="001850A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1850A1">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1850A1">
            <w:pPr>
              <w:rPr>
                <w:lang w:val="en-NZ"/>
              </w:rPr>
            </w:pPr>
            <w:r w:rsidRPr="001850A1">
              <w:t>3.6</w:t>
            </w:r>
          </w:p>
        </w:tc>
        <w:tc>
          <w:tcPr>
            <w:tcW w:w="4860" w:type="dxa"/>
            <w:tcBorders>
              <w:top w:val="nil"/>
              <w:left w:val="nil"/>
              <w:bottom w:val="nil"/>
              <w:right w:val="nil"/>
            </w:tcBorders>
            <w:tcMar>
              <w:top w:w="0" w:type="dxa"/>
              <w:left w:w="62" w:type="dxa"/>
              <w:bottom w:w="0" w:type="dxa"/>
              <w:right w:w="62" w:type="dxa"/>
            </w:tcMar>
          </w:tcPr>
          <w:p w:rsidR="00000000" w:rsidRPr="001850A1" w:rsidP="001850A1">
            <w:r w:rsidRPr="001850A1">
              <w:t xml:space="preserve">Work completion documentation is completed accurately </w:t>
            </w:r>
            <w:r w:rsidRPr="001850A1">
              <w:t>and provided to appropriate persons in accordance with and established procedures</w:t>
            </w:r>
          </w:p>
        </w:tc>
      </w:tr>
    </w:tbl>
    <w:p w:rsidR="00000000" w:rsidRPr="001850A1" w:rsidP="001850A1"/>
    <w:p w:rsidR="00000000" w:rsidRPr="001850A1" w:rsidP="001850A1">
      <w:pPr>
        <w:pStyle w:val="AllowPageBreak"/>
      </w:pPr>
    </w:p>
    <w:p w:rsidR="00000000" w:rsidRPr="001850A1" w:rsidP="001850A1">
      <w:pPr>
        <w:pStyle w:val="Heading1"/>
      </w:pPr>
      <w:bookmarkStart w:id="9" w:name="O_583343"/>
      <w:bookmarkEnd w:id="9"/>
      <w:r w:rsidRPr="001850A1">
        <w:t>Required Skills and Knowledge</w:t>
      </w:r>
    </w:p>
    <w:tbl>
      <w:tblPr>
        <w:tblW w:w="0" w:type="auto"/>
        <w:tblLayout w:type="fixed"/>
        <w:tblCellMar>
          <w:left w:w="62" w:type="dxa"/>
          <w:right w:w="62" w:type="dxa"/>
        </w:tblCellMar>
        <w:tblLook w:val="0000"/>
      </w:tblPr>
      <w:tblGrid>
        <w:gridCol w:w="8280"/>
      </w:tblGrid>
      <w:tr w:rsidTr="005877C6">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rPr>
                <w:rStyle w:val="SpecialBold"/>
              </w:rPr>
              <w:t>REQUIRED SKILLS AND KNOWLEDGE</w:t>
            </w:r>
          </w:p>
        </w:tc>
      </w:tr>
      <w:tr w:rsidTr="005877C6">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rPr>
                <w:rStyle w:val="SpecialBold"/>
              </w:rPr>
              <w:t xml:space="preserve">7) </w:t>
            </w:r>
            <w:r w:rsidRPr="001850A1">
              <w:rPr>
                <w:rStyle w:val="Emphasis"/>
              </w:rPr>
              <w:t>This describes the skills and knowledge and their level, required for this unit.</w:t>
            </w:r>
          </w:p>
        </w:tc>
      </w:tr>
      <w:tr w:rsidTr="005877C6">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t>Evidence shall show that knowledge has been acquired of safe working practices for carrying out work in a gas industry environment.</w:t>
            </w:r>
          </w:p>
        </w:tc>
      </w:tr>
      <w:tr w:rsidTr="005877C6">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t>All knowledge and skills detailed in this unit should be contextualised to current industry practices and technologies. The</w:t>
            </w:r>
            <w:r w:rsidRPr="001850A1">
              <w:t xml:space="preserve"> extent of the required skills and knowledge is provided below. It forms an integral part of this unit.</w:t>
            </w:r>
          </w:p>
        </w:tc>
      </w:tr>
      <w:tr w:rsidTr="005877C6">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rPr>
                <w:rStyle w:val="SpecialBold"/>
              </w:rPr>
              <w:t>KS01-G333A Application of Plant Equipment in the Construction of Transmission Pipeline</w:t>
            </w:r>
          </w:p>
        </w:tc>
      </w:tr>
      <w:tr w:rsidTr="005877C6">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RPr="001850A1" w:rsidP="001850A1">
            <w:pPr>
              <w:pStyle w:val="BodyText"/>
            </w:pPr>
            <w:r w:rsidRPr="001850A1">
              <w:t>Evidence shall show an understanding of working in proximity of</w:t>
            </w:r>
            <w:r w:rsidRPr="001850A1">
              <w:t xml:space="preserve"> transmission pipeline construction plant and equipment in accordance with relevant legislation, standards, codes and established procedures to an extent indicated by the following aspects:</w:t>
            </w:r>
          </w:p>
          <w:p w:rsidR="00000000" w:rsidRPr="001850A1" w:rsidP="001850A1">
            <w:pPr>
              <w:pStyle w:val="BodyText"/>
            </w:pPr>
            <w:r w:rsidRPr="001850A1">
              <w:t>T1.</w:t>
            </w:r>
            <w:r w:rsidRPr="001850A1">
              <w:tab/>
              <w:t>Plant and equipment types, purpose and basic operation</w:t>
            </w:r>
          </w:p>
          <w:p w:rsidR="00000000" w:rsidRPr="001850A1" w:rsidP="001850A1">
            <w:pPr>
              <w:pStyle w:val="ListBullet2"/>
            </w:pPr>
            <w:r w:rsidRPr="001850A1">
              <w:t>Compressors</w:t>
            </w:r>
          </w:p>
          <w:p w:rsidR="00000000" w:rsidRPr="001850A1" w:rsidP="001850A1">
            <w:pPr>
              <w:pStyle w:val="ListBullet2"/>
            </w:pPr>
            <w:r w:rsidRPr="001850A1">
              <w:t>Grader</w:t>
            </w:r>
          </w:p>
          <w:p w:rsidR="00000000" w:rsidRPr="001850A1" w:rsidP="001850A1">
            <w:pPr>
              <w:pStyle w:val="ListBullet2"/>
            </w:pPr>
            <w:r w:rsidRPr="001850A1">
              <w:t>Dozer</w:t>
            </w:r>
          </w:p>
          <w:p w:rsidR="00000000" w:rsidRPr="001850A1" w:rsidP="001850A1">
            <w:pPr>
              <w:pStyle w:val="ListBullet2"/>
            </w:pPr>
            <w:r w:rsidRPr="001850A1">
              <w:t>Excavator</w:t>
            </w:r>
          </w:p>
          <w:p w:rsidR="00000000" w:rsidRPr="001850A1" w:rsidP="001850A1">
            <w:pPr>
              <w:pStyle w:val="ListBullet2"/>
            </w:pPr>
            <w:r w:rsidRPr="001850A1">
              <w:t>Vacuum lift</w:t>
            </w:r>
          </w:p>
          <w:p w:rsidR="00000000" w:rsidRPr="001850A1" w:rsidP="001850A1">
            <w:pPr>
              <w:pStyle w:val="ListBullet2"/>
            </w:pPr>
            <w:r w:rsidRPr="001850A1">
              <w:t xml:space="preserve">Bending machine </w:t>
            </w:r>
          </w:p>
          <w:p w:rsidR="00000000" w:rsidRPr="001850A1" w:rsidP="001850A1">
            <w:pPr>
              <w:pStyle w:val="ListBullet2"/>
            </w:pPr>
            <w:r w:rsidRPr="001850A1">
              <w:t>Bending machine &amp; mandrel</w:t>
            </w:r>
          </w:p>
          <w:p w:rsidR="00000000" w:rsidRPr="001850A1" w:rsidP="001850A1">
            <w:pPr>
              <w:pStyle w:val="ListBullet2"/>
            </w:pPr>
            <w:r w:rsidRPr="001850A1">
              <w:t>Internal line up clamp</w:t>
            </w:r>
          </w:p>
          <w:p w:rsidR="00000000" w:rsidRPr="001850A1" w:rsidP="001850A1">
            <w:pPr>
              <w:pStyle w:val="ListBullet2"/>
            </w:pPr>
            <w:r w:rsidRPr="001850A1">
              <w:t>Tack Rig</w:t>
            </w:r>
          </w:p>
          <w:p w:rsidR="00000000" w:rsidRPr="001850A1" w:rsidP="001850A1">
            <w:pPr>
              <w:pStyle w:val="ListBullet2"/>
            </w:pPr>
            <w:r w:rsidRPr="001850A1">
              <w:t>Side Boom</w:t>
            </w:r>
          </w:p>
          <w:p w:rsidR="00000000" w:rsidRPr="001850A1" w:rsidP="001850A1">
            <w:pPr>
              <w:pStyle w:val="ListBullet2"/>
            </w:pPr>
            <w:r w:rsidRPr="001850A1">
              <w:t>Roller Cradles</w:t>
            </w:r>
          </w:p>
          <w:p w:rsidR="00000000" w:rsidRPr="001850A1" w:rsidP="001850A1">
            <w:pPr>
              <w:pStyle w:val="ListBullet2"/>
            </w:pPr>
            <w:r w:rsidRPr="001850A1">
              <w:t>Trenching Equipment</w:t>
            </w:r>
          </w:p>
          <w:p w:rsidR="00000000" w:rsidRPr="001850A1" w:rsidP="001850A1">
            <w:pPr>
              <w:pStyle w:val="ListBullet2"/>
            </w:pPr>
            <w:r w:rsidRPr="001850A1">
              <w:t>Bucket Wheel trencher</w:t>
            </w:r>
          </w:p>
          <w:p w:rsidR="00000000" w:rsidRPr="001850A1" w:rsidP="001850A1">
            <w:pPr>
              <w:pStyle w:val="ListBullet2"/>
            </w:pPr>
            <w:r w:rsidRPr="001850A1">
              <w:t>Grit Blasting Unit</w:t>
            </w:r>
          </w:p>
          <w:p w:rsidR="00000000" w:rsidRPr="001850A1" w:rsidP="001850A1">
            <w:pPr>
              <w:pStyle w:val="ListBullet2"/>
            </w:pPr>
            <w:r w:rsidRPr="001850A1">
              <w:t>Thermal Coil</w:t>
            </w:r>
          </w:p>
          <w:p w:rsidR="00000000" w:rsidRPr="001850A1" w:rsidP="001850A1">
            <w:pPr>
              <w:pStyle w:val="ListBullet2"/>
            </w:pPr>
            <w:r w:rsidRPr="001850A1">
              <w:t>Padding machines</w:t>
            </w:r>
          </w:p>
          <w:p w:rsidR="00000000" w:rsidRPr="001850A1" w:rsidP="001850A1">
            <w:pPr>
              <w:pStyle w:val="ListBullet2"/>
            </w:pPr>
            <w:r w:rsidRPr="001850A1">
              <w:t>Mitsu Bucket</w:t>
            </w:r>
          </w:p>
          <w:p w:rsidR="00000000" w:rsidRPr="001850A1" w:rsidP="001850A1">
            <w:pPr>
              <w:pStyle w:val="ListBullet2"/>
            </w:pPr>
            <w:r w:rsidRPr="001850A1">
              <w:t>Crane</w:t>
            </w:r>
            <w:r w:rsidRPr="001850A1">
              <w:t xml:space="preserve"> (Rough Terrain)</w:t>
            </w:r>
          </w:p>
          <w:p w:rsidR="00000000" w:rsidRPr="001850A1" w:rsidP="001850A1">
            <w:pPr>
              <w:pStyle w:val="ListBullet2"/>
            </w:pPr>
            <w:r w:rsidRPr="001850A1">
              <w:t xml:space="preserve">Crane Truck </w:t>
            </w:r>
          </w:p>
          <w:p w:rsidR="00000000" w:rsidRPr="001850A1" w:rsidP="001850A1">
            <w:pPr>
              <w:pStyle w:val="ListBullet2"/>
            </w:pPr>
            <w:r w:rsidRPr="001850A1">
              <w:t xml:space="preserve">Flood pump </w:t>
            </w:r>
          </w:p>
          <w:p w:rsidR="00000000" w:rsidRPr="001850A1" w:rsidP="001850A1">
            <w:pPr>
              <w:pStyle w:val="ListBullet2"/>
            </w:pPr>
            <w:r w:rsidRPr="001850A1">
              <w:t>Squeeze pump</w:t>
            </w:r>
          </w:p>
          <w:p w:rsidR="00000000" w:rsidRPr="001850A1" w:rsidP="001850A1">
            <w:pPr>
              <w:pStyle w:val="ListBullet2"/>
            </w:pPr>
            <w:r w:rsidRPr="001850A1">
              <w:t>Drying Plant</w:t>
            </w:r>
          </w:p>
          <w:p w:rsidR="00000000" w:rsidRPr="001850A1" w:rsidP="001850A1">
            <w:pPr>
              <w:pStyle w:val="ListBullet2"/>
            </w:pPr>
            <w:r w:rsidRPr="001850A1">
              <w:t>Heavy duty mulching machines</w:t>
            </w:r>
          </w:p>
          <w:p w:rsidR="00000000" w:rsidRPr="001850A1" w:rsidP="001850A1">
            <w:pPr>
              <w:pStyle w:val="BodyText"/>
            </w:pPr>
            <w:r w:rsidRPr="001850A1">
              <w:t>T2.</w:t>
            </w:r>
            <w:r w:rsidRPr="001850A1">
              <w:tab/>
              <w:t xml:space="preserve">Safe operating parameters </w:t>
            </w:r>
          </w:p>
          <w:p w:rsidR="00000000" w:rsidRPr="001850A1" w:rsidP="001850A1">
            <w:pPr>
              <w:pStyle w:val="ListBullet2"/>
            </w:pPr>
            <w:r w:rsidRPr="001850A1">
              <w:t>hand signals</w:t>
            </w:r>
          </w:p>
          <w:p w:rsidR="00000000" w:rsidRPr="001850A1" w:rsidP="001850A1">
            <w:pPr>
              <w:pStyle w:val="ListBullet2"/>
            </w:pPr>
            <w:r w:rsidRPr="001850A1">
              <w:t>safety hazards</w:t>
            </w:r>
          </w:p>
          <w:p w:rsidR="00000000" w:rsidRPr="001850A1" w:rsidP="001850A1">
            <w:pPr>
              <w:pStyle w:val="BodyText"/>
            </w:pPr>
            <w:r w:rsidRPr="001850A1">
              <w:t>T3.</w:t>
            </w:r>
            <w:r w:rsidRPr="001850A1">
              <w:tab/>
              <w:t>Relevant legislation, regulations and codes</w:t>
            </w:r>
          </w:p>
          <w:p w:rsidR="00000000" w:rsidRPr="001850A1" w:rsidP="001850A1">
            <w:pPr>
              <w:pStyle w:val="ListBullet2"/>
            </w:pPr>
            <w:r w:rsidRPr="001850A1">
              <w:t>Licencing requirements</w:t>
            </w:r>
          </w:p>
          <w:p w:rsidR="00000000" w:rsidRPr="001850A1" w:rsidP="001850A1">
            <w:pPr>
              <w:pStyle w:val="BodyText"/>
            </w:pPr>
            <w:r w:rsidRPr="001850A1">
              <w:t>T4.</w:t>
            </w:r>
            <w:r w:rsidRPr="001850A1">
              <w:tab/>
              <w:t>Enterprise procedures</w:t>
            </w:r>
          </w:p>
          <w:p w:rsidR="00000000" w:rsidRPr="001850A1" w:rsidP="001850A1">
            <w:pPr>
              <w:pStyle w:val="BodyText"/>
            </w:pPr>
            <w:r w:rsidRPr="001850A1">
              <w:t>T5.</w:t>
            </w:r>
            <w:r w:rsidRPr="001850A1">
              <w:tab/>
              <w:t>Construction sequence</w:t>
            </w:r>
          </w:p>
        </w:tc>
      </w:tr>
    </w:tbl>
    <w:p w:rsidR="00000000" w:rsidRPr="001850A1" w:rsidP="001850A1">
      <w:pPr>
        <w:pStyle w:val="BodyText"/>
      </w:pPr>
    </w:p>
    <w:p w:rsidR="00000000" w:rsidRPr="001850A1" w:rsidP="001850A1">
      <w:pPr>
        <w:pStyle w:val="AllowPageBreak"/>
      </w:pPr>
    </w:p>
    <w:p w:rsidR="00000000" w:rsidRPr="001850A1" w:rsidP="001850A1">
      <w:pPr>
        <w:pStyle w:val="Heading1"/>
      </w:pPr>
      <w:bookmarkStart w:id="10" w:name="O_583344"/>
      <w:bookmarkEnd w:id="10"/>
      <w:r w:rsidRPr="001850A1">
        <w:t>Evidence Guide</w:t>
      </w:r>
    </w:p>
    <w:tbl>
      <w:tblPr>
        <w:tblW w:w="0" w:type="auto"/>
        <w:tblLayout w:type="fixed"/>
        <w:tblCellMar>
          <w:left w:w="62" w:type="dxa"/>
          <w:right w:w="62" w:type="dxa"/>
        </w:tblCellMar>
        <w:tblLook w:val="0000"/>
      </w:tblPr>
      <w:tblGrid>
        <w:gridCol w:w="8398"/>
      </w:tblGrid>
      <w:tr w:rsidTr="001850A1">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rPr>
                <w:rStyle w:val="SpecialBold"/>
              </w:rPr>
              <w:t>EVIDENCE GUIDE</w:t>
            </w:r>
          </w:p>
        </w:tc>
      </w:tr>
      <w:tr w:rsidTr="001850A1">
        <w:tblPrEx>
          <w:tblW w:w="0" w:type="auto"/>
          <w:tblLayout w:type="fixed"/>
          <w:tblCellMar>
            <w:left w:w="62" w:type="dxa"/>
            <w:right w:w="62" w:type="dxa"/>
          </w:tblCellMar>
          <w:tblLook w:val="0000"/>
        </w:tblPrEx>
        <w:trPr>
          <w:trHeight w:val="948"/>
        </w:trPr>
        <w:tc>
          <w:tcPr>
            <w:tcW w:w="8398" w:type="dxa"/>
            <w:tcBorders>
              <w:top w:val="nil"/>
              <w:left w:val="nil"/>
              <w:bottom w:val="nil"/>
              <w:right w:val="nil"/>
            </w:tcBorders>
            <w:tcMar>
              <w:top w:w="0" w:type="dxa"/>
              <w:left w:w="62" w:type="dxa"/>
              <w:bottom w:w="0" w:type="dxa"/>
              <w:right w:w="62" w:type="dxa"/>
            </w:tcMar>
          </w:tcPr>
          <w:p w:rsidR="00000000" w:rsidRPr="001850A1" w:rsidP="001850A1">
            <w:pPr>
              <w:pStyle w:val="BodyText"/>
            </w:pPr>
            <w:r w:rsidRPr="001850A1">
              <w:rPr>
                <w:rStyle w:val="SpecialBold"/>
              </w:rPr>
              <w:t>8)</w:t>
            </w:r>
            <w:r w:rsidRPr="001850A1">
              <w:t xml:space="preserve"> The Evidence Guide forms an integral part of this Unit and shall be used in conjunction with all </w:t>
            </w:r>
            <w:r w:rsidRPr="001850A1">
              <w:t>components parts of this unit and performed in accordance with the Assessment Guidelines of this Training Package.</w:t>
            </w:r>
          </w:p>
        </w:tc>
      </w:tr>
    </w:tbl>
    <w:p w:rsidR="00000000" w:rsidRPr="001850A1" w:rsidP="001850A1">
      <w:pPr>
        <w:pStyle w:val="BodyText"/>
      </w:pPr>
    </w:p>
    <w:tbl>
      <w:tblPr>
        <w:tblW w:w="0" w:type="auto"/>
        <w:tblLayout w:type="fixed"/>
        <w:tblCellMar>
          <w:left w:w="62" w:type="dxa"/>
          <w:right w:w="62" w:type="dxa"/>
        </w:tblCellMar>
        <w:tblLook w:val="0000"/>
      </w:tblPr>
      <w:tblGrid>
        <w:gridCol w:w="1828"/>
        <w:gridCol w:w="6570"/>
      </w:tblGrid>
      <w:tr w:rsidTr="001850A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1850A1" w:rsidP="001850A1">
            <w:pPr>
              <w:pStyle w:val="BodyText"/>
            </w:pPr>
            <w:r w:rsidRPr="001850A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rPr>
                <w:rStyle w:val="SpecialBold"/>
              </w:rPr>
              <w:t>8.1)</w:t>
            </w:r>
          </w:p>
        </w:tc>
      </w:tr>
      <w:tr w:rsidTr="001850A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t xml:space="preserve">Longitudinal competency development approaches to assessment, such as Profiling, require data to be reliably </w:t>
            </w:r>
            <w:r w:rsidRPr="001850A1">
              <w:t xml:space="preserve">gathered in a form that can be consistently interpreted over time. This approach is best utilised in Apprenticeship programs and reduces assessment intervention. It is the Industry’s preferred model for apprenticeships. However, where summative (or final) </w:t>
            </w:r>
            <w:r w:rsidRPr="001850A1">
              <w:t>assessment is used it is to include the application of the competency in the normal work environment or, at a minimum, the application of the competency in a realistically simulated work environment. It is recognised that, in some circumstances, assessment</w:t>
            </w:r>
            <w:r w:rsidRPr="001850A1">
              <w:t xml:space="preserve"> in part or full can occur outside the workplace. However, it must be in accord with industry and regulatory policy in this regard.</w:t>
            </w:r>
          </w:p>
        </w:tc>
      </w:tr>
      <w:tr w:rsidTr="001850A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t xml:space="preserve">Methods </w:t>
            </w:r>
            <w:r w:rsidRPr="001850A1">
              <w:t>chosen for a particular assessment will be influenced by various factors. These include the extent of the assessment, the most effective locations for the assessment activities to take place, access to physical resources, additional safety measures that ma</w:t>
            </w:r>
            <w:r w:rsidRPr="001850A1">
              <w:t>y be required and the critical nature of the competencies being assessed.</w:t>
            </w:r>
          </w:p>
        </w:tc>
      </w:tr>
      <w:tr w:rsidTr="001850A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t>The critical safety nature of working with electricity, electrical equipment, gas or any other hazardous substance/material carries risk in deeming a person competent. Hence, sourc</w:t>
            </w:r>
            <w:r w:rsidRPr="001850A1">
              <w:t>es of evidence need to be ‘rich’ in nature so as to minimise error in judgment.</w:t>
            </w:r>
          </w:p>
        </w:tc>
      </w:tr>
      <w:tr w:rsidTr="001850A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850A1" w:rsidP="001850A1">
            <w:pPr>
              <w:pStyle w:val="BodyText"/>
            </w:pPr>
            <w:r w:rsidRPr="001850A1">
              <w:t>Activities associated with normal every day work have a bearing on the decision as to how much and how detailed the data gathered will contribute to its ‘richness’. Some skil</w:t>
            </w:r>
            <w:r w:rsidRPr="001850A1">
              <w:t>ls are more critical to safety and operational requirements while the same skills may be more or less frequently practised. These points are raised for the assessors to consider when choosing an assessment method and developing assessment instruments. Samp</w:t>
            </w:r>
            <w:r w:rsidRPr="001850A1">
              <w:t>le assessment instruments are included in the Assessment Guidelines of this Training Package.</w:t>
            </w:r>
          </w:p>
        </w:tc>
      </w:tr>
    </w:tbl>
    <w:p w:rsidR="00000000" w:rsidRPr="001850A1" w:rsidP="001850A1">
      <w:pPr>
        <w:pStyle w:val="BodyText"/>
      </w:pPr>
    </w:p>
    <w:tbl>
      <w:tblPr>
        <w:tblW w:w="0" w:type="auto"/>
        <w:tblLayout w:type="fixed"/>
        <w:tblCellMar>
          <w:left w:w="62" w:type="dxa"/>
          <w:right w:w="62" w:type="dxa"/>
        </w:tblCellMar>
        <w:tblLook w:val="0000"/>
      </w:tblPr>
      <w:tblGrid>
        <w:gridCol w:w="1800"/>
        <w:gridCol w:w="810"/>
        <w:gridCol w:w="450"/>
        <w:gridCol w:w="5310"/>
      </w:tblGrid>
      <w:tr w:rsidTr="005877C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RPr="001850A1" w:rsidP="001850A1">
            <w:pPr>
              <w:pStyle w:val="BodyText"/>
            </w:pPr>
            <w:r w:rsidRPr="001850A1">
              <w:rPr>
                <w:rStyle w:val="SpecialBold"/>
              </w:rPr>
              <w:t>Critical aspects of evidence required to demonstrate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rPr>
                <w:rStyle w:val="SpecialBold"/>
              </w:rPr>
              <w:t>8.2)</w:t>
            </w:r>
          </w:p>
        </w:tc>
      </w:tr>
      <w:tr w:rsidTr="005877C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t>Before the critical aspects of evidence are considered all prerequisites shall be met.</w:t>
            </w:r>
          </w:p>
        </w:tc>
      </w:tr>
      <w:tr w:rsidTr="005877C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1850A1">
            <w:pPr>
              <w:pStyle w:val="ListBullet"/>
              <w:rPr>
                <w:lang w:val="en-NZ"/>
              </w:rPr>
            </w:pPr>
            <w:r w:rsidRPr="001850A1">
              <w:t>Evidence for competence in this unit shall be considered holistically. Each element and associated Performance Criteria shall be demonstrated on at least two occasi</w:t>
            </w:r>
            <w:r w:rsidRPr="001850A1">
              <w:t>ons in accordance with the ‘Assessment Guidelines — UEG11’. Evidence shall also comprise:</w:t>
            </w:r>
          </w:p>
        </w:tc>
      </w:tr>
      <w:tr w:rsidTr="005877C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1850A1">
            <w:pPr>
              <w:pStyle w:val="ListBullet2"/>
              <w:rPr>
                <w:lang w:val="en-NZ"/>
              </w:rPr>
            </w:pPr>
            <w:r w:rsidRPr="001850A1">
              <w:t>A representative body of work performance demonstrated within the timeframes typically expected of the discipline, work function and industrial environment. In p</w:t>
            </w:r>
            <w:r w:rsidRPr="001850A1">
              <w:t>articular this shall incorporate evidence that shows a candidate is able to:</w:t>
            </w:r>
          </w:p>
        </w:tc>
      </w:tr>
      <w:tr w:rsidTr="005877C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1850A1">
            <w:pPr>
              <w:pStyle w:val="ListBullet2"/>
              <w:rPr>
                <w:lang w:val="en-NZ"/>
              </w:rPr>
            </w:pPr>
            <w:r w:rsidRPr="001850A1">
              <w:t>Implement Occupational Health and Safety workplace procedures and practices including the use of risk control measures as specified in the Performance Criteria and range</w:t>
            </w:r>
          </w:p>
        </w:tc>
      </w:tr>
      <w:tr w:rsidTr="005877C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1850A1">
            <w:pPr>
              <w:pStyle w:val="ListBullet2"/>
              <w:rPr>
                <w:lang w:val="en-NZ"/>
              </w:rPr>
            </w:pPr>
            <w:r w:rsidRPr="001850A1">
              <w:t>Apply sustainable energy principles and practices as specified in the Performance Criteria and range</w:t>
            </w:r>
          </w:p>
        </w:tc>
      </w:tr>
      <w:tr w:rsidTr="005877C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1850A1">
            <w:pPr>
              <w:pStyle w:val="ListBullet2"/>
              <w:rPr>
                <w:lang w:val="en-NZ"/>
              </w:rPr>
            </w:pPr>
            <w:r w:rsidRPr="001850A1">
              <w:t>Demonstrate an understanding of the required skills and  knowledge as described in this unit to such an extent that the learner’</w:t>
            </w:r>
            <w:r w:rsidRPr="001850A1">
              <w:t>s performance outcome is reported in accordance with the preferred approach; namely a percentile graded result</w:t>
            </w:r>
          </w:p>
        </w:tc>
      </w:tr>
      <w:tr w:rsidTr="005877C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1850A1">
            <w:pPr>
              <w:pStyle w:val="ListBullet2"/>
              <w:rPr>
                <w:lang w:val="en-NZ"/>
              </w:rPr>
            </w:pPr>
            <w:r w:rsidRPr="001850A1">
              <w:t>Demonstrate an appropriate level of employability skills</w:t>
            </w:r>
          </w:p>
        </w:tc>
      </w:tr>
      <w:tr w:rsidTr="005877C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1850A1">
            <w:pPr>
              <w:pStyle w:val="ListBullet2"/>
              <w:rPr>
                <w:lang w:val="en-NZ"/>
              </w:rPr>
            </w:pPr>
            <w:r w:rsidRPr="001850A1">
              <w:t>Conduct work observing the relevant Anti-discrimination legislation, regulatio</w:t>
            </w:r>
            <w:r w:rsidRPr="001850A1">
              <w:t>ns, polices and workplace procedures</w:t>
            </w:r>
          </w:p>
        </w:tc>
      </w:tr>
      <w:tr w:rsidTr="005877C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1850A1" w:rsidP="001850A1">
            <w:pPr>
              <w:pStyle w:val="ListBullet"/>
            </w:pPr>
            <w:r w:rsidRPr="001850A1">
              <w:t xml:space="preserve">Demonstrate performance across a representative range of contexts from the prescribed items below: </w:t>
            </w:r>
          </w:p>
          <w:p w:rsidR="00000000" w:rsidP="001850A1">
            <w:pPr>
              <w:pStyle w:val="ListBullet2"/>
              <w:rPr>
                <w:lang w:val="en-NZ"/>
              </w:rPr>
            </w:pPr>
            <w:r w:rsidRPr="001850A1">
              <w:t xml:space="preserve">Working in proximity of transmission construction plant and equipment in accordance with </w:t>
            </w:r>
            <w:r w:rsidRPr="001850A1">
              <w:t>relevant legislation, code, regulations and procedures as described in 9.) Range Statement and including:</w:t>
            </w:r>
          </w:p>
        </w:tc>
      </w:tr>
      <w:tr w:rsidTr="005877C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t xml:space="preserve">A. </w:t>
            </w:r>
          </w:p>
        </w:tc>
        <w:tc>
          <w:tcPr>
            <w:tcW w:w="531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t>Identifying and interpreting correctly drawings, diagrams, schedules, procedures and manuals relevant to the work to be undertaken.</w:t>
            </w:r>
          </w:p>
        </w:tc>
      </w:tr>
      <w:tr w:rsidTr="005877C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t>B.</w:t>
            </w:r>
          </w:p>
        </w:tc>
        <w:tc>
          <w:tcPr>
            <w:tcW w:w="531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t>Identifying the plant and equipment and their safe operating parameters/requirements</w:t>
            </w:r>
          </w:p>
        </w:tc>
      </w:tr>
      <w:tr w:rsidTr="005877C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t>C.</w:t>
            </w:r>
          </w:p>
        </w:tc>
        <w:tc>
          <w:tcPr>
            <w:tcW w:w="531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t>Working in proximity of transmission construction plant and equipment in accordance with requirements</w:t>
            </w:r>
          </w:p>
        </w:tc>
      </w:tr>
      <w:tr w:rsidTr="005877C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t>D.</w:t>
            </w:r>
          </w:p>
        </w:tc>
        <w:tc>
          <w:tcPr>
            <w:tcW w:w="531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t xml:space="preserve"> Completing required documentation and reporting.</w:t>
            </w:r>
          </w:p>
        </w:tc>
      </w:tr>
      <w:tr w:rsidTr="005877C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t>E</w:t>
            </w:r>
          </w:p>
        </w:tc>
        <w:tc>
          <w:tcPr>
            <w:tcW w:w="5310" w:type="dxa"/>
            <w:tcBorders>
              <w:top w:val="nil"/>
              <w:left w:val="nil"/>
              <w:bottom w:val="nil"/>
              <w:right w:val="nil"/>
            </w:tcBorders>
            <w:tcMar>
              <w:top w:w="0" w:type="dxa"/>
              <w:left w:w="62" w:type="dxa"/>
              <w:bottom w:w="0" w:type="dxa"/>
              <w:right w:w="62" w:type="dxa"/>
            </w:tcMar>
          </w:tcPr>
          <w:p w:rsidR="00000000" w:rsidRPr="001850A1" w:rsidP="001850A1">
            <w:pPr>
              <w:pStyle w:val="BodyText"/>
            </w:pPr>
            <w:r w:rsidRPr="001850A1">
              <w:t>Dealing with unplanned events by drawing on required skills and knowledge, procedures/ protocols to provide appropriate solutions incorporated in the holistic assessment with the above listed items, for example encroachment and/or contact with assets</w:t>
            </w:r>
          </w:p>
        </w:tc>
      </w:tr>
    </w:tbl>
    <w:p w:rsidR="00000000" w:rsidRPr="001850A1" w:rsidP="001850A1">
      <w:pPr>
        <w:pStyle w:val="BodyText"/>
      </w:pPr>
    </w:p>
    <w:tbl>
      <w:tblPr>
        <w:tblW w:w="0" w:type="auto"/>
        <w:tblLayout w:type="fixed"/>
        <w:tblCellMar>
          <w:left w:w="62" w:type="dxa"/>
          <w:right w:w="62" w:type="dxa"/>
        </w:tblCellMar>
        <w:tblLook w:val="0000"/>
      </w:tblPr>
      <w:tblGrid>
        <w:gridCol w:w="1828"/>
        <w:gridCol w:w="6570"/>
      </w:tblGrid>
      <w:tr w:rsidTr="001850A1">
        <w:tblPrEx>
          <w:tblW w:w="0" w:type="auto"/>
          <w:tblLayout w:type="fixed"/>
          <w:tblCellMar>
            <w:left w:w="62" w:type="dxa"/>
            <w:right w:w="62" w:type="dxa"/>
          </w:tblCellMar>
          <w:tblLook w:val="0000"/>
        </w:tblPrEx>
        <w:trPr>
          <w:trHeight w:val="918"/>
        </w:trPr>
        <w:tc>
          <w:tcPr>
            <w:tcW w:w="1828" w:type="dxa"/>
            <w:tcBorders>
              <w:top w:val="nil"/>
              <w:left w:val="nil"/>
              <w:bottom w:val="nil"/>
              <w:right w:val="nil"/>
            </w:tcBorders>
            <w:tcMar>
              <w:top w:w="0" w:type="dxa"/>
              <w:left w:w="62" w:type="dxa"/>
              <w:bottom w:w="0" w:type="dxa"/>
              <w:right w:w="62" w:type="dxa"/>
            </w:tcMar>
          </w:tcPr>
          <w:p w:rsidR="00000000" w:rsidRPr="001850A1" w:rsidP="001850A1">
            <w:pPr>
              <w:pStyle w:val="BodyText"/>
            </w:pPr>
            <w:r w:rsidRPr="001850A1">
              <w:rPr>
                <w:rStyle w:val="SpecialBold"/>
              </w:rPr>
              <w:t>Con</w:t>
            </w:r>
            <w:r w:rsidRPr="001850A1">
              <w:rPr>
                <w:rStyle w:val="SpecialBold"/>
              </w:rPr>
              <w:t>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rPr>
                <w:rStyle w:val="SpecialBold"/>
              </w:rPr>
              <w:t>8.3)</w:t>
            </w:r>
          </w:p>
        </w:tc>
      </w:tr>
      <w:tr w:rsidTr="001850A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t>This unit should be assessed as it relates to normal work practice using procedures, information and resources typical of a workplace. This should include:</w:t>
            </w:r>
          </w:p>
        </w:tc>
      </w:tr>
      <w:tr w:rsidTr="001850A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850A1">
            <w:pPr>
              <w:pStyle w:val="ListBullet"/>
              <w:rPr>
                <w:lang w:val="en-NZ"/>
              </w:rPr>
            </w:pPr>
            <w:r w:rsidRPr="001850A1">
              <w:t>WHS/OHS policy and work procedures and instructions.</w:t>
            </w:r>
          </w:p>
        </w:tc>
      </w:tr>
      <w:tr w:rsidTr="001850A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850A1">
            <w:pPr>
              <w:pStyle w:val="ListBullet"/>
              <w:rPr>
                <w:lang w:val="en-NZ"/>
              </w:rPr>
            </w:pPr>
            <w:r w:rsidRPr="001850A1">
              <w:t>Suitable work environment, facilities, equipment and materials to undertake actual work as prescribed by this Unit.</w:t>
            </w:r>
          </w:p>
        </w:tc>
      </w:tr>
      <w:tr w:rsidTr="001850A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850A1">
            <w:pPr>
              <w:pStyle w:val="ListBullet"/>
              <w:rPr>
                <w:lang w:val="en-NZ"/>
              </w:rPr>
            </w:pPr>
            <w:r w:rsidRPr="001850A1">
              <w:t>Appropriate environmental regulation and work practices.</w:t>
            </w:r>
          </w:p>
        </w:tc>
      </w:tr>
      <w:tr w:rsidTr="001850A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850A1">
            <w:pPr>
              <w:pStyle w:val="ListBullet"/>
              <w:rPr>
                <w:lang w:val="en-NZ"/>
              </w:rPr>
            </w:pPr>
            <w:r w:rsidRPr="001850A1">
              <w:t>Appropriate organisat</w:t>
            </w:r>
            <w:r w:rsidRPr="001850A1">
              <w:t>ional requirements.</w:t>
            </w:r>
          </w:p>
        </w:tc>
      </w:tr>
      <w:tr w:rsidTr="001850A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850A1">
            <w:pPr>
              <w:pStyle w:val="ListBullet"/>
              <w:rPr>
                <w:lang w:val="en-NZ"/>
              </w:rPr>
            </w:pPr>
            <w:r w:rsidRPr="001850A1">
              <w:t>Appropriate work environment, equipment and tools.</w:t>
            </w:r>
          </w:p>
        </w:tc>
      </w:tr>
      <w:tr w:rsidTr="001850A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t>These should be part of the formal learning/assessment environment.</w:t>
            </w:r>
          </w:p>
        </w:tc>
      </w:tr>
      <w:tr w:rsidTr="001850A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850A1" w:rsidP="001850A1">
            <w:pPr>
              <w:pStyle w:val="BodyText"/>
            </w:pPr>
            <w:r w:rsidRPr="001850A1">
              <w:t>Assessment of this competency must also be undertaken in eit</w:t>
            </w:r>
            <w:r w:rsidRPr="001850A1">
              <w:t xml:space="preserve">her an actual workplace or under a simulated work environment. Assessment </w:t>
            </w:r>
            <w:r w:rsidRPr="001850A1">
              <w:t>must also integrate the employability skills.</w:t>
            </w:r>
          </w:p>
          <w:p w:rsidR="00000000" w:rsidRPr="001850A1" w:rsidP="001850A1">
            <w:pPr>
              <w:pStyle w:val="BodyText"/>
            </w:pPr>
            <w:r w:rsidRPr="001850A1">
              <w:t>Note:</w:t>
            </w:r>
          </w:p>
          <w:p w:rsidR="00000000" w:rsidRPr="001850A1" w:rsidP="001850A1">
            <w:pPr>
              <w:pStyle w:val="BodyText"/>
            </w:pPr>
            <w:r w:rsidRPr="001850A1">
              <w:t>Where simulation is considered a suitable strategy for assessment, conditions must be authentic and as far as possible reproduce a</w:t>
            </w:r>
            <w:r w:rsidRPr="001850A1">
              <w:t>nd replicate the workplace and be consistent with the approved industry simulation policy.</w:t>
            </w:r>
          </w:p>
          <w:p w:rsidR="00000000" w:rsidRPr="001850A1" w:rsidP="001850A1">
            <w:pPr>
              <w:pStyle w:val="BodyText"/>
            </w:pPr>
            <w:r w:rsidRPr="001850A1">
              <w:t>The resources used for assessment should reflect current industry practices in relation to locating, proving and protecting utility assets.</w:t>
            </w:r>
          </w:p>
        </w:tc>
      </w:tr>
    </w:tbl>
    <w:p w:rsidR="00000000" w:rsidRPr="001850A1" w:rsidP="001850A1">
      <w:pPr>
        <w:pStyle w:val="BodyText"/>
      </w:pPr>
    </w:p>
    <w:tbl>
      <w:tblPr>
        <w:tblW w:w="0" w:type="auto"/>
        <w:tblLayout w:type="fixed"/>
        <w:tblCellMar>
          <w:left w:w="62" w:type="dxa"/>
          <w:right w:w="62" w:type="dxa"/>
        </w:tblCellMar>
        <w:tblLook w:val="0000"/>
      </w:tblPr>
      <w:tblGrid>
        <w:gridCol w:w="1828"/>
        <w:gridCol w:w="6570"/>
      </w:tblGrid>
      <w:tr w:rsidTr="001850A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1850A1" w:rsidP="001850A1">
            <w:pPr>
              <w:pStyle w:val="BodyText"/>
            </w:pPr>
            <w:r w:rsidRPr="001850A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rPr>
                <w:rStyle w:val="SpecialBold"/>
              </w:rPr>
              <w:t>8.</w:t>
            </w:r>
            <w:r w:rsidRPr="001850A1">
              <w:rPr>
                <w:rStyle w:val="SpecialBold"/>
              </w:rPr>
              <w:t>4)</w:t>
            </w:r>
          </w:p>
        </w:tc>
      </w:tr>
      <w:tr w:rsidTr="001850A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t>This Unit shall be assessed by methods given in Volume 1, Part 3 ‘Assessment Guidelines’.</w:t>
            </w:r>
          </w:p>
        </w:tc>
      </w:tr>
      <w:tr w:rsidTr="001850A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850A1" w:rsidP="001850A1">
            <w:pPr>
              <w:pStyle w:val="BodyText"/>
            </w:pPr>
            <w:r w:rsidRPr="001850A1">
              <w:t>Note: Competent performance with inherent safe working practices is expected in the Industry to which this Unit applies. This requires that the required Skills</w:t>
            </w:r>
            <w:r w:rsidRPr="001850A1">
              <w:t xml:space="preserve"> and Knowledge are assessed in a structured environment which is primarily intended for learning/assessment and incorporates all necessary equipment and facilities for learners to develop and demonstrate the required Skills and Knowledge described in this </w:t>
            </w:r>
            <w:r w:rsidRPr="001850A1">
              <w:t>unit.</w:t>
            </w:r>
          </w:p>
        </w:tc>
      </w:tr>
    </w:tbl>
    <w:p w:rsidR="00000000" w:rsidRPr="001850A1" w:rsidP="001850A1">
      <w:pPr>
        <w:pStyle w:val="BodyText"/>
      </w:pPr>
    </w:p>
    <w:tbl>
      <w:tblPr>
        <w:tblW w:w="0" w:type="auto"/>
        <w:tblLayout w:type="fixed"/>
        <w:tblCellMar>
          <w:left w:w="62" w:type="dxa"/>
          <w:right w:w="62" w:type="dxa"/>
        </w:tblCellMar>
        <w:tblLook w:val="0000"/>
      </w:tblPr>
      <w:tblGrid>
        <w:gridCol w:w="1828"/>
        <w:gridCol w:w="6570"/>
      </w:tblGrid>
      <w:tr w:rsidTr="001850A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1850A1" w:rsidP="001850A1">
            <w:pPr>
              <w:pStyle w:val="BodyText"/>
            </w:pPr>
            <w:r w:rsidRPr="001850A1">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rPr>
                <w:rStyle w:val="SpecialBold"/>
              </w:rPr>
              <w:t>8.5)</w:t>
            </w:r>
          </w:p>
        </w:tc>
      </w:tr>
      <w:tr w:rsidTr="001850A1">
        <w:tblPrEx>
          <w:tblW w:w="0" w:type="auto"/>
          <w:tblLayout w:type="fixed"/>
          <w:tblCellMar>
            <w:left w:w="62" w:type="dxa"/>
            <w:right w:w="62" w:type="dxa"/>
          </w:tblCellMar>
          <w:tblLook w:val="0000"/>
        </w:tblPrEx>
        <w:trPr>
          <w:trHeight w:val="497"/>
        </w:trPr>
        <w:tc>
          <w:tcPr>
            <w:tcW w:w="1828" w:type="dxa"/>
            <w:tcBorders>
              <w:top w:val="nil"/>
              <w:left w:val="nil"/>
              <w:bottom w:val="nil"/>
              <w:right w:val="nil"/>
            </w:tcBorders>
            <w:tcMar>
              <w:top w:w="0" w:type="dxa"/>
              <w:left w:w="62" w:type="dxa"/>
              <w:bottom w:w="0" w:type="dxa"/>
              <w:right w:w="62" w:type="dxa"/>
            </w:tcMar>
          </w:tcPr>
          <w:p w:rsidR="00000000" w:rsidRPr="001850A1" w:rsidP="001850A1">
            <w:pPr>
              <w:pStyle w:val="BodyText"/>
            </w:pPr>
          </w:p>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850A1" w:rsidP="001850A1">
            <w:pPr>
              <w:pStyle w:val="BodyText"/>
            </w:pPr>
            <w:r w:rsidRPr="001850A1">
              <w:t>There are no recommended concurrent assessments with this unit.</w:t>
            </w:r>
          </w:p>
        </w:tc>
      </w:tr>
    </w:tbl>
    <w:p w:rsidR="005877C6" w:rsidP="001850A1">
      <w:pPr>
        <w:pStyle w:val="BodyText"/>
      </w:pPr>
    </w:p>
    <w:p w:rsidR="005877C6" w:rsidP="001850A1">
      <w:pPr>
        <w:pStyle w:val="BodyText"/>
      </w:pPr>
    </w:p>
    <w:p w:rsidR="00000000" w:rsidRPr="001850A1" w:rsidP="001850A1">
      <w:pPr>
        <w:pStyle w:val="Heading1"/>
      </w:pPr>
      <w:bookmarkStart w:id="11" w:name="O_583345"/>
      <w:bookmarkEnd w:id="11"/>
      <w:r w:rsidRPr="001850A1">
        <w:t>Range Statement</w:t>
      </w:r>
    </w:p>
    <w:tbl>
      <w:tblPr>
        <w:tblW w:w="0" w:type="auto"/>
        <w:tblLayout w:type="fixed"/>
        <w:tblCellMar>
          <w:left w:w="62" w:type="dxa"/>
          <w:right w:w="62" w:type="dxa"/>
        </w:tblCellMar>
        <w:tblLook w:val="0000"/>
      </w:tblPr>
      <w:tblGrid>
        <w:gridCol w:w="2758"/>
        <w:gridCol w:w="2820"/>
        <w:gridCol w:w="2820"/>
        <w:gridCol w:w="62"/>
      </w:tblGrid>
      <w:tr w:rsidTr="005877C6">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rPr>
                <w:rStyle w:val="SpecialBold"/>
              </w:rPr>
              <w:t>RANGE STATEMENT</w:t>
            </w:r>
          </w:p>
        </w:tc>
      </w:tr>
      <w:tr w:rsidTr="005877C6">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rPr>
                <w:rStyle w:val="SpecialBold"/>
              </w:rPr>
              <w:t>9)</w:t>
            </w:r>
            <w:r w:rsidRPr="001850A1">
              <w:t xml:space="preserve"> </w:t>
            </w:r>
            <w:r w:rsidRPr="001850A1">
              <w:rPr>
                <w:rStyle w:val="Emphasis"/>
              </w:rPr>
              <w:t>This relates to the competency standard unit as a whole providing the range of contexts and conditions to which the Performance Criteria apply. It allows for different work environments and situations that will affect performance.</w:t>
            </w:r>
          </w:p>
        </w:tc>
      </w:tr>
      <w:tr w:rsidTr="005877C6">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P="001850A1">
            <w:pPr>
              <w:pStyle w:val="BodyText"/>
              <w:rPr>
                <w:lang w:val="en-NZ"/>
              </w:rPr>
            </w:pPr>
            <w:r w:rsidRPr="001850A1">
              <w:t>This Competency Stand</w:t>
            </w:r>
            <w:r w:rsidRPr="001850A1">
              <w:t>ard Unit shall be demonstrated in relation to working in proximity of transmission construction plant and equipment in accordance with relevant legislation, code, regulations and procedures. This will include the following range of plant and equipment:</w:t>
            </w:r>
          </w:p>
        </w:tc>
      </w:tr>
      <w:tr w:rsidTr="005877C6">
        <w:tblPrEx>
          <w:tblW w:w="0" w:type="auto"/>
          <w:tblLayout w:type="fixed"/>
          <w:tblCellMar>
            <w:left w:w="62" w:type="dxa"/>
            <w:right w:w="62" w:type="dxa"/>
          </w:tblCellMar>
          <w:tblLook w:val="0000"/>
        </w:tblPrEx>
        <w:trPr>
          <w:gridAfter w:val="1"/>
          <w:wAfter w:w="62" w:type="dxa"/>
          <w:trHeight w:val="366"/>
        </w:trPr>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A1">
            <w:pPr>
              <w:pStyle w:val="BodyText"/>
              <w:rPr>
                <w:lang w:val="en-NZ"/>
              </w:rPr>
            </w:pPr>
            <w:r w:rsidRPr="001850A1">
              <w:t>Backfill</w:t>
            </w:r>
          </w:p>
        </w:tc>
        <w:tc>
          <w:tcPr>
            <w:tcW w:w="2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A1">
            <w:pPr>
              <w:pStyle w:val="BodyText"/>
              <w:rPr>
                <w:lang w:val="en-NZ"/>
              </w:rPr>
            </w:pPr>
            <w:r w:rsidRPr="001850A1">
              <w:t>At least 1 of the listed items of plant and equipment</w:t>
            </w:r>
          </w:p>
        </w:tc>
        <w:tc>
          <w:tcPr>
            <w:tcW w:w="2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A1">
            <w:pPr>
              <w:pStyle w:val="BodyText"/>
              <w:rPr>
                <w:lang w:val="en-NZ"/>
              </w:rPr>
            </w:pPr>
            <w:r w:rsidRPr="001850A1">
              <w:t>Padding Machine</w:t>
            </w:r>
            <w:r w:rsidRPr="001850A1">
              <w:br/>
              <w:t>Excavator</w:t>
            </w:r>
            <w:r w:rsidRPr="001850A1">
              <w:br/>
              <w:t>Grader</w:t>
            </w:r>
            <w:r w:rsidRPr="001850A1">
              <w:br/>
              <w:t>Dozer</w:t>
            </w:r>
            <w:r w:rsidRPr="001850A1">
              <w:br/>
            </w:r>
            <w:r w:rsidRPr="001850A1">
              <w:t>Front End Loader</w:t>
            </w:r>
          </w:p>
        </w:tc>
      </w:tr>
      <w:tr w:rsidTr="005877C6">
        <w:tblPrEx>
          <w:tblW w:w="0" w:type="auto"/>
          <w:tblLayout w:type="fixed"/>
          <w:tblCellMar>
            <w:left w:w="62" w:type="dxa"/>
            <w:right w:w="62" w:type="dxa"/>
          </w:tblCellMar>
          <w:tblLook w:val="0000"/>
        </w:tblPrEx>
        <w:trPr>
          <w:gridAfter w:val="1"/>
          <w:wAfter w:w="62" w:type="dxa"/>
        </w:trPr>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A1">
            <w:pPr>
              <w:pStyle w:val="BodyText"/>
              <w:rPr>
                <w:lang w:val="en-NZ"/>
              </w:rPr>
            </w:pPr>
            <w:r w:rsidRPr="001850A1">
              <w:t xml:space="preserve">Clear and Grade </w:t>
            </w:r>
          </w:p>
        </w:tc>
        <w:tc>
          <w:tcPr>
            <w:tcW w:w="2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A1">
            <w:pPr>
              <w:pStyle w:val="BodyText"/>
              <w:rPr>
                <w:lang w:val="en-NZ"/>
              </w:rPr>
            </w:pPr>
            <w:r w:rsidRPr="001850A1">
              <w:t>At least 1 of the listed items of plant and equipment</w:t>
            </w:r>
          </w:p>
        </w:tc>
        <w:tc>
          <w:tcPr>
            <w:tcW w:w="2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A1">
            <w:pPr>
              <w:pStyle w:val="BodyText"/>
              <w:rPr>
                <w:lang w:val="en-NZ"/>
              </w:rPr>
            </w:pPr>
            <w:r w:rsidRPr="001850A1">
              <w:t>Dozer</w:t>
            </w:r>
            <w:r w:rsidRPr="001850A1">
              <w:br/>
              <w:t>Excavator</w:t>
            </w:r>
            <w:r w:rsidRPr="001850A1">
              <w:br/>
              <w:t>Grader</w:t>
            </w:r>
            <w:r w:rsidRPr="001850A1">
              <w:br/>
              <w:t>Backhoe</w:t>
            </w:r>
            <w:r w:rsidRPr="001850A1">
              <w:br/>
              <w:t>Front End Loader</w:t>
            </w:r>
          </w:p>
        </w:tc>
      </w:tr>
      <w:tr w:rsidTr="005877C6">
        <w:tblPrEx>
          <w:tblW w:w="0" w:type="auto"/>
          <w:tblLayout w:type="fixed"/>
          <w:tblCellMar>
            <w:left w:w="62" w:type="dxa"/>
            <w:right w:w="62" w:type="dxa"/>
          </w:tblCellMar>
          <w:tblLook w:val="0000"/>
        </w:tblPrEx>
        <w:trPr>
          <w:gridAfter w:val="1"/>
          <w:wAfter w:w="62" w:type="dxa"/>
        </w:trPr>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A1">
            <w:pPr>
              <w:pStyle w:val="BodyText"/>
              <w:rPr>
                <w:lang w:val="en-NZ"/>
              </w:rPr>
            </w:pPr>
            <w:r w:rsidRPr="001850A1">
              <w:t>Ditching</w:t>
            </w:r>
          </w:p>
        </w:tc>
        <w:tc>
          <w:tcPr>
            <w:tcW w:w="2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A1">
            <w:pPr>
              <w:pStyle w:val="BodyText"/>
              <w:rPr>
                <w:lang w:val="en-NZ"/>
              </w:rPr>
            </w:pPr>
            <w:r w:rsidRPr="001850A1">
              <w:t>At least 1 of the listed items of plant and equipment</w:t>
            </w:r>
          </w:p>
        </w:tc>
        <w:tc>
          <w:tcPr>
            <w:tcW w:w="2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A1">
            <w:pPr>
              <w:pStyle w:val="BodyText"/>
              <w:rPr>
                <w:lang w:val="en-NZ"/>
              </w:rPr>
            </w:pPr>
            <w:r w:rsidRPr="001850A1">
              <w:t>Excavator</w:t>
            </w:r>
            <w:r w:rsidRPr="001850A1">
              <w:br/>
              <w:t>Rock Saw</w:t>
            </w:r>
            <w:r w:rsidRPr="001850A1">
              <w:br/>
              <w:t>Bucket Wheel Trencher</w:t>
            </w:r>
          </w:p>
        </w:tc>
      </w:tr>
      <w:tr w:rsidTr="005877C6">
        <w:tblPrEx>
          <w:tblW w:w="0" w:type="auto"/>
          <w:tblLayout w:type="fixed"/>
          <w:tblCellMar>
            <w:left w:w="62" w:type="dxa"/>
            <w:right w:w="62" w:type="dxa"/>
          </w:tblCellMar>
          <w:tblLook w:val="0000"/>
        </w:tblPrEx>
        <w:trPr>
          <w:gridAfter w:val="1"/>
          <w:wAfter w:w="62" w:type="dxa"/>
        </w:trPr>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A1">
            <w:pPr>
              <w:pStyle w:val="BodyText"/>
              <w:rPr>
                <w:lang w:val="en-NZ"/>
              </w:rPr>
            </w:pPr>
            <w:r w:rsidRPr="001850A1">
              <w:t>Hydro Testing</w:t>
            </w:r>
          </w:p>
        </w:tc>
        <w:tc>
          <w:tcPr>
            <w:tcW w:w="2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A1">
            <w:pPr>
              <w:pStyle w:val="BodyText"/>
              <w:rPr>
                <w:lang w:val="en-NZ"/>
              </w:rPr>
            </w:pPr>
            <w:r w:rsidRPr="001850A1">
              <w:t>At least 1 of the listed items of plant and equipment</w:t>
            </w:r>
          </w:p>
        </w:tc>
        <w:tc>
          <w:tcPr>
            <w:tcW w:w="2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A1">
            <w:pPr>
              <w:pStyle w:val="BodyText"/>
              <w:rPr>
                <w:lang w:val="en-NZ"/>
              </w:rPr>
            </w:pPr>
            <w:r w:rsidRPr="001850A1">
              <w:t>Crane Truck</w:t>
            </w:r>
            <w:r w:rsidRPr="001850A1">
              <w:br/>
              <w:t>Side Boom</w:t>
            </w:r>
            <w:r w:rsidRPr="001850A1">
              <w:br/>
              <w:t>Rough Terrain Crane</w:t>
            </w:r>
          </w:p>
        </w:tc>
      </w:tr>
      <w:tr w:rsidTr="005877C6">
        <w:tblPrEx>
          <w:tblW w:w="0" w:type="auto"/>
          <w:tblLayout w:type="fixed"/>
          <w:tblCellMar>
            <w:left w:w="62" w:type="dxa"/>
            <w:right w:w="62" w:type="dxa"/>
          </w:tblCellMar>
          <w:tblLook w:val="0000"/>
        </w:tblPrEx>
        <w:trPr>
          <w:gridAfter w:val="1"/>
          <w:wAfter w:w="62" w:type="dxa"/>
        </w:trPr>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A1">
            <w:pPr>
              <w:pStyle w:val="BodyText"/>
              <w:rPr>
                <w:lang w:val="en-NZ"/>
              </w:rPr>
            </w:pPr>
            <w:r w:rsidRPr="001850A1">
              <w:t>Joint Coating</w:t>
            </w:r>
          </w:p>
        </w:tc>
        <w:tc>
          <w:tcPr>
            <w:tcW w:w="2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A1">
            <w:pPr>
              <w:pStyle w:val="BodyText"/>
              <w:rPr>
                <w:lang w:val="en-NZ"/>
              </w:rPr>
            </w:pPr>
            <w:r w:rsidRPr="001850A1">
              <w:t>At least 1 of the listed items of p</w:t>
            </w:r>
            <w:r w:rsidRPr="001850A1">
              <w:t>lant and equipment</w:t>
            </w:r>
          </w:p>
        </w:tc>
        <w:tc>
          <w:tcPr>
            <w:tcW w:w="2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A1">
            <w:pPr>
              <w:pStyle w:val="BodyText"/>
              <w:rPr>
                <w:lang w:val="en-NZ"/>
              </w:rPr>
            </w:pPr>
            <w:r w:rsidRPr="001850A1">
              <w:t>Sand Blasting Rig (Skid Steer)</w:t>
            </w:r>
            <w:r w:rsidRPr="001850A1">
              <w:br/>
              <w:t>Over Ditch Wrapping Machine</w:t>
            </w:r>
            <w:r w:rsidRPr="001850A1">
              <w:br/>
              <w:t>Thermal Coil</w:t>
            </w:r>
          </w:p>
        </w:tc>
      </w:tr>
      <w:tr w:rsidTr="005877C6">
        <w:tblPrEx>
          <w:tblW w:w="0" w:type="auto"/>
          <w:tblLayout w:type="fixed"/>
          <w:tblCellMar>
            <w:left w:w="62" w:type="dxa"/>
            <w:right w:w="62" w:type="dxa"/>
          </w:tblCellMar>
          <w:tblLook w:val="0000"/>
        </w:tblPrEx>
        <w:trPr>
          <w:gridAfter w:val="1"/>
          <w:wAfter w:w="62" w:type="dxa"/>
        </w:trPr>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A1">
            <w:pPr>
              <w:pStyle w:val="BodyText"/>
              <w:rPr>
                <w:lang w:val="en-NZ"/>
              </w:rPr>
            </w:pPr>
            <w:r w:rsidRPr="001850A1">
              <w:t>Lower and Lay</w:t>
            </w:r>
          </w:p>
        </w:tc>
        <w:tc>
          <w:tcPr>
            <w:tcW w:w="2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A1">
            <w:pPr>
              <w:pStyle w:val="BodyText"/>
              <w:rPr>
                <w:lang w:val="en-NZ"/>
              </w:rPr>
            </w:pPr>
            <w:r w:rsidRPr="001850A1">
              <w:t>At least 1 of the listed items of plant and equipment</w:t>
            </w:r>
          </w:p>
        </w:tc>
        <w:tc>
          <w:tcPr>
            <w:tcW w:w="2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A1">
            <w:pPr>
              <w:pStyle w:val="BodyText"/>
              <w:rPr>
                <w:lang w:val="en-NZ"/>
              </w:rPr>
            </w:pPr>
            <w:r w:rsidRPr="001850A1">
              <w:t>Side Boom with Roller Cradles</w:t>
            </w:r>
            <w:r w:rsidRPr="001850A1">
              <w:br/>
              <w:t>Excavator</w:t>
            </w:r>
          </w:p>
        </w:tc>
      </w:tr>
      <w:tr w:rsidTr="005877C6">
        <w:tblPrEx>
          <w:tblW w:w="0" w:type="auto"/>
          <w:tblLayout w:type="fixed"/>
          <w:tblCellMar>
            <w:left w:w="62" w:type="dxa"/>
            <w:right w:w="62" w:type="dxa"/>
          </w:tblCellMar>
          <w:tblLook w:val="0000"/>
        </w:tblPrEx>
        <w:trPr>
          <w:gridAfter w:val="1"/>
          <w:wAfter w:w="62" w:type="dxa"/>
        </w:trPr>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A1">
            <w:pPr>
              <w:pStyle w:val="BodyText"/>
              <w:rPr>
                <w:lang w:val="en-NZ"/>
              </w:rPr>
            </w:pPr>
            <w:r w:rsidRPr="001850A1">
              <w:t>Mechanical (minor maintenance)</w:t>
            </w:r>
          </w:p>
        </w:tc>
        <w:tc>
          <w:tcPr>
            <w:tcW w:w="2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A1">
            <w:pPr>
              <w:pStyle w:val="BodyText"/>
              <w:rPr>
                <w:lang w:val="en-NZ"/>
              </w:rPr>
            </w:pPr>
            <w:r w:rsidRPr="001850A1">
              <w:t>At least 4 of the listed items of plant and equipment</w:t>
            </w:r>
          </w:p>
        </w:tc>
        <w:tc>
          <w:tcPr>
            <w:tcW w:w="2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A1">
            <w:pPr>
              <w:pStyle w:val="BodyText"/>
              <w:rPr>
                <w:lang w:val="en-NZ"/>
              </w:rPr>
            </w:pPr>
            <w:r w:rsidRPr="001850A1">
              <w:t>Excavator and Vacuum Lift</w:t>
            </w:r>
            <w:r w:rsidRPr="001850A1">
              <w:br/>
              <w:t>Bending Machine and Mandrels</w:t>
            </w:r>
            <w:r w:rsidRPr="001850A1">
              <w:br/>
              <w:t>Internal Line up Clamp</w:t>
            </w:r>
            <w:r w:rsidRPr="001850A1">
              <w:br/>
              <w:t>Tack Rig</w:t>
            </w:r>
            <w:r w:rsidRPr="001850A1">
              <w:br/>
              <w:t>Side Boom</w:t>
            </w:r>
            <w:r w:rsidRPr="001850A1">
              <w:br/>
              <w:t>Roller Cradles</w:t>
            </w:r>
            <w:r w:rsidRPr="001850A1">
              <w:br/>
              <w:t>Rock Saw</w:t>
            </w:r>
            <w:r w:rsidRPr="001850A1">
              <w:br/>
              <w:t>Bucket Wheel Trencher</w:t>
            </w:r>
            <w:r w:rsidRPr="001850A1">
              <w:br/>
              <w:t>Thermal Coil</w:t>
            </w:r>
            <w:r w:rsidRPr="001850A1">
              <w:br/>
              <w:t>Over Ditch Wrapping Machine</w:t>
            </w:r>
            <w:r w:rsidRPr="001850A1">
              <w:br/>
              <w:t>Padding Machines</w:t>
            </w:r>
            <w:r w:rsidRPr="001850A1">
              <w:br/>
              <w:t>M</w:t>
            </w:r>
            <w:r w:rsidRPr="001850A1">
              <w:t>itsu Bucket</w:t>
            </w:r>
          </w:p>
        </w:tc>
      </w:tr>
      <w:tr w:rsidTr="005877C6">
        <w:tblPrEx>
          <w:tblW w:w="0" w:type="auto"/>
          <w:tblLayout w:type="fixed"/>
          <w:tblCellMar>
            <w:left w:w="62" w:type="dxa"/>
            <w:right w:w="62" w:type="dxa"/>
          </w:tblCellMar>
          <w:tblLook w:val="0000"/>
        </w:tblPrEx>
        <w:trPr>
          <w:gridAfter w:val="1"/>
          <w:wAfter w:w="62" w:type="dxa"/>
        </w:trPr>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A1">
            <w:pPr>
              <w:pStyle w:val="BodyText"/>
              <w:rPr>
                <w:lang w:val="en-NZ"/>
              </w:rPr>
            </w:pPr>
            <w:r w:rsidRPr="001850A1">
              <w:t>String and bend</w:t>
            </w:r>
          </w:p>
        </w:tc>
        <w:tc>
          <w:tcPr>
            <w:tcW w:w="2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A1">
            <w:pPr>
              <w:pStyle w:val="BodyText"/>
              <w:rPr>
                <w:lang w:val="en-NZ"/>
              </w:rPr>
            </w:pPr>
            <w:r w:rsidRPr="001850A1">
              <w:t>At least 1 of the listed items of plant and equipment</w:t>
            </w:r>
          </w:p>
        </w:tc>
        <w:tc>
          <w:tcPr>
            <w:tcW w:w="2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A1">
            <w:pPr>
              <w:pStyle w:val="BodyText"/>
              <w:rPr>
                <w:lang w:val="en-NZ"/>
              </w:rPr>
            </w:pPr>
            <w:r w:rsidRPr="001850A1">
              <w:t>Excavator</w:t>
            </w:r>
            <w:r w:rsidRPr="001850A1">
              <w:br/>
              <w:t>Bending Machine with Mandrels</w:t>
            </w:r>
            <w:r w:rsidRPr="001850A1">
              <w:br/>
              <w:t>Side Boom</w:t>
            </w:r>
          </w:p>
        </w:tc>
      </w:tr>
      <w:tr w:rsidTr="005877C6">
        <w:tblPrEx>
          <w:tblW w:w="0" w:type="auto"/>
          <w:tblLayout w:type="fixed"/>
          <w:tblCellMar>
            <w:left w:w="62" w:type="dxa"/>
            <w:right w:w="62" w:type="dxa"/>
          </w:tblCellMar>
          <w:tblLook w:val="0000"/>
        </w:tblPrEx>
        <w:trPr>
          <w:gridAfter w:val="1"/>
          <w:wAfter w:w="62" w:type="dxa"/>
          <w:trHeight w:val="366"/>
        </w:trPr>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A1">
            <w:pPr>
              <w:pStyle w:val="BodyText"/>
              <w:rPr>
                <w:lang w:val="en-NZ"/>
              </w:rPr>
            </w:pPr>
            <w:r w:rsidRPr="001850A1">
              <w:t xml:space="preserve">Welding </w:t>
            </w:r>
          </w:p>
        </w:tc>
        <w:tc>
          <w:tcPr>
            <w:tcW w:w="2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A1">
            <w:pPr>
              <w:pStyle w:val="BodyText"/>
              <w:rPr>
                <w:lang w:val="en-NZ"/>
              </w:rPr>
            </w:pPr>
            <w:r w:rsidRPr="001850A1">
              <w:t>At least 1 of the listed items of plant and equipment</w:t>
            </w:r>
          </w:p>
        </w:tc>
        <w:tc>
          <w:tcPr>
            <w:tcW w:w="2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0A1" w:rsidP="001850A1">
            <w:pPr>
              <w:pStyle w:val="BodyText"/>
            </w:pPr>
            <w:r w:rsidRPr="001850A1">
              <w:t>Side Boom</w:t>
            </w:r>
            <w:r w:rsidRPr="001850A1">
              <w:br/>
              <w:t>Internal Line up Clamp</w:t>
            </w:r>
            <w:r w:rsidRPr="001850A1">
              <w:br/>
              <w:t>Tack Rig</w:t>
            </w:r>
          </w:p>
        </w:tc>
      </w:tr>
    </w:tbl>
    <w:p w:rsidR="00000000" w:rsidRPr="001850A1" w:rsidP="001850A1">
      <w:pPr>
        <w:pStyle w:val="BodyText"/>
      </w:pPr>
    </w:p>
    <w:p w:rsidR="00000000" w:rsidRPr="001850A1" w:rsidP="001850A1">
      <w:pPr>
        <w:pStyle w:val="AllowPageBreak"/>
      </w:pPr>
    </w:p>
    <w:p w:rsidR="00000000" w:rsidRPr="001850A1" w:rsidP="001850A1">
      <w:pPr>
        <w:pStyle w:val="Heading1"/>
      </w:pPr>
      <w:bookmarkStart w:id="12" w:name="O_583346"/>
      <w:bookmarkEnd w:id="12"/>
      <w:r w:rsidRPr="001850A1">
        <w:t>Unit Sector(s)</w:t>
      </w:r>
    </w:p>
    <w:p w:rsidR="00000000" w:rsidRPr="001850A1" w:rsidP="001850A1">
      <w:pPr>
        <w:pStyle w:val="BodyText"/>
      </w:pPr>
      <w:r w:rsidRPr="001850A1">
        <w:tab/>
        <w:t>Gas Industry</w:t>
      </w:r>
    </w:p>
    <w:p w:rsidR="00000000" w:rsidRPr="001850A1" w:rsidP="001850A1">
      <w:pPr>
        <w:pStyle w:val="AllowPageBreak"/>
      </w:pPr>
    </w:p>
    <w:p w:rsidR="00000000" w:rsidRPr="001850A1" w:rsidP="001850A1">
      <w:pPr>
        <w:pStyle w:val="Heading1"/>
      </w:pPr>
      <w:bookmarkStart w:id="13" w:name="O_583347"/>
      <w:bookmarkEnd w:id="13"/>
      <w:r w:rsidRPr="001850A1">
        <w:t>Competency Field</w:t>
      </w:r>
    </w:p>
    <w:tbl>
      <w:tblPr>
        <w:tblW w:w="0" w:type="auto"/>
        <w:tblLayout w:type="fixed"/>
        <w:tblCellMar>
          <w:left w:w="62" w:type="dxa"/>
          <w:right w:w="62" w:type="dxa"/>
        </w:tblCellMar>
        <w:tblLook w:val="0000"/>
      </w:tblPr>
      <w:tblGrid>
        <w:gridCol w:w="2638"/>
        <w:gridCol w:w="5760"/>
      </w:tblGrid>
      <w:tr w:rsidTr="001850A1">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P="001850A1">
            <w:pPr>
              <w:pStyle w:val="Heading4"/>
              <w:rPr>
                <w:lang w:val="en-NZ"/>
              </w:rPr>
            </w:pPr>
            <w:r w:rsidRPr="001850A1">
              <w:t>Competency Field</w:t>
            </w:r>
          </w:p>
        </w:tc>
        <w:tc>
          <w:tcPr>
            <w:tcW w:w="5760" w:type="dxa"/>
            <w:tcBorders>
              <w:top w:val="nil"/>
              <w:left w:val="nil"/>
              <w:bottom w:val="nil"/>
              <w:right w:val="nil"/>
            </w:tcBorders>
            <w:tcMar>
              <w:top w:w="0" w:type="dxa"/>
              <w:left w:w="62" w:type="dxa"/>
              <w:bottom w:w="0" w:type="dxa"/>
              <w:right w:w="62" w:type="dxa"/>
            </w:tcMar>
          </w:tcPr>
          <w:p w:rsidR="00000000" w:rsidP="001850A1">
            <w:pPr>
              <w:pStyle w:val="Heading4"/>
              <w:rPr>
                <w:lang w:val="en-NZ"/>
              </w:rPr>
            </w:pPr>
            <w:r w:rsidRPr="001850A1">
              <w:t xml:space="preserve">11) </w:t>
            </w:r>
          </w:p>
        </w:tc>
      </w:tr>
      <w:tr w:rsidTr="001850A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5760" w:type="dxa"/>
            <w:tcBorders>
              <w:top w:val="nil"/>
              <w:left w:val="nil"/>
              <w:bottom w:val="nil"/>
              <w:right w:val="nil"/>
            </w:tcBorders>
            <w:tcMar>
              <w:top w:w="0" w:type="dxa"/>
              <w:left w:w="62" w:type="dxa"/>
              <w:bottom w:w="0" w:type="dxa"/>
              <w:right w:w="62" w:type="dxa"/>
            </w:tcMar>
          </w:tcPr>
          <w:p w:rsidR="00000000" w:rsidRPr="001850A1" w:rsidP="001850A1">
            <w:r w:rsidRPr="001850A1">
              <w:t>Transmission discipline.</w:t>
            </w:r>
          </w:p>
        </w:tc>
      </w:tr>
    </w:tbl>
    <w:p w:rsidR="00000000" w:rsidRPr="001850A1" w:rsidP="001850A1"/>
    <w:p w:rsidR="00000000" w:rsidRPr="001850A1" w:rsidP="001850A1"/>
    <w:sectPr w:rsidSect="001850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0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0A1" w:rsidRPr="005877C6" w:rsidP="005877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0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7C6" w:rsidP="001850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5877C6" w:rsidP="001850A1">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5877C6" w:rsidP="001850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0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0A1" w:rsidRPr="005877C6" w:rsidP="005877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0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7C6" w:rsidRPr="002D2AF8" w:rsidP="001850A1">
    <w:pPr>
      <w:pStyle w:val="Header"/>
      <w:framePr w:wrap="around"/>
    </w:pPr>
    <w:r>
      <w:fldChar w:fldCharType="begin"/>
    </w:r>
    <w:r>
      <w:instrText xml:space="preserve"> TITLE   \* MERGEFORMAT </w:instrText>
    </w:r>
    <w:r>
      <w:fldChar w:fldCharType="separate"/>
    </w:r>
    <w:r>
      <w:t>UEGNSG333A Work in proximity of transmission pipeline construction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5877C6" w:rsidP="001850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66DD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E88F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3C06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0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50A1"/>
    <w:pPr>
      <w:spacing w:before="360" w:after="60"/>
      <w:outlineLvl w:val="0"/>
    </w:pPr>
    <w:rPr>
      <w:sz w:val="32"/>
    </w:rPr>
  </w:style>
  <w:style w:type="paragraph" w:styleId="Heading2">
    <w:name w:val="heading 2"/>
    <w:basedOn w:val="HeadingBase"/>
    <w:next w:val="BodyText"/>
    <w:link w:val="Heading2Char"/>
    <w:qFormat/>
    <w:rsid w:val="001850A1"/>
    <w:pPr>
      <w:keepLines/>
      <w:spacing w:before="240" w:after="120"/>
      <w:outlineLvl w:val="1"/>
    </w:pPr>
    <w:rPr>
      <w:sz w:val="28"/>
      <w:szCs w:val="40"/>
    </w:rPr>
  </w:style>
  <w:style w:type="paragraph" w:styleId="Heading3">
    <w:name w:val="heading 3"/>
    <w:basedOn w:val="HeadingBase"/>
    <w:next w:val="BodyText"/>
    <w:link w:val="Heading3Char"/>
    <w:qFormat/>
    <w:rsid w:val="001850A1"/>
    <w:pPr>
      <w:spacing w:before="180" w:after="120"/>
      <w:outlineLvl w:val="2"/>
    </w:pPr>
    <w:rPr>
      <w:spacing w:val="-10"/>
      <w:kern w:val="32"/>
    </w:rPr>
  </w:style>
  <w:style w:type="paragraph" w:styleId="Heading4">
    <w:name w:val="heading 4"/>
    <w:basedOn w:val="HeadingBase"/>
    <w:next w:val="BodyText"/>
    <w:link w:val="Heading4Char"/>
    <w:qFormat/>
    <w:rsid w:val="001850A1"/>
    <w:pPr>
      <w:spacing w:before="160" w:after="120"/>
      <w:outlineLvl w:val="3"/>
    </w:pPr>
    <w:rPr>
      <w:sz w:val="22"/>
    </w:rPr>
  </w:style>
  <w:style w:type="paragraph" w:styleId="Heading5">
    <w:name w:val="heading 5"/>
    <w:basedOn w:val="HeadingBase"/>
    <w:next w:val="Normal"/>
    <w:link w:val="Heading5Char"/>
    <w:qFormat/>
    <w:rsid w:val="001850A1"/>
    <w:pPr>
      <w:spacing w:before="80"/>
      <w:outlineLvl w:val="4"/>
    </w:pPr>
    <w:rPr>
      <w:color w:val="918585"/>
      <w:sz w:val="20"/>
    </w:rPr>
  </w:style>
  <w:style w:type="paragraph" w:styleId="Heading6">
    <w:name w:val="heading 6"/>
    <w:basedOn w:val="HeadingBase"/>
    <w:next w:val="Normal"/>
    <w:link w:val="Heading6Char"/>
    <w:qFormat/>
    <w:rsid w:val="001850A1"/>
    <w:pPr>
      <w:spacing w:before="60"/>
      <w:outlineLvl w:val="5"/>
    </w:pPr>
    <w:rPr>
      <w:color w:val="918585"/>
      <w:sz w:val="20"/>
    </w:rPr>
  </w:style>
  <w:style w:type="paragraph" w:styleId="Heading7">
    <w:name w:val="heading 7"/>
    <w:basedOn w:val="Normal"/>
    <w:next w:val="Normal"/>
    <w:link w:val="Heading7Char"/>
    <w:qFormat/>
    <w:rsid w:val="001850A1"/>
    <w:pPr>
      <w:ind w:left="720"/>
      <w:outlineLvl w:val="6"/>
    </w:pPr>
    <w:rPr>
      <w:i/>
    </w:rPr>
  </w:style>
  <w:style w:type="paragraph" w:styleId="Heading8">
    <w:name w:val="heading 8"/>
    <w:basedOn w:val="Normal"/>
    <w:next w:val="Normal"/>
    <w:link w:val="Heading8Char"/>
    <w:qFormat/>
    <w:rsid w:val="001850A1"/>
    <w:pPr>
      <w:ind w:left="720"/>
      <w:outlineLvl w:val="7"/>
    </w:pPr>
    <w:rPr>
      <w:i/>
    </w:rPr>
  </w:style>
  <w:style w:type="paragraph" w:styleId="Heading9">
    <w:name w:val="heading 9"/>
    <w:basedOn w:val="Normal"/>
    <w:next w:val="Normal"/>
    <w:link w:val="Heading9Char"/>
    <w:qFormat/>
    <w:rsid w:val="001850A1"/>
    <w:pPr>
      <w:ind w:left="720"/>
      <w:outlineLvl w:val="8"/>
    </w:pPr>
    <w:rPr>
      <w:i/>
    </w:rPr>
  </w:style>
  <w:style w:type="character" w:default="1" w:styleId="DefaultParagraphFont">
    <w:name w:val="Default Paragraph Font"/>
    <w:uiPriority w:val="1"/>
    <w:unhideWhenUsed/>
    <w:rsid w:val="001850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50A1"/>
  </w:style>
  <w:style w:type="character" w:customStyle="1" w:styleId="Heading1Char">
    <w:name w:val="Heading 1 Char"/>
    <w:basedOn w:val="DefaultParagraphFont"/>
    <w:link w:val="Heading1"/>
    <w:rsid w:val="001850A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850A1"/>
    <w:rPr>
      <w:rFonts w:ascii="Times New Roman" w:eastAsia="Times New Roman" w:hAnsi="Times New Roman" w:cs="Times New Roman"/>
      <w:b/>
      <w:szCs w:val="20"/>
      <w:lang w:eastAsia="en-US"/>
    </w:rPr>
  </w:style>
  <w:style w:type="paragraph" w:styleId="BodyText">
    <w:name w:val="Body Text"/>
    <w:basedOn w:val="Normal"/>
    <w:link w:val="BodyTextChar"/>
    <w:rsid w:val="001850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50A1"/>
    <w:rPr>
      <w:rFonts w:ascii="Times New Roman" w:eastAsia="Times New Roman" w:hAnsi="Times New Roman" w:cs="Times New Roman"/>
      <w:sz w:val="24"/>
      <w:lang w:eastAsia="en-US"/>
    </w:rPr>
  </w:style>
  <w:style w:type="paragraph" w:styleId="ListBullet">
    <w:name w:val="List Bullet"/>
    <w:basedOn w:val="List"/>
    <w:rsid w:val="001850A1"/>
    <w:pPr>
      <w:numPr>
        <w:numId w:val="13"/>
      </w:numPr>
      <w:tabs>
        <w:tab w:val="clear" w:pos="340"/>
      </w:tabs>
      <w:spacing w:before="40" w:after="40"/>
    </w:pPr>
  </w:style>
  <w:style w:type="character" w:customStyle="1" w:styleId="SpecialBold">
    <w:name w:val="Special Bold"/>
    <w:basedOn w:val="DefaultParagraphFont"/>
    <w:rsid w:val="001850A1"/>
    <w:rPr>
      <w:b/>
      <w:spacing w:val="0"/>
    </w:rPr>
  </w:style>
  <w:style w:type="paragraph" w:styleId="ListBullet2">
    <w:name w:val="List Bullet 2"/>
    <w:basedOn w:val="List2"/>
    <w:rsid w:val="001850A1"/>
    <w:pPr>
      <w:numPr>
        <w:numId w:val="14"/>
      </w:numPr>
      <w:tabs>
        <w:tab w:val="clear" w:pos="680"/>
      </w:tabs>
    </w:pPr>
  </w:style>
  <w:style w:type="character" w:styleId="Emphasis">
    <w:name w:val="Emphasis"/>
    <w:basedOn w:val="DefaultParagraphFont"/>
    <w:qFormat/>
    <w:rsid w:val="001850A1"/>
    <w:rPr>
      <w:i/>
    </w:rPr>
  </w:style>
  <w:style w:type="paragraph" w:customStyle="1" w:styleId="SuperHeading">
    <w:name w:val="SuperHeading"/>
    <w:basedOn w:val="Normal"/>
    <w:rsid w:val="001850A1"/>
    <w:pPr>
      <w:spacing w:before="240" w:after="120"/>
      <w:outlineLvl w:val="0"/>
    </w:pPr>
    <w:rPr>
      <w:rFonts w:ascii="Times New Roman" w:hAnsi="Times New Roman"/>
      <w:b/>
      <w:sz w:val="32"/>
    </w:rPr>
  </w:style>
  <w:style w:type="paragraph" w:customStyle="1" w:styleId="AllowPageBreak">
    <w:name w:val="AllowPageBreak"/>
    <w:rsid w:val="001850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50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50A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850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50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50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50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50A1"/>
    <w:rPr>
      <w:rFonts w:ascii="Courier New" w:eastAsia="Times New Roman" w:hAnsi="Courier New" w:cs="Times New Roman"/>
      <w:i/>
      <w:szCs w:val="20"/>
      <w:lang w:eastAsia="en-US"/>
    </w:rPr>
  </w:style>
  <w:style w:type="paragraph" w:customStyle="1" w:styleId="HeadingBase">
    <w:name w:val="Heading Base"/>
    <w:rsid w:val="001850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50A1"/>
    <w:pPr>
      <w:tabs>
        <w:tab w:val="right" w:leader="dot" w:pos="9072"/>
      </w:tabs>
      <w:ind w:left="567"/>
    </w:pPr>
    <w:rPr>
      <w:szCs w:val="22"/>
    </w:rPr>
  </w:style>
  <w:style w:type="paragraph" w:customStyle="1" w:styleId="TOCBase">
    <w:name w:val="TOC Base"/>
    <w:rsid w:val="001850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50A1"/>
    <w:pPr>
      <w:tabs>
        <w:tab w:val="right" w:leader="dot" w:pos="9072"/>
      </w:tabs>
      <w:spacing w:before="40" w:after="40"/>
      <w:ind w:left="284"/>
    </w:pPr>
    <w:rPr>
      <w:rFonts w:ascii="Times New Roman" w:hAnsi="Times New Roman"/>
    </w:rPr>
  </w:style>
  <w:style w:type="paragraph" w:styleId="TOC1">
    <w:name w:val="toc 1"/>
    <w:basedOn w:val="TOCBase"/>
    <w:next w:val="Normal"/>
    <w:rsid w:val="001850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50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50A1"/>
    <w:rPr>
      <w:rFonts w:ascii="Times New Roman" w:eastAsia="Times New Roman" w:hAnsi="Times New Roman" w:cs="Times New Roman"/>
      <w:sz w:val="16"/>
      <w:lang w:eastAsia="en-US"/>
    </w:rPr>
  </w:style>
  <w:style w:type="paragraph" w:styleId="Title">
    <w:name w:val="Title"/>
    <w:basedOn w:val="HeadingBase"/>
    <w:link w:val="TitleChar"/>
    <w:qFormat/>
    <w:rsid w:val="001850A1"/>
    <w:pPr>
      <w:spacing w:before="5040"/>
      <w:jc w:val="center"/>
    </w:pPr>
    <w:rPr>
      <w:sz w:val="48"/>
      <w:szCs w:val="72"/>
      <w:lang w:val="en-US"/>
    </w:rPr>
  </w:style>
  <w:style w:type="character" w:customStyle="1" w:styleId="TitleChar">
    <w:name w:val="Title Char"/>
    <w:basedOn w:val="DefaultParagraphFont"/>
    <w:link w:val="Title"/>
    <w:rsid w:val="001850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50A1"/>
    <w:pPr>
      <w:tabs>
        <w:tab w:val="left" w:pos="3600"/>
        <w:tab w:val="left" w:pos="3958"/>
      </w:tabs>
    </w:pPr>
  </w:style>
  <w:style w:type="paragraph" w:styleId="List">
    <w:name w:val="List"/>
    <w:basedOn w:val="BodyText"/>
    <w:next w:val="BodyText"/>
    <w:rsid w:val="001850A1"/>
    <w:pPr>
      <w:tabs>
        <w:tab w:val="left" w:pos="340"/>
      </w:tabs>
      <w:spacing w:before="60" w:after="60"/>
      <w:ind w:left="340" w:hanging="340"/>
    </w:pPr>
  </w:style>
  <w:style w:type="paragraph" w:customStyle="1" w:styleId="Note">
    <w:name w:val="Note"/>
    <w:basedOn w:val="BodyText"/>
    <w:rsid w:val="001850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50A1"/>
    <w:pPr>
      <w:framePr w:wrap="auto" w:hAnchor="text" w:y="6049"/>
    </w:pPr>
    <w:rPr>
      <w:color w:val="000000"/>
      <w:sz w:val="40"/>
    </w:rPr>
  </w:style>
  <w:style w:type="paragraph" w:customStyle="1" w:styleId="TOCTitle">
    <w:name w:val="TOCTitle"/>
    <w:basedOn w:val="Heading1"/>
    <w:rsid w:val="001850A1"/>
    <w:pPr>
      <w:spacing w:after="240"/>
      <w:jc w:val="center"/>
      <w:outlineLvl w:val="9"/>
    </w:pPr>
    <w:rPr>
      <w:caps/>
    </w:rPr>
  </w:style>
  <w:style w:type="paragraph" w:customStyle="1" w:styleId="Version">
    <w:name w:val="Version"/>
    <w:rsid w:val="001850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50A1"/>
    <w:pPr>
      <w:keepNext w:val="0"/>
      <w:tabs>
        <w:tab w:val="right" w:pos="4176"/>
      </w:tabs>
      <w:ind w:left="198" w:hanging="198"/>
    </w:pPr>
    <w:rPr>
      <w:rFonts w:ascii="Garamond" w:hAnsi="Garamond"/>
    </w:rPr>
  </w:style>
  <w:style w:type="paragraph" w:styleId="IndexHeading">
    <w:name w:val="index heading"/>
    <w:basedOn w:val="Normal"/>
    <w:next w:val="Index1"/>
    <w:semiHidden/>
    <w:rsid w:val="001850A1"/>
    <w:pPr>
      <w:spacing w:before="120" w:after="120"/>
    </w:pPr>
    <w:rPr>
      <w:rFonts w:ascii="Arial" w:hAnsi="Arial"/>
      <w:b/>
      <w:color w:val="918585"/>
      <w:sz w:val="24"/>
    </w:rPr>
  </w:style>
  <w:style w:type="paragraph" w:styleId="Header">
    <w:name w:val="header"/>
    <w:basedOn w:val="Normal"/>
    <w:link w:val="HeaderChar"/>
    <w:rsid w:val="001850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50A1"/>
    <w:rPr>
      <w:rFonts w:ascii="Times New Roman" w:eastAsia="Times New Roman" w:hAnsi="Times New Roman" w:cs="Times New Roman"/>
      <w:sz w:val="16"/>
      <w:szCs w:val="20"/>
      <w:lang w:val="en-GB" w:eastAsia="en-US"/>
    </w:rPr>
  </w:style>
  <w:style w:type="paragraph" w:customStyle="1" w:styleId="Chapter">
    <w:name w:val="Chapter"/>
    <w:basedOn w:val="Normal"/>
    <w:rsid w:val="001850A1"/>
    <w:pPr>
      <w:spacing w:before="240"/>
    </w:pPr>
    <w:rPr>
      <w:rFonts w:ascii="Times New Roman" w:hAnsi="Times New Roman"/>
      <w:smallCaps/>
      <w:spacing w:val="80"/>
      <w:sz w:val="28"/>
    </w:rPr>
  </w:style>
  <w:style w:type="paragraph" w:customStyle="1" w:styleId="InChapter">
    <w:name w:val="InChapter"/>
    <w:basedOn w:val="Heading3"/>
    <w:rsid w:val="001850A1"/>
    <w:pPr>
      <w:spacing w:after="240"/>
      <w:outlineLvl w:val="9"/>
    </w:pPr>
    <w:rPr>
      <w:noProof/>
    </w:rPr>
  </w:style>
  <w:style w:type="paragraph" w:styleId="Index2">
    <w:name w:val="index 2"/>
    <w:basedOn w:val="Normal"/>
    <w:next w:val="Normal"/>
    <w:semiHidden/>
    <w:rsid w:val="001850A1"/>
    <w:pPr>
      <w:tabs>
        <w:tab w:val="right" w:pos="4176"/>
      </w:tabs>
      <w:ind w:left="568" w:hanging="284"/>
    </w:pPr>
    <w:rPr>
      <w:rFonts w:ascii="Garamond" w:hAnsi="Garamond"/>
    </w:rPr>
  </w:style>
  <w:style w:type="paragraph" w:customStyle="1" w:styleId="Byline">
    <w:name w:val="Byline"/>
    <w:rsid w:val="001850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50A1"/>
    <w:pPr>
      <w:tabs>
        <w:tab w:val="clear" w:pos="3600"/>
        <w:tab w:val="clear" w:pos="3958"/>
      </w:tabs>
      <w:jc w:val="right"/>
    </w:pPr>
  </w:style>
  <w:style w:type="paragraph" w:styleId="Caption">
    <w:name w:val="caption"/>
    <w:basedOn w:val="BodyText"/>
    <w:next w:val="Normal"/>
    <w:qFormat/>
    <w:rsid w:val="001850A1"/>
    <w:pPr>
      <w:framePr w:w="2268" w:hSpace="181" w:vSpace="181" w:wrap="around" w:vAnchor="text" w:hAnchor="page" w:x="1135" w:y="285" w:anchorLock="1"/>
    </w:pPr>
    <w:rPr>
      <w:i/>
    </w:rPr>
  </w:style>
  <w:style w:type="paragraph" w:customStyle="1" w:styleId="MiniTOCTitle">
    <w:name w:val="MiniTOCTitle"/>
    <w:basedOn w:val="Heading4"/>
    <w:rsid w:val="001850A1"/>
    <w:pPr>
      <w:spacing w:before="240"/>
      <w:outlineLvl w:val="9"/>
    </w:pPr>
    <w:rPr>
      <w:noProof/>
      <w:sz w:val="24"/>
    </w:rPr>
  </w:style>
  <w:style w:type="paragraph" w:customStyle="1" w:styleId="MiniTOCItem">
    <w:name w:val="MiniTOCItem"/>
    <w:basedOn w:val="ListBullet"/>
    <w:rsid w:val="001850A1"/>
    <w:pPr>
      <w:numPr>
        <w:numId w:val="0"/>
      </w:numPr>
      <w:tabs>
        <w:tab w:val="right" w:leader="dot" w:pos="6521"/>
      </w:tabs>
      <w:spacing w:before="0" w:after="0"/>
    </w:pPr>
  </w:style>
  <w:style w:type="paragraph" w:customStyle="1" w:styleId="TOFTitle">
    <w:name w:val="TOFTitle"/>
    <w:basedOn w:val="TOCTitle"/>
    <w:rsid w:val="001850A1"/>
  </w:style>
  <w:style w:type="paragraph" w:styleId="TableofFigures">
    <w:name w:val="table of figures"/>
    <w:basedOn w:val="Normal"/>
    <w:next w:val="Normal"/>
    <w:semiHidden/>
    <w:rsid w:val="001850A1"/>
    <w:pPr>
      <w:tabs>
        <w:tab w:val="right" w:leader="dot" w:pos="9072"/>
      </w:tabs>
      <w:ind w:left="970" w:hanging="403"/>
    </w:pPr>
    <w:rPr>
      <w:rFonts w:ascii="Times New Roman" w:hAnsi="Times New Roman"/>
      <w:b/>
    </w:rPr>
  </w:style>
  <w:style w:type="paragraph" w:styleId="ListNumber">
    <w:name w:val="List Number"/>
    <w:basedOn w:val="List"/>
    <w:rsid w:val="001850A1"/>
    <w:pPr>
      <w:numPr>
        <w:numId w:val="11"/>
      </w:numPr>
    </w:pPr>
  </w:style>
  <w:style w:type="character" w:customStyle="1" w:styleId="WingdingSymbols">
    <w:name w:val="Wingding Symbols"/>
    <w:rsid w:val="001850A1"/>
    <w:rPr>
      <w:rFonts w:ascii="Wingdings" w:hAnsi="Wingdings"/>
    </w:rPr>
  </w:style>
  <w:style w:type="paragraph" w:customStyle="1" w:styleId="TableHeading">
    <w:name w:val="Table Heading"/>
    <w:basedOn w:val="HeadingBase"/>
    <w:rsid w:val="001850A1"/>
    <w:pPr>
      <w:keepLines/>
      <w:pBdr>
        <w:bottom w:val="single" w:sz="6" w:space="1" w:color="918585"/>
      </w:pBdr>
      <w:spacing w:before="240"/>
    </w:pPr>
  </w:style>
  <w:style w:type="character" w:customStyle="1" w:styleId="HotSpot">
    <w:name w:val="HotSpot"/>
    <w:rsid w:val="001850A1"/>
    <w:rPr>
      <w:color w:val="0033CC"/>
      <w:u w:val="none"/>
    </w:rPr>
  </w:style>
  <w:style w:type="paragraph" w:customStyle="1" w:styleId="BodyTextRight">
    <w:name w:val="Body Text Right"/>
    <w:basedOn w:val="BodyText"/>
    <w:rsid w:val="001850A1"/>
    <w:pPr>
      <w:spacing w:before="0" w:after="0"/>
      <w:jc w:val="right"/>
    </w:pPr>
  </w:style>
  <w:style w:type="paragraph" w:styleId="Index3">
    <w:name w:val="index 3"/>
    <w:basedOn w:val="ListNumber2"/>
    <w:next w:val="Normal"/>
    <w:semiHidden/>
    <w:rsid w:val="001850A1"/>
    <w:pPr>
      <w:numPr>
        <w:numId w:val="0"/>
      </w:numPr>
      <w:tabs>
        <w:tab w:val="right" w:leader="dot" w:pos="4176"/>
      </w:tabs>
    </w:pPr>
  </w:style>
  <w:style w:type="paragraph" w:styleId="ListNumber2">
    <w:name w:val="List Number 2"/>
    <w:basedOn w:val="List2"/>
    <w:rsid w:val="001850A1"/>
    <w:pPr>
      <w:numPr>
        <w:numId w:val="10"/>
      </w:numPr>
      <w:tabs>
        <w:tab w:val="clear" w:pos="1060"/>
      </w:tabs>
    </w:pPr>
  </w:style>
  <w:style w:type="paragraph" w:customStyle="1" w:styleId="MarginNote">
    <w:name w:val="Margin Note"/>
    <w:basedOn w:val="BodyText"/>
    <w:rsid w:val="001850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50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50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50A1"/>
    <w:rPr>
      <w:sz w:val="32"/>
    </w:rPr>
  </w:style>
  <w:style w:type="paragraph" w:customStyle="1" w:styleId="HeadingProcedure">
    <w:name w:val="Heading Procedure"/>
    <w:basedOn w:val="HeadingBase"/>
    <w:next w:val="Normal"/>
    <w:rsid w:val="001850A1"/>
    <w:pPr>
      <w:tabs>
        <w:tab w:val="left" w:pos="0"/>
      </w:tabs>
      <w:spacing w:before="120" w:after="60"/>
    </w:pPr>
    <w:rPr>
      <w:i/>
      <w:color w:val="918585"/>
      <w:sz w:val="22"/>
    </w:rPr>
  </w:style>
  <w:style w:type="paragraph" w:customStyle="1" w:styleId="TableBodyText">
    <w:name w:val="Table Body Text"/>
    <w:basedOn w:val="BodyText"/>
    <w:rsid w:val="001850A1"/>
    <w:pPr>
      <w:spacing w:before="60" w:after="60"/>
    </w:pPr>
  </w:style>
  <w:style w:type="paragraph" w:styleId="ListContinue">
    <w:name w:val="List Continue"/>
    <w:basedOn w:val="List"/>
    <w:rsid w:val="001850A1"/>
    <w:pPr>
      <w:ind w:firstLine="0"/>
    </w:pPr>
  </w:style>
  <w:style w:type="paragraph" w:customStyle="1" w:styleId="ListNote">
    <w:name w:val="List Note"/>
    <w:basedOn w:val="List"/>
    <w:rsid w:val="001850A1"/>
    <w:pPr>
      <w:pBdr>
        <w:top w:val="single" w:sz="6" w:space="2" w:color="918585"/>
        <w:bottom w:val="single" w:sz="6" w:space="2" w:color="918585"/>
      </w:pBdr>
      <w:tabs>
        <w:tab w:val="left" w:pos="1021"/>
      </w:tabs>
      <w:ind w:firstLine="0"/>
    </w:pPr>
  </w:style>
  <w:style w:type="paragraph" w:customStyle="1" w:styleId="Warning">
    <w:name w:val="Warning"/>
    <w:basedOn w:val="BodyText"/>
    <w:rsid w:val="001850A1"/>
    <w:pPr>
      <w:shd w:val="clear" w:color="auto" w:fill="D9D9D9"/>
      <w:tabs>
        <w:tab w:val="left" w:pos="992"/>
      </w:tabs>
      <w:ind w:left="119" w:right="119"/>
    </w:pPr>
    <w:rPr>
      <w:sz w:val="20"/>
    </w:rPr>
  </w:style>
  <w:style w:type="paragraph" w:customStyle="1" w:styleId="MarginIcons">
    <w:name w:val="Margin Icons"/>
    <w:basedOn w:val="BodyText"/>
    <w:rsid w:val="001850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50A1"/>
    <w:rPr>
      <w:rFonts w:ascii="Courier New" w:hAnsi="Courier New"/>
    </w:rPr>
  </w:style>
  <w:style w:type="paragraph" w:customStyle="1" w:styleId="NoteBullet">
    <w:name w:val="Note Bullet"/>
    <w:basedOn w:val="Note"/>
    <w:rsid w:val="001850A1"/>
    <w:pPr>
      <w:tabs>
        <w:tab w:val="clear" w:pos="680"/>
      </w:tabs>
      <w:spacing w:before="60" w:after="60"/>
    </w:pPr>
  </w:style>
  <w:style w:type="paragraph" w:customStyle="1" w:styleId="SubHeading2">
    <w:name w:val="SubHeading2"/>
    <w:basedOn w:val="HeadingBase"/>
    <w:rsid w:val="001850A1"/>
    <w:pPr>
      <w:spacing w:before="240" w:after="60"/>
    </w:pPr>
    <w:rPr>
      <w:sz w:val="20"/>
    </w:rPr>
  </w:style>
  <w:style w:type="paragraph" w:customStyle="1" w:styleId="SubHeading1">
    <w:name w:val="SubHeading1"/>
    <w:basedOn w:val="HeadingBase"/>
    <w:rsid w:val="001850A1"/>
    <w:pPr>
      <w:spacing w:before="240" w:after="60"/>
    </w:pPr>
    <w:rPr>
      <w:color w:val="918585"/>
      <w:sz w:val="22"/>
    </w:rPr>
  </w:style>
  <w:style w:type="paragraph" w:customStyle="1" w:styleId="SideHeading">
    <w:name w:val="Side Heading"/>
    <w:basedOn w:val="HeadingBase"/>
    <w:rsid w:val="001850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50A1"/>
    <w:pPr>
      <w:numPr>
        <w:numId w:val="12"/>
      </w:numPr>
    </w:pPr>
  </w:style>
  <w:style w:type="paragraph" w:styleId="PlainText">
    <w:name w:val="Plain Text"/>
    <w:basedOn w:val="Normal"/>
    <w:link w:val="PlainTextChar"/>
    <w:rsid w:val="001850A1"/>
    <w:rPr>
      <w:sz w:val="20"/>
    </w:rPr>
  </w:style>
  <w:style w:type="character" w:customStyle="1" w:styleId="PlainTextChar">
    <w:name w:val="Plain Text Char"/>
    <w:basedOn w:val="DefaultParagraphFont"/>
    <w:link w:val="PlainText"/>
    <w:rsid w:val="001850A1"/>
    <w:rPr>
      <w:rFonts w:ascii="Courier New" w:eastAsia="Times New Roman" w:hAnsi="Courier New" w:cs="Times New Roman"/>
      <w:sz w:val="20"/>
      <w:szCs w:val="20"/>
      <w:lang w:eastAsia="en-US"/>
    </w:rPr>
  </w:style>
  <w:style w:type="character" w:customStyle="1" w:styleId="MenuOption">
    <w:name w:val="Menu Option"/>
    <w:basedOn w:val="DefaultParagraphFont"/>
    <w:rsid w:val="001850A1"/>
    <w:rPr>
      <w:b/>
      <w:smallCaps/>
    </w:rPr>
  </w:style>
  <w:style w:type="paragraph" w:customStyle="1" w:styleId="TableListNumber">
    <w:name w:val="Table List Number"/>
    <w:basedOn w:val="ListNumber"/>
    <w:rsid w:val="001850A1"/>
    <w:pPr>
      <w:numPr>
        <w:numId w:val="0"/>
      </w:numPr>
    </w:pPr>
  </w:style>
  <w:style w:type="paragraph" w:styleId="TOC4">
    <w:name w:val="toc 4"/>
    <w:basedOn w:val="TOCBase"/>
    <w:next w:val="Normal"/>
    <w:semiHidden/>
    <w:rsid w:val="001850A1"/>
    <w:pPr>
      <w:tabs>
        <w:tab w:val="right" w:leader="dot" w:pos="9071"/>
      </w:tabs>
      <w:ind w:left="1701"/>
    </w:pPr>
  </w:style>
  <w:style w:type="paragraph" w:customStyle="1" w:styleId="ListAlpha">
    <w:name w:val="List Alpha"/>
    <w:basedOn w:val="List"/>
    <w:rsid w:val="001850A1"/>
    <w:pPr>
      <w:numPr>
        <w:numId w:val="9"/>
      </w:numPr>
    </w:pPr>
  </w:style>
  <w:style w:type="paragraph" w:customStyle="1" w:styleId="ListAlpha2">
    <w:name w:val="List Alpha 2"/>
    <w:basedOn w:val="List2"/>
    <w:rsid w:val="001850A1"/>
    <w:pPr>
      <w:numPr>
        <w:numId w:val="8"/>
      </w:numPr>
    </w:pPr>
  </w:style>
  <w:style w:type="paragraph" w:styleId="List2">
    <w:name w:val="List 2"/>
    <w:basedOn w:val="BodyText"/>
    <w:rsid w:val="001850A1"/>
    <w:pPr>
      <w:tabs>
        <w:tab w:val="left" w:pos="680"/>
      </w:tabs>
      <w:spacing w:before="60" w:after="60"/>
      <w:ind w:left="680" w:hanging="340"/>
    </w:pPr>
  </w:style>
  <w:style w:type="paragraph" w:styleId="List3">
    <w:name w:val="List 3"/>
    <w:basedOn w:val="BodyText"/>
    <w:rsid w:val="001850A1"/>
    <w:pPr>
      <w:tabs>
        <w:tab w:val="left" w:pos="1021"/>
      </w:tabs>
      <w:spacing w:before="60" w:after="60"/>
      <w:ind w:left="1020" w:hanging="340"/>
    </w:pPr>
  </w:style>
  <w:style w:type="paragraph" w:styleId="List4">
    <w:name w:val="List 4"/>
    <w:basedOn w:val="BodyText"/>
    <w:rsid w:val="001850A1"/>
    <w:pPr>
      <w:tabs>
        <w:tab w:val="left" w:pos="1361"/>
      </w:tabs>
      <w:spacing w:before="60" w:after="60"/>
      <w:ind w:left="1361" w:hanging="340"/>
    </w:pPr>
  </w:style>
  <w:style w:type="paragraph" w:styleId="List5">
    <w:name w:val="List 5"/>
    <w:basedOn w:val="BodyText"/>
    <w:rsid w:val="001850A1"/>
    <w:pPr>
      <w:tabs>
        <w:tab w:val="left" w:pos="1701"/>
      </w:tabs>
      <w:spacing w:before="60" w:after="60"/>
      <w:ind w:left="1701" w:hanging="340"/>
    </w:pPr>
  </w:style>
  <w:style w:type="paragraph" w:styleId="ListBullet3">
    <w:name w:val="List Bullet 3"/>
    <w:basedOn w:val="List3"/>
    <w:rsid w:val="001850A1"/>
    <w:pPr>
      <w:numPr>
        <w:numId w:val="15"/>
      </w:numPr>
      <w:tabs>
        <w:tab w:val="clear" w:pos="1021"/>
      </w:tabs>
      <w:ind w:left="1037" w:hanging="357"/>
    </w:pPr>
  </w:style>
  <w:style w:type="paragraph" w:styleId="ListBullet4">
    <w:name w:val="List Bullet 4"/>
    <w:basedOn w:val="List4"/>
    <w:rsid w:val="001850A1"/>
    <w:pPr>
      <w:numPr>
        <w:numId w:val="3"/>
      </w:numPr>
    </w:pPr>
  </w:style>
  <w:style w:type="paragraph" w:styleId="ListBullet5">
    <w:name w:val="List Bullet 5"/>
    <w:basedOn w:val="List5"/>
    <w:rsid w:val="001850A1"/>
    <w:pPr>
      <w:numPr>
        <w:numId w:val="4"/>
      </w:numPr>
    </w:pPr>
  </w:style>
  <w:style w:type="paragraph" w:styleId="ListContinue2">
    <w:name w:val="List Continue 2"/>
    <w:basedOn w:val="List2"/>
    <w:rsid w:val="001850A1"/>
    <w:pPr>
      <w:ind w:firstLine="0"/>
    </w:pPr>
  </w:style>
  <w:style w:type="paragraph" w:styleId="ListContinue3">
    <w:name w:val="List Continue 3"/>
    <w:basedOn w:val="List3"/>
    <w:rsid w:val="001850A1"/>
    <w:pPr>
      <w:ind w:left="1021" w:firstLine="0"/>
    </w:pPr>
  </w:style>
  <w:style w:type="paragraph" w:styleId="ListContinue4">
    <w:name w:val="List Continue 4"/>
    <w:basedOn w:val="List4"/>
    <w:rsid w:val="001850A1"/>
    <w:pPr>
      <w:ind w:firstLine="0"/>
    </w:pPr>
  </w:style>
  <w:style w:type="paragraph" w:styleId="ListContinue5">
    <w:name w:val="List Continue 5"/>
    <w:basedOn w:val="List5"/>
    <w:rsid w:val="001850A1"/>
    <w:pPr>
      <w:ind w:firstLine="0"/>
    </w:pPr>
  </w:style>
  <w:style w:type="paragraph" w:styleId="ListNumber3">
    <w:name w:val="List Number 3"/>
    <w:basedOn w:val="List3"/>
    <w:rsid w:val="001850A1"/>
    <w:pPr>
      <w:numPr>
        <w:numId w:val="5"/>
      </w:numPr>
    </w:pPr>
  </w:style>
  <w:style w:type="paragraph" w:styleId="ListNumber4">
    <w:name w:val="List Number 4"/>
    <w:basedOn w:val="List4"/>
    <w:rsid w:val="001850A1"/>
    <w:pPr>
      <w:numPr>
        <w:numId w:val="6"/>
      </w:numPr>
    </w:pPr>
  </w:style>
  <w:style w:type="paragraph" w:styleId="ListNumber5">
    <w:name w:val="List Number 5"/>
    <w:basedOn w:val="List5"/>
    <w:rsid w:val="001850A1"/>
    <w:pPr>
      <w:numPr>
        <w:numId w:val="7"/>
      </w:numPr>
    </w:pPr>
  </w:style>
  <w:style w:type="paragraph" w:styleId="BlockText">
    <w:name w:val="Block Text"/>
    <w:basedOn w:val="Normal"/>
    <w:rsid w:val="001850A1"/>
    <w:pPr>
      <w:spacing w:after="120"/>
      <w:ind w:left="1440" w:right="1440"/>
    </w:pPr>
  </w:style>
  <w:style w:type="character" w:customStyle="1" w:styleId="Subscript">
    <w:name w:val="Subscript"/>
    <w:basedOn w:val="DefaultParagraphFont"/>
    <w:rsid w:val="001850A1"/>
    <w:rPr>
      <w:sz w:val="16"/>
      <w:vertAlign w:val="subscript"/>
    </w:rPr>
  </w:style>
  <w:style w:type="character" w:customStyle="1" w:styleId="Superscript">
    <w:name w:val="Superscript"/>
    <w:basedOn w:val="DefaultParagraphFont"/>
    <w:rsid w:val="001850A1"/>
    <w:rPr>
      <w:sz w:val="16"/>
      <w:vertAlign w:val="superscript"/>
    </w:rPr>
  </w:style>
  <w:style w:type="character" w:customStyle="1" w:styleId="Symbols">
    <w:name w:val="Symbols"/>
    <w:basedOn w:val="DefaultParagraphFont"/>
    <w:rsid w:val="001850A1"/>
    <w:rPr>
      <w:rFonts w:ascii="Symbol" w:hAnsi="Symbol"/>
    </w:rPr>
  </w:style>
  <w:style w:type="character" w:customStyle="1" w:styleId="MenuOptions">
    <w:name w:val="Menu Options"/>
    <w:basedOn w:val="DefaultParagraphFont"/>
    <w:rsid w:val="001850A1"/>
    <w:rPr>
      <w:rFonts w:ascii="Arial Narrow" w:hAnsi="Arial Narrow"/>
      <w:smallCaps/>
    </w:rPr>
  </w:style>
  <w:style w:type="character" w:customStyle="1" w:styleId="Buttons">
    <w:name w:val="Buttons"/>
    <w:basedOn w:val="DefaultParagraphFont"/>
    <w:rsid w:val="001850A1"/>
    <w:rPr>
      <w:b/>
    </w:rPr>
  </w:style>
  <w:style w:type="character" w:customStyle="1" w:styleId="Underlined">
    <w:name w:val="Underlined"/>
    <w:basedOn w:val="DefaultParagraphFont"/>
    <w:rsid w:val="001850A1"/>
    <w:rPr>
      <w:u w:val="single"/>
    </w:rPr>
  </w:style>
  <w:style w:type="paragraph" w:customStyle="1" w:styleId="TableBodyTextRight">
    <w:name w:val="Table Body Text Right"/>
    <w:basedOn w:val="TableBodyText"/>
    <w:rsid w:val="001850A1"/>
    <w:pPr>
      <w:widowControl w:val="0"/>
      <w:autoSpaceDE w:val="0"/>
      <w:autoSpaceDN w:val="0"/>
      <w:adjustRightInd w:val="0"/>
      <w:jc w:val="right"/>
    </w:pPr>
    <w:rPr>
      <w:rFonts w:cs="Arial"/>
      <w:szCs w:val="18"/>
    </w:rPr>
  </w:style>
  <w:style w:type="paragraph" w:customStyle="1" w:styleId="CopyrightText">
    <w:name w:val="Copyright Text"/>
    <w:basedOn w:val="BodyText"/>
    <w:rsid w:val="001850A1"/>
    <w:rPr>
      <w:sz w:val="18"/>
    </w:rPr>
  </w:style>
  <w:style w:type="paragraph" w:customStyle="1" w:styleId="BodySmallRight">
    <w:name w:val="Body Small Right"/>
    <w:basedOn w:val="BodyTextRight"/>
    <w:rsid w:val="001850A1"/>
    <w:rPr>
      <w:sz w:val="18"/>
      <w:szCs w:val="18"/>
    </w:rPr>
  </w:style>
  <w:style w:type="paragraph" w:customStyle="1" w:styleId="MarginEdition">
    <w:name w:val="Margin Edition"/>
    <w:basedOn w:val="MarginNote"/>
    <w:rsid w:val="001850A1"/>
    <w:pPr>
      <w:spacing w:before="0" w:after="0"/>
    </w:pPr>
    <w:rPr>
      <w:rFonts w:ascii="Times New Roman" w:hAnsi="Times New Roman"/>
      <w:color w:val="999999"/>
    </w:rPr>
  </w:style>
  <w:style w:type="paragraph" w:customStyle="1" w:styleId="Spacer">
    <w:name w:val="Spacer"/>
    <w:basedOn w:val="Normal"/>
    <w:rsid w:val="001850A1"/>
    <w:rPr>
      <w:sz w:val="2"/>
      <w:szCs w:val="2"/>
    </w:rPr>
  </w:style>
  <w:style w:type="character" w:customStyle="1" w:styleId="Small">
    <w:name w:val="Small"/>
    <w:basedOn w:val="DefaultParagraphFont"/>
    <w:rsid w:val="001850A1"/>
    <w:rPr>
      <w:sz w:val="16"/>
    </w:rPr>
  </w:style>
  <w:style w:type="paragraph" w:customStyle="1" w:styleId="WideTable">
    <w:name w:val="Wide Table"/>
    <w:basedOn w:val="Normal"/>
    <w:rsid w:val="001850A1"/>
    <w:pPr>
      <w:ind w:left="-1418"/>
    </w:pPr>
    <w:rPr>
      <w:sz w:val="2"/>
      <w:szCs w:val="2"/>
    </w:rPr>
  </w:style>
  <w:style w:type="character" w:styleId="PageNumber">
    <w:name w:val="page number"/>
    <w:basedOn w:val="DefaultParagraphFont"/>
    <w:rsid w:val="001850A1"/>
  </w:style>
  <w:style w:type="paragraph" w:styleId="Quote">
    <w:name w:val="Quote"/>
    <w:basedOn w:val="Heading1"/>
    <w:link w:val="QuoteChar"/>
    <w:qFormat/>
    <w:rsid w:val="001850A1"/>
    <w:rPr>
      <w:b w:val="0"/>
      <w:sz w:val="72"/>
      <w:szCs w:val="72"/>
      <w:lang w:val="en-NZ"/>
    </w:rPr>
  </w:style>
  <w:style w:type="character" w:customStyle="1" w:styleId="QuoteChar">
    <w:name w:val="Quote Char"/>
    <w:basedOn w:val="DefaultParagraphFont"/>
    <w:link w:val="Quote"/>
    <w:rsid w:val="001850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50A1"/>
    <w:pPr>
      <w:pageBreakBefore/>
    </w:pPr>
  </w:style>
  <w:style w:type="paragraph" w:customStyle="1" w:styleId="Border">
    <w:name w:val="Border"/>
    <w:basedOn w:val="Normal"/>
    <w:qFormat/>
    <w:rsid w:val="001850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50A1"/>
    <w:rPr>
      <w:b/>
      <w:bCs/>
      <w:i/>
      <w:iCs/>
      <w:color w:val="auto"/>
    </w:rPr>
  </w:style>
  <w:style w:type="paragraph" w:styleId="IntenseQuote">
    <w:name w:val="Intense Quote"/>
    <w:basedOn w:val="Normal"/>
    <w:next w:val="Normal"/>
    <w:link w:val="IntenseQuoteChar"/>
    <w:uiPriority w:val="30"/>
    <w:qFormat/>
    <w:rsid w:val="001850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50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50A1"/>
    <w:rPr>
      <w:smallCaps/>
      <w:color w:val="auto"/>
      <w:u w:val="single"/>
    </w:rPr>
  </w:style>
  <w:style w:type="character" w:styleId="IntenseReference">
    <w:name w:val="Intense Reference"/>
    <w:basedOn w:val="DefaultParagraphFont"/>
    <w:uiPriority w:val="32"/>
    <w:qFormat/>
    <w:rsid w:val="001850A1"/>
    <w:rPr>
      <w:b/>
      <w:bCs/>
      <w:smallCaps/>
      <w:color w:val="auto"/>
      <w:spacing w:val="5"/>
      <w:u w:val="single"/>
    </w:rPr>
  </w:style>
  <w:style w:type="paragraph" w:customStyle="1" w:styleId="2ColumnHeading">
    <w:name w:val="2Column Heading"/>
    <w:basedOn w:val="BodyText"/>
    <w:qFormat/>
    <w:rsid w:val="001850A1"/>
    <w:pPr>
      <w:spacing w:after="60"/>
      <w:ind w:left="-2268"/>
    </w:pPr>
    <w:rPr>
      <w:b/>
    </w:rPr>
  </w:style>
  <w:style w:type="paragraph" w:customStyle="1" w:styleId="Heading1TOC">
    <w:name w:val="Heading1 TOC"/>
    <w:basedOn w:val="Normal"/>
    <w:qFormat/>
    <w:rsid w:val="001850A1"/>
    <w:pPr>
      <w:spacing w:before="240" w:after="120"/>
    </w:pPr>
    <w:rPr>
      <w:rFonts w:ascii="Times New Roman" w:hAnsi="Times New Roman"/>
      <w:b/>
      <w:sz w:val="32"/>
    </w:rPr>
  </w:style>
  <w:style w:type="paragraph" w:customStyle="1" w:styleId="Heading2TOC">
    <w:name w:val="Heading2 TOC"/>
    <w:basedOn w:val="Normal"/>
    <w:qFormat/>
    <w:rsid w:val="001850A1"/>
    <w:pPr>
      <w:spacing w:before="240" w:after="60"/>
    </w:pPr>
    <w:rPr>
      <w:rFonts w:ascii="Times New Roman" w:hAnsi="Times New Roman"/>
      <w:b/>
      <w:sz w:val="28"/>
    </w:rPr>
  </w:style>
  <w:style w:type="character" w:customStyle="1" w:styleId="Underline">
    <w:name w:val="Underline"/>
    <w:basedOn w:val="DefaultParagraphFont"/>
    <w:qFormat/>
    <w:rsid w:val="001850A1"/>
    <w:rPr>
      <w:u w:val="single"/>
    </w:rPr>
  </w:style>
  <w:style w:type="character" w:customStyle="1" w:styleId="BoldandItalics">
    <w:name w:val="Bold and Italics"/>
    <w:qFormat/>
    <w:rsid w:val="001850A1"/>
    <w:rPr>
      <w:b/>
      <w:i/>
      <w:u w:val="none"/>
    </w:rPr>
  </w:style>
  <w:style w:type="paragraph" w:styleId="BalloonText">
    <w:name w:val="Balloon Text"/>
    <w:basedOn w:val="Normal"/>
    <w:link w:val="BalloonTextChar"/>
    <w:rsid w:val="001850A1"/>
    <w:rPr>
      <w:rFonts w:ascii="Tahoma" w:hAnsi="Tahoma" w:cs="Tahoma"/>
      <w:sz w:val="16"/>
      <w:szCs w:val="16"/>
    </w:rPr>
  </w:style>
  <w:style w:type="character" w:customStyle="1" w:styleId="BalloonTextChar">
    <w:name w:val="Balloon Text Char"/>
    <w:basedOn w:val="DefaultParagraphFont"/>
    <w:link w:val="BalloonText"/>
    <w:rsid w:val="001850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50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50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50A1"/>
    <w:rPr>
      <w:b/>
      <w:color w:val="660033"/>
      <w:spacing w:val="0"/>
    </w:rPr>
  </w:style>
  <w:style w:type="paragraph" w:customStyle="1" w:styleId="Nameditemlist">
    <w:name w:val="Named item list"/>
    <w:basedOn w:val="BodyText"/>
    <w:qFormat/>
    <w:rsid w:val="001850A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2375</Words>
  <Characters>14242</Characters>
  <Application>Microsoft Office Word</Application>
  <DocSecurity>0</DocSecurity>
  <Lines>669</Lines>
  <Paragraphs>242</Paragraphs>
  <ScaleCrop>false</ScaleCrop>
  <Company>Author-it Software Corporation Ltd.</Company>
  <LinksUpToDate>false</LinksUpToDate>
  <CharactersWithSpaces>16453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UEGNSG333A Work in proximity of transmission pipeline construction plant and equipment</dc:title>
  <dc:subject>Approved</dc:subject>
  <dc:creator>E-Oz Training Standards</dc:creator>
  <cp:keywords>Release 1</cp:keywords>
  <dc:description>Review Date: 12 April 2008</dc:description>
  <cp:lastModifiedBy>TPCMS</cp:lastModifiedBy>
  <cp:revision>3</cp:revision>
  <dcterms:created xsi:type="dcterms:W3CDTF">2014-03-13T15:18:50Z</dcterms:created>
  <dcterms:modified xsi:type="dcterms:W3CDTF">2014-03-13T03:48:00Z</dcterms:modified>
</cp:coreProperties>
</file>