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BC5" w:rsidP="00CF0BC5">
      <w:pPr>
        <w:pStyle w:val="Title"/>
      </w:pPr>
      <w:r>
        <w:fldChar w:fldCharType="begin"/>
      </w:r>
      <w:r>
        <w:instrText xml:space="preserve"> TITLE   \* MERGEFORMAT </w:instrText>
      </w:r>
      <w:r>
        <w:fldChar w:fldCharType="separate"/>
      </w:r>
      <w:r>
        <w:t>UEGNSG332A Undertake hydro-testing for transmission pipeline construction</w:t>
      </w:r>
      <w:r>
        <w:fldChar w:fldCharType="end"/>
      </w:r>
    </w:p>
    <w:p w:rsidR="00CF0BC5" w:rsidP="00CF0BC5">
      <w:pPr>
        <w:pStyle w:val="Version"/>
        <w:sectPr w:rsidSect="000A35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35C2" w:rsidP="000A35C2">
      <w:pPr>
        <w:pStyle w:val="SuperHeading"/>
      </w:pPr>
      <w:r w:rsidRPr="000A35C2">
        <w:t>UEGNSG332A Undertake hydro-testing for transmission pipeline construction</w:t>
      </w:r>
    </w:p>
    <w:p w:rsidR="00000000" w:rsidRPr="000A35C2" w:rsidP="000A35C2">
      <w:pPr>
        <w:pStyle w:val="Heading1"/>
      </w:pPr>
      <w:bookmarkStart w:id="1" w:name="O_579033"/>
      <w:bookmarkEnd w:id="1"/>
      <w:r w:rsidRPr="000A35C2">
        <w:t>Modification History</w:t>
      </w:r>
    </w:p>
    <w:tbl>
      <w:tblPr>
        <w:tblW w:w="0" w:type="auto"/>
        <w:tblLayout w:type="fixed"/>
        <w:tblCellMar>
          <w:left w:w="62" w:type="dxa"/>
          <w:right w:w="62" w:type="dxa"/>
        </w:tblCellMar>
        <w:tblLook w:val="0000"/>
      </w:tblPr>
      <w:tblGrid>
        <w:gridCol w:w="8280"/>
      </w:tblGrid>
      <w:tr w:rsidTr="00CF0BC5">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t xml:space="preserve">This unit is a revised version of the UEG11 unit UEGNSG321A Undertake hydro-testing for transmission pipeline construction. </w:t>
            </w:r>
          </w:p>
        </w:tc>
      </w:tr>
    </w:tbl>
    <w:p w:rsidR="00000000" w:rsidRPr="000A35C2" w:rsidP="000A35C2">
      <w:pPr>
        <w:pStyle w:val="BodyText"/>
      </w:pPr>
    </w:p>
    <w:p w:rsidR="00000000" w:rsidRPr="000A35C2" w:rsidP="000A35C2">
      <w:pPr>
        <w:pStyle w:val="AllowPageBreak"/>
      </w:pPr>
    </w:p>
    <w:p w:rsidR="00000000" w:rsidRPr="000A35C2" w:rsidP="000A35C2">
      <w:pPr>
        <w:pStyle w:val="Heading1"/>
      </w:pPr>
      <w:bookmarkStart w:id="2" w:name="O_579034"/>
      <w:bookmarkEnd w:id="2"/>
      <w:r w:rsidRPr="000A35C2">
        <w:t>Unit Descriptor</w:t>
      </w:r>
    </w:p>
    <w:tbl>
      <w:tblPr>
        <w:tblW w:w="0" w:type="auto"/>
        <w:tblLayout w:type="fixed"/>
        <w:tblCellMar>
          <w:left w:w="62" w:type="dxa"/>
          <w:right w:w="62" w:type="dxa"/>
        </w:tblCellMar>
        <w:tblLook w:val="0000"/>
      </w:tblPr>
      <w:tblGrid>
        <w:gridCol w:w="2576"/>
        <w:gridCol w:w="5760"/>
      </w:tblGrid>
      <w:tr w:rsidTr="000A35C2">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1) Scope:</w:t>
            </w:r>
          </w:p>
        </w:tc>
      </w:tr>
      <w:tr w:rsidTr="000A35C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0A35C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1.1) Descriptor</w:t>
            </w:r>
          </w:p>
        </w:tc>
      </w:tr>
      <w:tr w:rsidTr="000A35C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t xml:space="preserve">This unit covers undertaking the basic tasks required for hydro-testing on gas transmission pipelines construction worksites in accordance </w:t>
            </w:r>
            <w:r w:rsidRPr="000A35C2">
              <w:t xml:space="preserve">with relevant legislation, regulation, codes and procedures. </w:t>
            </w:r>
          </w:p>
          <w:p w:rsidR="00000000" w:rsidRPr="000A35C2" w:rsidP="000A35C2">
            <w:pPr>
              <w:pStyle w:val="BodyText"/>
            </w:pPr>
            <w:r w:rsidRPr="000A35C2">
              <w:t>It encompasses the fundamentals of hydro-testing, equipment and plant used, safety and environmental hazards and specific risks associated with hydro-testing and exclusion zones.</w:t>
            </w:r>
          </w:p>
        </w:tc>
      </w:tr>
    </w:tbl>
    <w:p w:rsidR="00CF0BC5" w:rsidP="000A35C2">
      <w:pPr>
        <w:pStyle w:val="BodyText"/>
      </w:pPr>
    </w:p>
    <w:p w:rsidR="00CF0BC5" w:rsidP="000A35C2">
      <w:pPr>
        <w:pStyle w:val="BodyText"/>
      </w:pPr>
    </w:p>
    <w:p w:rsidR="00000000" w:rsidRPr="000A35C2" w:rsidP="000A35C2">
      <w:pPr>
        <w:pStyle w:val="Heading1"/>
      </w:pPr>
      <w:bookmarkStart w:id="3" w:name="O_579035"/>
      <w:bookmarkEnd w:id="3"/>
      <w:r w:rsidRPr="000A35C2">
        <w:t>Application of the Unit</w:t>
      </w:r>
    </w:p>
    <w:tbl>
      <w:tblPr>
        <w:tblW w:w="0" w:type="auto"/>
        <w:tblLayout w:type="fixed"/>
        <w:tblCellMar>
          <w:left w:w="62" w:type="dxa"/>
          <w:right w:w="62" w:type="dxa"/>
        </w:tblCellMar>
        <w:tblLook w:val="0000"/>
      </w:tblPr>
      <w:tblGrid>
        <w:gridCol w:w="2548"/>
        <w:gridCol w:w="5699"/>
      </w:tblGrid>
      <w:tr w:rsidTr="000A35C2">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2)</w:t>
            </w:r>
          </w:p>
        </w:tc>
      </w:tr>
      <w:tr w:rsidTr="000A35C2">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t xml:space="preserve">This competency standard shall apply to any basic and safe work site where Gas Industry operations occur, subject to all Workplace Health and Safety (WHS)/Occupational Health and Safety and duty of </w:t>
            </w:r>
            <w:r w:rsidRPr="000A35C2">
              <w:t>care requirements being met for the workplace.</w:t>
            </w:r>
          </w:p>
          <w:p w:rsidR="00000000" w:rsidRPr="000A35C2" w:rsidP="000A35C2">
            <w:pPr>
              <w:pStyle w:val="BodyText"/>
            </w:pPr>
          </w:p>
          <w:p w:rsidR="00000000" w:rsidRPr="000A35C2" w:rsidP="000A35C2">
            <w:pPr>
              <w:pStyle w:val="BodyText"/>
            </w:pPr>
            <w:r w:rsidRPr="000A35C2">
              <w:t>This unit is intended as an entry level AQF 2 competency for new entrants in the gas industry. It is suitable for employment-based programs under an approved contract of training.</w:t>
            </w:r>
          </w:p>
        </w:tc>
      </w:tr>
    </w:tbl>
    <w:p w:rsidR="00CF0BC5" w:rsidP="000A35C2">
      <w:pPr>
        <w:pStyle w:val="BodyText"/>
      </w:pPr>
    </w:p>
    <w:p w:rsidR="00CF0BC5" w:rsidP="000A35C2">
      <w:pPr>
        <w:pStyle w:val="BodyText"/>
      </w:pPr>
    </w:p>
    <w:p w:rsidR="00000000" w:rsidRPr="000A35C2" w:rsidP="000A35C2">
      <w:pPr>
        <w:pStyle w:val="Heading1"/>
      </w:pPr>
      <w:bookmarkStart w:id="4" w:name="O_579036"/>
      <w:bookmarkEnd w:id="4"/>
      <w:r w:rsidRPr="000A35C2">
        <w:t>Licensing/Regulatory Information</w:t>
      </w:r>
    </w:p>
    <w:tbl>
      <w:tblPr>
        <w:tblW w:w="0" w:type="auto"/>
        <w:tblLayout w:type="fixed"/>
        <w:tblCellMar>
          <w:left w:w="62" w:type="dxa"/>
          <w:right w:w="62" w:type="dxa"/>
        </w:tblCellMar>
        <w:tblLook w:val="0000"/>
      </w:tblPr>
      <w:tblGrid>
        <w:gridCol w:w="2576"/>
        <w:gridCol w:w="5760"/>
      </w:tblGrid>
      <w:tr w:rsidTr="000A35C2">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 xml:space="preserve">3) </w:t>
            </w:r>
          </w:p>
        </w:tc>
      </w:tr>
      <w:tr w:rsidTr="000A35C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0A35C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 xml:space="preserve">During Training: </w:t>
            </w:r>
          </w:p>
          <w:p w:rsidR="00000000" w:rsidRPr="000A35C2" w:rsidP="000A35C2">
            <w:pPr>
              <w:pStyle w:val="BodyText"/>
            </w:pPr>
            <w:r w:rsidRPr="000A35C2">
              <w:t>Competency development activities are subject to regulations directly related to licensing, occupational health and safety and where applicable contracts of training such as appre</w:t>
            </w:r>
            <w:r w:rsidRPr="000A35C2">
              <w:t xml:space="preserve">nticeships. </w:t>
            </w:r>
          </w:p>
          <w:p w:rsidR="00000000" w:rsidRPr="000A35C2" w:rsidP="000A35C2">
            <w:pPr>
              <w:pStyle w:val="BodyText"/>
            </w:pPr>
          </w:p>
          <w:p w:rsidR="00000000" w:rsidRPr="000A35C2" w:rsidP="000A35C2">
            <w:pPr>
              <w:pStyle w:val="BodyText"/>
            </w:pPr>
            <w:r w:rsidRPr="000A35C2">
              <w:rPr>
                <w:rStyle w:val="SpecialBold"/>
              </w:rPr>
              <w:t>In the workplace:</w:t>
            </w:r>
          </w:p>
          <w:p w:rsidR="00000000" w:rsidRPr="000A35C2" w:rsidP="000A35C2">
            <w:pPr>
              <w:pStyle w:val="BodyText"/>
            </w:pPr>
            <w:r w:rsidRPr="000A35C2">
              <w:t>The skills and knowledge described in this unit are not subject to licence regulation other than those directly related to Workplace Health and Safety/Occupational Health and Safety, gas/electricity/water industry safety and</w:t>
            </w:r>
            <w:r w:rsidRPr="000A35C2">
              <w:t xml:space="preserve"> compliance, industrial relations, environmental protection, telecommunications, antidiscrimination and training. </w:t>
            </w:r>
          </w:p>
          <w:p w:rsidR="00000000" w:rsidRPr="000A35C2" w:rsidP="000A35C2">
            <w:pPr>
              <w:pStyle w:val="BodyText"/>
            </w:pPr>
          </w:p>
          <w:p w:rsidR="00000000" w:rsidRPr="000A35C2" w:rsidP="000A35C2">
            <w:pPr>
              <w:pStyle w:val="BodyText"/>
            </w:pPr>
            <w:r w:rsidRPr="000A35C2">
              <w:t>Commonwealth, State/Territory or Local government legislation and regulations may exist that limit the age at which a person can operate cer</w:t>
            </w:r>
            <w:r w:rsidRPr="000A35C2">
              <w:t>tain equipment. Other conditions may apply to this competency under State and Territory legislative and regulatory requirements.</w:t>
            </w:r>
          </w:p>
        </w:tc>
      </w:tr>
    </w:tbl>
    <w:p w:rsidR="00CF0BC5" w:rsidP="000A35C2">
      <w:pPr>
        <w:pStyle w:val="BodyText"/>
      </w:pPr>
    </w:p>
    <w:p w:rsidR="00CF0BC5" w:rsidP="000A35C2">
      <w:pPr>
        <w:pStyle w:val="BodyText"/>
      </w:pPr>
    </w:p>
    <w:p w:rsidR="00000000" w:rsidRPr="000A35C2" w:rsidP="000A35C2">
      <w:pPr>
        <w:pStyle w:val="Heading1"/>
      </w:pPr>
      <w:bookmarkStart w:id="5" w:name="O_579037"/>
      <w:bookmarkEnd w:id="5"/>
      <w:r w:rsidRPr="000A35C2">
        <w:t>Pre-Requisites</w:t>
      </w:r>
    </w:p>
    <w:tbl>
      <w:tblPr>
        <w:tblW w:w="0" w:type="auto"/>
        <w:tblLayout w:type="fixed"/>
        <w:tblCellMar>
          <w:left w:w="62" w:type="dxa"/>
          <w:right w:w="62" w:type="dxa"/>
        </w:tblCellMar>
        <w:tblLook w:val="0000"/>
      </w:tblPr>
      <w:tblGrid>
        <w:gridCol w:w="2576"/>
        <w:gridCol w:w="1800"/>
        <w:gridCol w:w="4022"/>
      </w:tblGrid>
      <w:tr w:rsidTr="000A35C2">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Prerequisite Unit(s)</w:t>
            </w:r>
          </w:p>
        </w:tc>
        <w:tc>
          <w:tcPr>
            <w:tcW w:w="5822" w:type="dxa"/>
            <w:gridSpan w:val="2"/>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 xml:space="preserve">4) </w:t>
            </w:r>
          </w:p>
        </w:tc>
      </w:tr>
      <w:tr w:rsidTr="000A35C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Competencies</w:t>
            </w:r>
          </w:p>
        </w:tc>
        <w:tc>
          <w:tcPr>
            <w:tcW w:w="5822" w:type="dxa"/>
            <w:gridSpan w:val="2"/>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4.1)</w:t>
            </w:r>
          </w:p>
        </w:tc>
      </w:tr>
      <w:tr w:rsidTr="000A35C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22" w:type="dxa"/>
            <w:gridSpan w:val="2"/>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Granting of competency in this unit shall be made only after competency in the following unit(s) has/have been confirmed:</w:t>
            </w:r>
          </w:p>
        </w:tc>
      </w:tr>
      <w:tr w:rsidTr="000A35C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UEGNSG141A</w:t>
            </w:r>
          </w:p>
        </w:tc>
        <w:tc>
          <w:tcPr>
            <w:tcW w:w="40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Apply Workplace Health and Safety regulations, codes and practices in the gas industry</w:t>
            </w:r>
          </w:p>
        </w:tc>
      </w:tr>
      <w:tr w:rsidTr="000A35C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UEGNSG005A</w:t>
            </w:r>
          </w:p>
        </w:tc>
        <w:tc>
          <w:tcPr>
            <w:tcW w:w="40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Prepare to work in t</w:t>
            </w:r>
            <w:r w:rsidRPr="000A35C2">
              <w:t>he Australian gas industry</w:t>
            </w:r>
          </w:p>
        </w:tc>
      </w:tr>
      <w:tr w:rsidTr="000A35C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UEGNSG140A</w:t>
            </w:r>
          </w:p>
        </w:tc>
        <w:tc>
          <w:tcPr>
            <w:tcW w:w="40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Apply with environmental policies and procedures in the utilities industry</w:t>
            </w:r>
          </w:p>
        </w:tc>
      </w:tr>
      <w:tr w:rsidTr="000A35C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 xml:space="preserve">UEGNSG132A </w:t>
            </w:r>
          </w:p>
        </w:tc>
        <w:tc>
          <w:tcPr>
            <w:tcW w:w="40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Carry out basic work activities in a gas industry work environment</w:t>
            </w:r>
          </w:p>
        </w:tc>
      </w:tr>
      <w:tr w:rsidTr="000A35C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UEGNSG134A</w:t>
            </w:r>
          </w:p>
        </w:tc>
        <w:tc>
          <w:tcPr>
            <w:tcW w:w="4022"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t>Establish a utilities infrastructure work site</w:t>
            </w:r>
          </w:p>
        </w:tc>
      </w:tr>
    </w:tbl>
    <w:p w:rsidR="00000000" w:rsidRPr="000A35C2" w:rsidP="000A35C2">
      <w:pPr>
        <w:pStyle w:val="BodyText"/>
      </w:pPr>
    </w:p>
    <w:tbl>
      <w:tblPr>
        <w:tblW w:w="0" w:type="auto"/>
        <w:tblLayout w:type="fixed"/>
        <w:tblCellMar>
          <w:left w:w="62" w:type="dxa"/>
          <w:right w:w="62" w:type="dxa"/>
        </w:tblCellMar>
        <w:tblLook w:val="0000"/>
      </w:tblPr>
      <w:tblGrid>
        <w:gridCol w:w="2576"/>
        <w:gridCol w:w="1080"/>
        <w:gridCol w:w="810"/>
        <w:gridCol w:w="990"/>
        <w:gridCol w:w="900"/>
        <w:gridCol w:w="1260"/>
        <w:gridCol w:w="782"/>
      </w:tblGrid>
      <w:tr w:rsidTr="000A35C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Literacy and numeracy skills</w:t>
            </w:r>
          </w:p>
        </w:tc>
        <w:tc>
          <w:tcPr>
            <w:tcW w:w="5822" w:type="dxa"/>
            <w:gridSpan w:val="6"/>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 xml:space="preserve">4.2) </w:t>
            </w:r>
          </w:p>
          <w:p w:rsidR="00000000" w:rsidP="000A35C2">
            <w:pPr>
              <w:pStyle w:val="BodyText"/>
              <w:rPr>
                <w:lang w:val="en-NZ"/>
              </w:rPr>
            </w:pPr>
            <w:r w:rsidRPr="000A35C2">
              <w:t>Participants are best equipped to achieve this unit if they have reading, writing and numeracy skills indicated by the following scales. Description of each scale is given in Volume 2, Part 3 ‘Literacy and Numeracy’</w:t>
            </w:r>
          </w:p>
        </w:tc>
      </w:tr>
      <w:tr w:rsidTr="000A35C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Reading</w:t>
            </w:r>
          </w:p>
        </w:tc>
        <w:tc>
          <w:tcPr>
            <w:tcW w:w="81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3</w:t>
            </w:r>
          </w:p>
        </w:tc>
        <w:tc>
          <w:tcPr>
            <w:tcW w:w="99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Writing</w:t>
            </w:r>
          </w:p>
        </w:tc>
        <w:tc>
          <w:tcPr>
            <w:tcW w:w="90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3</w:t>
            </w:r>
          </w:p>
        </w:tc>
        <w:tc>
          <w:tcPr>
            <w:tcW w:w="126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Numeracy</w:t>
            </w:r>
          </w:p>
        </w:tc>
        <w:tc>
          <w:tcPr>
            <w:tcW w:w="782"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t>3</w:t>
            </w:r>
          </w:p>
        </w:tc>
      </w:tr>
    </w:tbl>
    <w:p w:rsidR="00CF0BC5" w:rsidP="000A35C2">
      <w:pPr>
        <w:pStyle w:val="BodyText"/>
      </w:pPr>
    </w:p>
    <w:p w:rsidR="00CF0BC5" w:rsidP="000A35C2">
      <w:pPr>
        <w:pStyle w:val="BodyText"/>
      </w:pPr>
    </w:p>
    <w:p w:rsidR="00000000" w:rsidRPr="000A35C2" w:rsidP="000A35C2">
      <w:pPr>
        <w:pStyle w:val="Heading1"/>
      </w:pPr>
      <w:bookmarkStart w:id="6" w:name="O_579038"/>
      <w:bookmarkEnd w:id="6"/>
      <w:r w:rsidRPr="000A35C2">
        <w:t>Employability Skills Information</w:t>
      </w:r>
    </w:p>
    <w:tbl>
      <w:tblPr>
        <w:tblW w:w="0" w:type="auto"/>
        <w:tblLayout w:type="fixed"/>
        <w:tblCellMar>
          <w:left w:w="62" w:type="dxa"/>
          <w:right w:w="62" w:type="dxa"/>
        </w:tblCellMar>
        <w:tblLook w:val="0000"/>
      </w:tblPr>
      <w:tblGrid>
        <w:gridCol w:w="2576"/>
        <w:gridCol w:w="5760"/>
      </w:tblGrid>
      <w:tr w:rsidTr="000A35C2">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 xml:space="preserve">5) </w:t>
            </w:r>
          </w:p>
        </w:tc>
      </w:tr>
      <w:tr w:rsidTr="000A35C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This unit contains Employability Skills</w:t>
            </w:r>
          </w:p>
        </w:tc>
      </w:tr>
      <w:tr w:rsidTr="000A35C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t>The required outcomes described in this unit of competency contain applicable facets of Empl</w:t>
            </w:r>
            <w:r w:rsidRPr="000A35C2">
              <w:t>oyability Skills. The Employability Skills Summary of the qualification in which this unit of competency is packaged will assist in identifying Employability Skill requirements.</w:t>
            </w:r>
          </w:p>
        </w:tc>
      </w:tr>
    </w:tbl>
    <w:p w:rsidR="00CF0BC5" w:rsidP="000A35C2">
      <w:pPr>
        <w:pStyle w:val="BodyText"/>
      </w:pPr>
    </w:p>
    <w:p w:rsidR="00CF0BC5" w:rsidP="000A35C2">
      <w:pPr>
        <w:pStyle w:val="BodyText"/>
      </w:pPr>
    </w:p>
    <w:p w:rsidR="00000000" w:rsidRPr="000A35C2" w:rsidP="000A35C2">
      <w:pPr>
        <w:pStyle w:val="Heading1"/>
      </w:pPr>
      <w:bookmarkStart w:id="7" w:name="O_579039"/>
      <w:bookmarkEnd w:id="7"/>
      <w:r w:rsidRPr="000A35C2">
        <w:t>Elements and Performance Criteria Pre-Content</w:t>
      </w:r>
    </w:p>
    <w:tbl>
      <w:tblPr>
        <w:tblW w:w="0" w:type="auto"/>
        <w:tblLayout w:type="fixed"/>
        <w:tblCellMar>
          <w:left w:w="62" w:type="dxa"/>
          <w:right w:w="62" w:type="dxa"/>
        </w:tblCellMar>
        <w:tblLook w:val="0000"/>
      </w:tblPr>
      <w:tblGrid>
        <w:gridCol w:w="2638"/>
        <w:gridCol w:w="5760"/>
      </w:tblGrid>
      <w:tr w:rsidTr="000A35C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6)</w:t>
            </w:r>
            <w:r w:rsidRPr="000A35C2">
              <w:rPr>
                <w:rStyle w:val="Emphasis"/>
              </w:rPr>
              <w:t xml:space="preserve"> Elements </w:t>
            </w:r>
            <w:r w:rsidRPr="000A35C2">
              <w:rPr>
                <w:rStyle w:val="Emphasis"/>
              </w:rPr>
              <w:t>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Emphasis"/>
              </w:rPr>
              <w:t>Performance Criteria describe the required performance needed to demonstrate achievement of the element. Assessment of performance is to be consistent with the Evidence Guide.</w:t>
            </w:r>
          </w:p>
        </w:tc>
      </w:tr>
    </w:tbl>
    <w:p w:rsidR="00000000" w:rsidRPr="000A35C2" w:rsidP="000A35C2">
      <w:pPr>
        <w:pStyle w:val="BodyText"/>
      </w:pPr>
    </w:p>
    <w:p w:rsidR="00000000" w:rsidRPr="000A35C2" w:rsidP="000A35C2">
      <w:pPr>
        <w:pStyle w:val="AllowPageBreak"/>
      </w:pPr>
    </w:p>
    <w:p w:rsidR="00000000" w:rsidRPr="000A35C2" w:rsidP="000A35C2">
      <w:pPr>
        <w:pStyle w:val="Heading1"/>
      </w:pPr>
      <w:bookmarkStart w:id="8" w:name="O_579040"/>
      <w:bookmarkEnd w:id="8"/>
      <w:r w:rsidRPr="000A35C2">
        <w:t>Elements and Performance Criteria</w:t>
      </w:r>
    </w:p>
    <w:tbl>
      <w:tblPr>
        <w:tblW w:w="0" w:type="auto"/>
        <w:tblLayout w:type="fixed"/>
        <w:tblCellMar>
          <w:left w:w="62" w:type="dxa"/>
          <w:right w:w="62" w:type="dxa"/>
        </w:tblCellMar>
        <w:tblLook w:val="0000"/>
      </w:tblPr>
      <w:tblGrid>
        <w:gridCol w:w="342"/>
        <w:gridCol w:w="2358"/>
        <w:gridCol w:w="838"/>
        <w:gridCol w:w="4922"/>
      </w:tblGrid>
      <w:tr w:rsidTr="000A35C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PERFORMANCE CRITERIA</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1</w:t>
            </w:r>
          </w:p>
        </w:tc>
        <w:tc>
          <w:tcPr>
            <w:tcW w:w="235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Prepare for hydro-testing for transmission pipeline construction</w:t>
            </w: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1.1</w:t>
            </w:r>
          </w:p>
        </w:tc>
        <w:tc>
          <w:tcPr>
            <w:tcW w:w="4922"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t>WHS/OHS and environmental measures for the site are identified, obtained and understood.</w:t>
            </w:r>
          </w:p>
          <w:p w:rsidR="00000000" w:rsidP="000A35C2">
            <w:pPr>
              <w:pStyle w:val="BodyText"/>
              <w:rPr>
                <w:lang w:val="en-NZ"/>
              </w:rPr>
            </w:pP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1.2</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Relevant requirements and established procedures for the site are discussed with relevant persons to establish and confirm the work schedule.</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1.3</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WHS/OHS, environmental and sustainable energy policies and procedures are received and confirmed.</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1.4</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Ea</w:t>
            </w:r>
            <w:r w:rsidRPr="000A35C2">
              <w:t>sement is inspected and testing procedures determined in accordance with standard operating procedures relevant requirements.</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1.5</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Suggestions to assist with testing of the construction pipeline are made to others involved in the work.</w:t>
            </w:r>
          </w:p>
        </w:tc>
      </w:tr>
      <w:tr w:rsidTr="000A35C2">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1.6</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Hazards are identified, WHS/OHS risks assessed and control measures are prioritised, implemented and monitored, including keeping emergency exits , according to established procedures.</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1.7</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Scope of responsibility under the relevant work permit and/or re</w:t>
            </w:r>
            <w:r w:rsidRPr="000A35C2">
              <w:t>levant notification is received and confirmed with relevant persons according to requirements and established procedures.</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1.8</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Tools, equipment and personal protective equipment needed to carry out the work are identified, scheduled, obtained and checked</w:t>
            </w:r>
            <w:r w:rsidRPr="000A35C2">
              <w:t xml:space="preserve"> for operation and safety.</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1.9</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Materials, plans, diagrams, drawings and resources required for work are confirmed, scheduled and obtained in accordance with established procedures</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1.10</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 xml:space="preserve">Relevant responsibilities associated with first aid and other related work safety procedures for an incident at the worksite are checked and confirmed. </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1.11</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Third party issues are referred to appropriate persons in accordance with established procedure</w:t>
            </w:r>
            <w:r w:rsidRPr="000A35C2">
              <w:t>s.</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1.12</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Site preparation, safety plan and the work schedule are confirmed in accordance with established procedures.</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2</w:t>
            </w:r>
          </w:p>
        </w:tc>
        <w:tc>
          <w:tcPr>
            <w:tcW w:w="235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Hydro test transmission pipeline construction</w:t>
            </w: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2.1</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WHS/OHS risk control measures, schedule of work and standard operating procedures f</w:t>
            </w:r>
            <w:r w:rsidRPr="000A35C2">
              <w:t xml:space="preserve">or carry out the work are followed. </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2.2</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Appropriate materials, tools, equipment and measuring devices are selected and used correctly and safely.</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2.3</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 xml:space="preserve">Hazardous activities such as lifting, climbing, working in confined spaces, excavations, trenches, or aloft, hydro-testing and use of power tools, techniques and practices are conducted safely in accordance with given instructions and requirements.  </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2.</w:t>
            </w:r>
            <w:r w:rsidRPr="000A35C2">
              <w:t>4</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Work area is isolated, made safe and hydro-testing of pipeline construction is carried out in accordance established procedures.</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2.5</w:t>
            </w:r>
          </w:p>
        </w:tc>
        <w:tc>
          <w:tcPr>
            <w:tcW w:w="4922"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t>Hydro-testing of pipeline construction is carried out efficiently, in an agreed timeframe and to the required  standar</w:t>
            </w:r>
            <w:r w:rsidRPr="000A35C2">
              <w:t>d, without waste of materials or damage to apparatus, circuits, the surrounding environment or services and using sustainable energy principles.</w:t>
            </w:r>
          </w:p>
          <w:p w:rsidR="00000000" w:rsidP="000A35C2">
            <w:pPr>
              <w:pStyle w:val="BodyText"/>
              <w:rPr>
                <w:lang w:val="en-NZ"/>
              </w:rPr>
            </w:pP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2.6</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 xml:space="preserve">WHS/OHS risks and incidents are reported to the immediate authorised persons for directions according to established procedures </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2.7</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Procedures for referring non-routine events to the immediate authorised persons for directions are followed.</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2.8</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Reme</w:t>
            </w:r>
            <w:r w:rsidRPr="000A35C2">
              <w:t>dial action associated with hydro-testing of transmission pipeline construction is dealt with in accordance with established procedures.</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2.9</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 xml:space="preserve">Routine  quality  checks  are carried out  in accordance with work  instructions </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3</w:t>
            </w:r>
          </w:p>
        </w:tc>
        <w:tc>
          <w:tcPr>
            <w:tcW w:w="235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Complete basic hydro-testin</w:t>
            </w:r>
            <w:r w:rsidRPr="000A35C2">
              <w:rPr>
                <w:rStyle w:val="SpecialBold"/>
              </w:rPr>
              <w:t>g activities and relevant documentation</w:t>
            </w: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3.1</w:t>
            </w:r>
          </w:p>
        </w:tc>
        <w:tc>
          <w:tcPr>
            <w:tcW w:w="4922"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t>WHS/OHS risk control work completion measures and procedures are followed.</w:t>
            </w:r>
          </w:p>
          <w:p w:rsidR="00000000" w:rsidP="000A35C2">
            <w:pPr>
              <w:pStyle w:val="BodyText"/>
              <w:rPr>
                <w:lang w:val="en-NZ"/>
              </w:rPr>
            </w:pP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3.2</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Work site is rehabilitated, cleaned up and made safe in accordance with established procedures.</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3.3</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Tools, equipment and any surplus resources and materials are, cleaned, checked and securely stored.</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3.4</w:t>
            </w:r>
          </w:p>
        </w:tc>
        <w:tc>
          <w:tcPr>
            <w:tcW w:w="492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Appropriate persons are notified of work completion according to established procedures.</w:t>
            </w:r>
          </w:p>
        </w:tc>
      </w:tr>
      <w:tr w:rsidTr="000A35C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3.5</w:t>
            </w:r>
          </w:p>
        </w:tc>
        <w:tc>
          <w:tcPr>
            <w:tcW w:w="4922"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t>Work completion records, report forms and data sheets</w:t>
            </w:r>
            <w:r w:rsidRPr="000A35C2">
              <w:t xml:space="preserve"> are completed accurately and provided to appropriate persons in accordance with established procedures.</w:t>
            </w:r>
          </w:p>
        </w:tc>
      </w:tr>
    </w:tbl>
    <w:p w:rsidR="00CF0BC5" w:rsidP="000A35C2">
      <w:pPr>
        <w:pStyle w:val="BodyText"/>
      </w:pPr>
    </w:p>
    <w:p w:rsidR="00CF0BC5" w:rsidP="000A35C2">
      <w:pPr>
        <w:pStyle w:val="BodyText"/>
      </w:pPr>
    </w:p>
    <w:p w:rsidR="00000000" w:rsidRPr="000A35C2" w:rsidP="000A35C2">
      <w:pPr>
        <w:pStyle w:val="Heading1"/>
      </w:pPr>
      <w:bookmarkStart w:id="9" w:name="O_579041"/>
      <w:bookmarkEnd w:id="9"/>
      <w:r w:rsidRPr="000A35C2">
        <w:t>Required Skills and Knowledge</w:t>
      </w:r>
    </w:p>
    <w:tbl>
      <w:tblPr>
        <w:tblW w:w="0" w:type="auto"/>
        <w:tblLayout w:type="fixed"/>
        <w:tblCellMar>
          <w:left w:w="62" w:type="dxa"/>
          <w:right w:w="62" w:type="dxa"/>
        </w:tblCellMar>
        <w:tblLook w:val="0000"/>
      </w:tblPr>
      <w:tblGrid>
        <w:gridCol w:w="8398"/>
      </w:tblGrid>
      <w:tr w:rsidTr="00CF0BC5">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REQUIRED SKILLS AND KNOWLEDGE</w:t>
            </w:r>
          </w:p>
        </w:tc>
      </w:tr>
      <w:tr w:rsidTr="00CF0BC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7)</w:t>
            </w:r>
            <w:r w:rsidRPr="000A35C2">
              <w:t xml:space="preserve"> </w:t>
            </w:r>
            <w:r w:rsidRPr="000A35C2">
              <w:rPr>
                <w:rStyle w:val="Emphasis"/>
              </w:rPr>
              <w:t>This describes the required skills and knowledge and their level, required for this unit.</w:t>
            </w:r>
          </w:p>
        </w:tc>
      </w:tr>
      <w:tr w:rsidTr="00CF0BC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Evidence shall show that knowledge has been acquired of safe working practices for using of equipment and tools to perform work in a transmission pipeline constructi</w:t>
            </w:r>
            <w:r w:rsidRPr="000A35C2">
              <w:t>on industry work environment.</w:t>
            </w:r>
          </w:p>
        </w:tc>
      </w:tr>
      <w:tr w:rsidTr="00CF0BC5">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 xml:space="preserve">All knowledge and skills detailed in this unit should be contextualised to current industry practices and technologies. The extent of the Required </w:t>
            </w:r>
            <w:r w:rsidRPr="000A35C2">
              <w:t>Skills and Knowledge required is provided below. It forms an integral part of this unit.</w:t>
            </w:r>
          </w:p>
        </w:tc>
      </w:tr>
      <w:tr w:rsidTr="00CF0BC5">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KS01-G332A</w:t>
            </w:r>
            <w:r w:rsidRPr="000A35C2">
              <w:rPr>
                <w:rStyle w:val="SpecialBold"/>
              </w:rPr>
              <w:tab/>
              <w:t xml:space="preserve">Hydro-testing for transmission pipeline </w:t>
            </w:r>
          </w:p>
          <w:p w:rsidR="00000000" w:rsidP="000A35C2">
            <w:pPr>
              <w:pStyle w:val="BodyText"/>
              <w:rPr>
                <w:lang w:val="en-NZ"/>
              </w:rPr>
            </w:pPr>
            <w:r w:rsidRPr="000A35C2">
              <w:t>Evidence shall show an understanding of hydro-testing gas transmission pipeline in accordance with relevant legisl</w:t>
            </w:r>
            <w:r w:rsidRPr="000A35C2">
              <w:t>ation, standards, codes and established procedures to an extent indicated by the following aspects</w:t>
            </w:r>
          </w:p>
        </w:tc>
      </w:tr>
      <w:tr w:rsidTr="00CF0BC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t>T1. Relevant legislation, regulations, codes</w:t>
            </w:r>
          </w:p>
          <w:p w:rsidR="00000000" w:rsidRPr="000A35C2" w:rsidP="000A35C2">
            <w:pPr>
              <w:pStyle w:val="ListBullet"/>
            </w:pPr>
            <w:r w:rsidRPr="000A35C2">
              <w:t>AS2885</w:t>
            </w:r>
          </w:p>
          <w:p w:rsidR="00000000" w:rsidRPr="000A35C2" w:rsidP="000A35C2">
            <w:pPr>
              <w:pStyle w:val="BodyText"/>
            </w:pPr>
            <w:r w:rsidRPr="000A35C2">
              <w:t xml:space="preserve">T2. Enterprise procedures, plans and drawings </w:t>
            </w:r>
          </w:p>
          <w:p w:rsidR="00000000" w:rsidRPr="000A35C2" w:rsidP="000A35C2">
            <w:pPr>
              <w:pStyle w:val="BodyText"/>
            </w:pPr>
            <w:r w:rsidRPr="000A35C2">
              <w:t>T3. Relevant Safety and Environmental hazards and mitigation measures</w:t>
            </w:r>
          </w:p>
          <w:p w:rsidR="00000000" w:rsidRPr="000A35C2" w:rsidP="000A35C2">
            <w:pPr>
              <w:pStyle w:val="BodyText"/>
            </w:pPr>
            <w:r w:rsidRPr="000A35C2">
              <w:t xml:space="preserve">T4. Fundamentals of Hydrotesting </w:t>
            </w:r>
          </w:p>
          <w:p w:rsidR="00000000" w:rsidRPr="000A35C2" w:rsidP="000A35C2">
            <w:pPr>
              <w:pStyle w:val="BodyText"/>
            </w:pPr>
            <w:r w:rsidRPr="000A35C2">
              <w:t>T5. Hydrotesting requirements and procedures</w:t>
            </w:r>
          </w:p>
          <w:p w:rsidR="00000000" w:rsidRPr="000A35C2" w:rsidP="000A35C2">
            <w:pPr>
              <w:pStyle w:val="BodyText"/>
            </w:pPr>
            <w:r w:rsidRPr="000A35C2">
              <w:t>T6. Equipment, tools, materials and plant for hydrotesting</w:t>
            </w:r>
          </w:p>
          <w:p w:rsidR="00000000" w:rsidRPr="000A35C2" w:rsidP="000A35C2">
            <w:pPr>
              <w:pStyle w:val="BodyText"/>
            </w:pPr>
            <w:r w:rsidRPr="000A35C2">
              <w:t xml:space="preserve">T7. High pressure equipment hoses, whip checks </w:t>
            </w:r>
          </w:p>
          <w:p w:rsidR="00000000" w:rsidRPr="000A35C2" w:rsidP="000A35C2">
            <w:pPr>
              <w:pStyle w:val="BodyText"/>
            </w:pPr>
            <w:r w:rsidRPr="000A35C2">
              <w:t xml:space="preserve">T8. Exclusion zone awareness , including perimeter maintenance </w:t>
            </w:r>
          </w:p>
          <w:p w:rsidR="00000000" w:rsidRPr="000A35C2" w:rsidP="000A35C2">
            <w:pPr>
              <w:pStyle w:val="BodyText"/>
            </w:pPr>
            <w:r w:rsidRPr="000A35C2">
              <w:t xml:space="preserve">T9. Signage requirements for using high pressure equipment- </w:t>
            </w:r>
          </w:p>
        </w:tc>
      </w:tr>
    </w:tbl>
    <w:p w:rsidR="00CF0BC5" w:rsidP="000A35C2">
      <w:pPr>
        <w:pStyle w:val="BodyText"/>
      </w:pPr>
    </w:p>
    <w:p w:rsidR="00CF0BC5" w:rsidP="000A35C2">
      <w:pPr>
        <w:pStyle w:val="BodyText"/>
      </w:pPr>
    </w:p>
    <w:p w:rsidR="00000000" w:rsidRPr="000A35C2" w:rsidP="000A35C2">
      <w:pPr>
        <w:pStyle w:val="Heading1"/>
      </w:pPr>
      <w:bookmarkStart w:id="10" w:name="O_579042"/>
      <w:bookmarkEnd w:id="10"/>
      <w:r w:rsidRPr="000A35C2">
        <w:t>Evidence Guide</w:t>
      </w:r>
    </w:p>
    <w:tbl>
      <w:tblPr>
        <w:tblW w:w="0" w:type="auto"/>
        <w:tblLayout w:type="fixed"/>
        <w:tblCellMar>
          <w:left w:w="62" w:type="dxa"/>
          <w:right w:w="62" w:type="dxa"/>
        </w:tblCellMar>
        <w:tblLook w:val="0000"/>
      </w:tblPr>
      <w:tblGrid>
        <w:gridCol w:w="8398"/>
      </w:tblGrid>
      <w:tr w:rsidTr="000A35C2">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EVIDENCE GUIDE</w:t>
            </w:r>
          </w:p>
        </w:tc>
      </w:tr>
      <w:tr w:rsidTr="000A35C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8)</w:t>
            </w:r>
            <w:r w:rsidRPr="000A35C2">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0A35C2" w:rsidP="000A35C2">
      <w:pPr>
        <w:pStyle w:val="BodyText"/>
      </w:pPr>
    </w:p>
    <w:tbl>
      <w:tblPr>
        <w:tblW w:w="0" w:type="auto"/>
        <w:tblLayout w:type="fixed"/>
        <w:tblCellMar>
          <w:left w:w="62" w:type="dxa"/>
          <w:right w:w="62" w:type="dxa"/>
        </w:tblCellMar>
        <w:tblLook w:val="0000"/>
      </w:tblPr>
      <w:tblGrid>
        <w:gridCol w:w="1828"/>
        <w:gridCol w:w="6570"/>
      </w:tblGrid>
      <w:tr w:rsidTr="000A35C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8.1)</w:t>
            </w:r>
          </w:p>
        </w:tc>
      </w:tr>
      <w:tr w:rsidTr="000A35C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Longitudina</w:t>
            </w:r>
            <w:r w:rsidRPr="000A35C2">
              <w:t>l competency development approaches to assessment, such as Profiling, require data to be reliably gathered in a form that can be consistently interpreted over time. This approach is best utilised in Apprenticeship programs and reduces assessment interventi</w:t>
            </w:r>
            <w:r w:rsidRPr="000A35C2">
              <w:t xml:space="preserve">on. It is the Industry’s preferred model for apprenticeships. However, where summative (or final) assessment is used it is to include the application of the competency in the normal work environment or, at a minimum, the application of the competency in a </w:t>
            </w:r>
            <w:r w:rsidRPr="000A35C2">
              <w:t>realistically simulated work environment. It is recognised that, in some circumstances, assessment in part or full can occur outside the workplace. However, it must be in accord with industry and regulatory policy in this regard.</w:t>
            </w:r>
          </w:p>
        </w:tc>
      </w:tr>
      <w:tr w:rsidTr="000A35C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Methods chosen for a particular assessment will be influenced by various factors. These include the extent of the assessment, the most effective locations for the assessment activities to take place, access to physical resources, additional safety measures</w:t>
            </w:r>
            <w:r w:rsidRPr="000A35C2">
              <w:t xml:space="preserve"> that may be required and the critical nature of the competencies being assessed.</w:t>
            </w:r>
          </w:p>
        </w:tc>
      </w:tr>
      <w:tr w:rsidTr="000A35C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The critical safety nature of working with electricity, electrical equipment, gas or any other hazardous substance/material carries risk in deeming a person competent. Henc</w:t>
            </w:r>
            <w:r w:rsidRPr="000A35C2">
              <w:t>e, sources of evidence need to be ‘rich’ in nature so as to minimise error in judgment.</w:t>
            </w:r>
          </w:p>
        </w:tc>
      </w:tr>
      <w:tr w:rsidTr="000A35C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t>Activities associated with normal every day work have a bearing on the decision as to how much and how detailed the data gathered will contribute to its ‘richness’. S</w:t>
            </w:r>
            <w:r w:rsidRPr="000A35C2">
              <w:t>ome skills are more critical to safety and operational requirements while the same skills may be more or less frequently practised. These points are raised for the assessors to consider when choosing an assessment method and developing assessment instrumen</w:t>
            </w:r>
            <w:r w:rsidRPr="000A35C2">
              <w:t>ts. Sample assessment instruments are included in the Assessment Guidelines of this Training Package.</w:t>
            </w:r>
          </w:p>
        </w:tc>
      </w:tr>
    </w:tbl>
    <w:p w:rsidR="00000000" w:rsidRPr="000A35C2" w:rsidP="000A35C2">
      <w:pPr>
        <w:pStyle w:val="BodyText"/>
      </w:pPr>
    </w:p>
    <w:tbl>
      <w:tblPr>
        <w:tblW w:w="0" w:type="auto"/>
        <w:tblLayout w:type="fixed"/>
        <w:tblCellMar>
          <w:left w:w="62" w:type="dxa"/>
          <w:right w:w="62" w:type="dxa"/>
        </w:tblCellMar>
        <w:tblLook w:val="0000"/>
      </w:tblPr>
      <w:tblGrid>
        <w:gridCol w:w="1800"/>
        <w:gridCol w:w="6570"/>
      </w:tblGrid>
      <w:tr w:rsidTr="000A35C2">
        <w:tblPrEx>
          <w:tblW w:w="0" w:type="auto"/>
          <w:tblLayout w:type="fixed"/>
          <w:tblCellMar>
            <w:left w:w="62" w:type="dxa"/>
            <w:right w:w="62" w:type="dxa"/>
          </w:tblCellMar>
          <w:tblLook w:val="0000"/>
        </w:tblPrEx>
        <w:trPr>
          <w:trHeight w:val="1024"/>
        </w:trPr>
        <w:tc>
          <w:tcPr>
            <w:tcW w:w="1800"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8.2)</w:t>
            </w:r>
          </w:p>
        </w:tc>
      </w:tr>
      <w:tr w:rsidTr="000A35C2">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Before the critical aspects of evidence are considered all prerequis</w:t>
            </w:r>
            <w:r w:rsidRPr="000A35C2">
              <w:t>ites shall be met.</w:t>
            </w:r>
          </w:p>
        </w:tc>
      </w:tr>
      <w:tr w:rsidTr="000A35C2">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Evidence for competence in this unit shall be considered holistically. Each element and associated Performance Criteria shall be demonstrated on at least two occasions in accordance with the ‘Assessment Guidelines — UEG11’</w:t>
            </w:r>
            <w:r w:rsidRPr="000A35C2">
              <w:t>. Evidence shall also comprise:</w:t>
            </w:r>
          </w:p>
        </w:tc>
      </w:tr>
      <w:tr w:rsidTr="000A35C2">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A35C2">
            <w:pPr>
              <w:pStyle w:val="ListBullet"/>
              <w:rPr>
                <w:lang w:val="en-NZ"/>
              </w:rPr>
            </w:pPr>
            <w:r w:rsidRPr="000A35C2">
              <w:t>A representative body of work performance demonstrated within the timeframes typically expected of the discipline, work function and industrial environment. In particular this shall incorporate evidence that shows a candi</w:t>
            </w:r>
            <w:r w:rsidRPr="000A35C2">
              <w:t>date is able to:</w:t>
            </w:r>
          </w:p>
        </w:tc>
      </w:tr>
      <w:tr w:rsidTr="000A35C2">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A35C2">
            <w:pPr>
              <w:pStyle w:val="ListBullet2"/>
              <w:rPr>
                <w:lang w:val="en-NZ"/>
              </w:rPr>
            </w:pPr>
            <w:r w:rsidRPr="000A35C2">
              <w:t>Implement Workplace Health and Safety/Occupational Health and Safety workplace procedures and practices including the use of risk control measures as specified in the Performance Criteria and range</w:t>
            </w:r>
          </w:p>
        </w:tc>
      </w:tr>
      <w:tr w:rsidTr="000A35C2">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A35C2">
            <w:pPr>
              <w:pStyle w:val="ListBullet2"/>
              <w:rPr>
                <w:lang w:val="en-NZ"/>
              </w:rPr>
            </w:pPr>
            <w:r w:rsidRPr="000A35C2">
              <w:t>Apply sustainable energy principles and practices as specified in the Performance Criteria and range</w:t>
            </w:r>
          </w:p>
        </w:tc>
      </w:tr>
      <w:tr w:rsidTr="000A35C2">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A35C2">
            <w:pPr>
              <w:pStyle w:val="ListBullet2"/>
              <w:rPr>
                <w:lang w:val="en-NZ"/>
              </w:rPr>
            </w:pPr>
            <w:r w:rsidRPr="000A35C2">
              <w:t xml:space="preserve">Demonstrate an understanding of the required skills and knowledge as described in this unit to such an extent that the learner’s performance outcome is </w:t>
            </w:r>
            <w:r w:rsidRPr="000A35C2">
              <w:t>reported in accordance with the preferred approach; namely a percentile graded result</w:t>
            </w:r>
          </w:p>
        </w:tc>
      </w:tr>
      <w:tr w:rsidTr="000A35C2">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A35C2">
            <w:pPr>
              <w:pStyle w:val="ListBullet2"/>
              <w:rPr>
                <w:lang w:val="en-NZ"/>
              </w:rPr>
            </w:pPr>
            <w:r w:rsidRPr="000A35C2">
              <w:t>Demonstrate an appropriate level of employability skills</w:t>
            </w:r>
          </w:p>
        </w:tc>
      </w:tr>
      <w:tr w:rsidTr="000A35C2">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A35C2">
            <w:pPr>
              <w:pStyle w:val="ListBullet2"/>
              <w:rPr>
                <w:lang w:val="en-NZ"/>
              </w:rPr>
            </w:pPr>
            <w:r w:rsidRPr="000A35C2">
              <w:t>Conduct work observing the relevant Anti-discrimination legislation, regulations, polices and workplace pro</w:t>
            </w:r>
            <w:r w:rsidRPr="000A35C2">
              <w:t>cedures</w:t>
            </w:r>
          </w:p>
        </w:tc>
      </w:tr>
      <w:tr w:rsidTr="000A35C2">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A35C2">
            <w:pPr>
              <w:pStyle w:val="ListBullet"/>
              <w:rPr>
                <w:lang w:val="en-NZ"/>
              </w:rPr>
            </w:pPr>
            <w:r w:rsidRPr="000A35C2">
              <w:t>Demonstrate performance across a representative range of contexts from the prescribed items below:</w:t>
            </w:r>
          </w:p>
        </w:tc>
      </w:tr>
      <w:tr w:rsidTr="000A35C2">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0A35C2" w:rsidP="000A35C2">
            <w:pPr>
              <w:pStyle w:val="ListBullet2"/>
            </w:pPr>
            <w:r w:rsidRPr="000A35C2">
              <w:t>Carry out hydro-testing of transmission pipeline construction work activities as described in 9.) Range Statement and including:</w:t>
            </w:r>
          </w:p>
        </w:tc>
      </w:tr>
    </w:tbl>
    <w:p w:rsidR="00000000" w:rsidRPr="000A35C2" w:rsidP="000A35C2">
      <w:pPr>
        <w:pStyle w:val="BodyText"/>
      </w:pPr>
    </w:p>
    <w:tbl>
      <w:tblPr>
        <w:tblW w:w="0" w:type="auto"/>
        <w:tblLayout w:type="fixed"/>
        <w:tblCellMar>
          <w:left w:w="62" w:type="dxa"/>
          <w:right w:w="62" w:type="dxa"/>
        </w:tblCellMar>
        <w:tblLook w:val="0000"/>
      </w:tblPr>
      <w:tblGrid>
        <w:gridCol w:w="2610"/>
        <w:gridCol w:w="720"/>
        <w:gridCol w:w="1718"/>
        <w:gridCol w:w="3375"/>
      </w:tblGrid>
      <w:tr w:rsidTr="000A35C2">
        <w:tblPrEx>
          <w:tblW w:w="0" w:type="auto"/>
          <w:tblLayout w:type="fixed"/>
          <w:tblCellMar>
            <w:left w:w="62" w:type="dxa"/>
            <w:right w:w="62" w:type="dxa"/>
          </w:tblCellMar>
          <w:tblLook w:val="0000"/>
        </w:tblPrEx>
        <w:trPr>
          <w:trHeight w:val="286"/>
        </w:trPr>
        <w:tc>
          <w:tcPr>
            <w:tcW w:w="2610" w:type="dxa"/>
            <w:tcBorders>
              <w:top w:val="nil"/>
              <w:left w:val="nil"/>
              <w:bottom w:val="nil"/>
              <w:right w:val="single" w:sz="4" w:space="0" w:color="auto"/>
            </w:tcBorders>
            <w:tcMar>
              <w:top w:w="0" w:type="dxa"/>
              <w:left w:w="62" w:type="dxa"/>
              <w:bottom w:w="0" w:type="dxa"/>
              <w:right w:w="62" w:type="dxa"/>
            </w:tcMar>
          </w:tcPr>
          <w:p w:rsidR="00000000" w:rsidRPr="000A35C2">
            <w:pPr>
              <w:pStyle w:val="BodyText"/>
              <w:keepNext w:val="0"/>
              <w:keepLines w:val="0"/>
              <w:contextualSpacing w:val="0"/>
            </w:pPr>
          </w:p>
        </w:tc>
        <w:tc>
          <w:tcPr>
            <w:tcW w:w="5813"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5C2">
            <w:pPr>
              <w:pStyle w:val="BodyText"/>
              <w:rPr>
                <w:lang w:val="en-NZ"/>
              </w:rPr>
            </w:pPr>
            <w:r w:rsidRPr="000A35C2">
              <w:rPr>
                <w:rStyle w:val="SpecialBold"/>
              </w:rPr>
              <w:t>Range of tools/equipment/procedures/workplace</w:t>
            </w:r>
          </w:p>
        </w:tc>
      </w:tr>
      <w:tr w:rsidTr="000A35C2">
        <w:tblPrEx>
          <w:tblW w:w="0" w:type="auto"/>
          <w:tblLayout w:type="fixed"/>
          <w:tblCellMar>
            <w:left w:w="62" w:type="dxa"/>
            <w:right w:w="62" w:type="dxa"/>
          </w:tblCellMar>
          <w:tblLook w:val="0000"/>
        </w:tblPrEx>
        <w:tc>
          <w:tcPr>
            <w:tcW w:w="2610" w:type="dxa"/>
            <w:tcBorders>
              <w:top w:val="nil"/>
              <w:left w:val="nil"/>
              <w:bottom w:val="nil"/>
              <w:right w:val="single" w:sz="4" w:space="0" w:color="auto"/>
            </w:tcBorders>
            <w:tcMar>
              <w:top w:w="0" w:type="dxa"/>
              <w:left w:w="62" w:type="dxa"/>
              <w:bottom w:w="0" w:type="dxa"/>
              <w:right w:w="62" w:type="dxa"/>
            </w:tcMar>
          </w:tcPr>
          <w:p w:rsidR="00000000" w:rsidRPr="000A35C2">
            <w:pPr>
              <w:pStyle w:val="BodyText"/>
              <w:keepNext w:val="0"/>
              <w:keepLines w:val="0"/>
              <w:contextualSpacing w:val="0"/>
            </w:pPr>
          </w:p>
        </w:tc>
        <w:tc>
          <w:tcPr>
            <w:tcW w:w="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5C2" w:rsidP="000A35C2">
            <w:pPr>
              <w:pStyle w:val="BodyText"/>
            </w:pPr>
            <w:r w:rsidRPr="000A35C2">
              <w:rPr>
                <w:rStyle w:val="SpecialBold"/>
              </w:rPr>
              <w:t>Group No</w:t>
            </w:r>
          </w:p>
        </w:tc>
        <w:tc>
          <w:tcPr>
            <w:tcW w:w="1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5C2" w:rsidP="000A35C2">
            <w:pPr>
              <w:pStyle w:val="BodyText"/>
            </w:pPr>
            <w:r w:rsidRPr="000A35C2">
              <w:rPr>
                <w:rStyle w:val="SpecialBold"/>
              </w:rPr>
              <w:t>The minimum number of items on which skill is to be demonstrated</w:t>
            </w:r>
          </w:p>
        </w:tc>
        <w:tc>
          <w:tcPr>
            <w:tcW w:w="3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5C2">
            <w:pPr>
              <w:pStyle w:val="BodyText"/>
              <w:rPr>
                <w:lang w:val="en-NZ"/>
              </w:rPr>
            </w:pPr>
            <w:r w:rsidRPr="000A35C2">
              <w:rPr>
                <w:rStyle w:val="SpecialBold"/>
              </w:rPr>
              <w:t>Item List</w:t>
            </w:r>
          </w:p>
        </w:tc>
      </w:tr>
      <w:tr w:rsidTr="000A35C2">
        <w:tblPrEx>
          <w:tblW w:w="0" w:type="auto"/>
          <w:tblLayout w:type="fixed"/>
          <w:tblCellMar>
            <w:left w:w="62" w:type="dxa"/>
            <w:right w:w="62" w:type="dxa"/>
          </w:tblCellMar>
          <w:tblLook w:val="0000"/>
        </w:tblPrEx>
        <w:tc>
          <w:tcPr>
            <w:tcW w:w="2610" w:type="dxa"/>
            <w:tcBorders>
              <w:top w:val="nil"/>
              <w:left w:val="nil"/>
              <w:bottom w:val="nil"/>
              <w:right w:val="single" w:sz="4" w:space="0" w:color="auto"/>
            </w:tcBorders>
            <w:tcMar>
              <w:top w:w="0" w:type="dxa"/>
              <w:left w:w="62" w:type="dxa"/>
              <w:bottom w:w="0" w:type="dxa"/>
              <w:right w:w="62" w:type="dxa"/>
            </w:tcMar>
          </w:tcPr>
          <w:p w:rsidR="00000000" w:rsidRPr="000A35C2">
            <w:pPr>
              <w:pStyle w:val="BodyText"/>
              <w:keepNext w:val="0"/>
              <w:keepLines w:val="0"/>
              <w:contextualSpacing w:val="0"/>
            </w:pPr>
          </w:p>
        </w:tc>
        <w:tc>
          <w:tcPr>
            <w:tcW w:w="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5C2">
            <w:pPr>
              <w:pStyle w:val="BodyText"/>
              <w:rPr>
                <w:lang w:val="en-NZ"/>
              </w:rPr>
            </w:pPr>
            <w:r w:rsidRPr="000A35C2">
              <w:rPr>
                <w:rStyle w:val="SpecialBold"/>
              </w:rPr>
              <w:t>A</w:t>
            </w:r>
          </w:p>
        </w:tc>
        <w:tc>
          <w:tcPr>
            <w:tcW w:w="1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5C2">
            <w:pPr>
              <w:pStyle w:val="BodyText"/>
              <w:rPr>
                <w:lang w:val="en-NZ"/>
              </w:rPr>
            </w:pPr>
            <w:r w:rsidRPr="000A35C2">
              <w:t>All</w:t>
            </w:r>
          </w:p>
        </w:tc>
        <w:tc>
          <w:tcPr>
            <w:tcW w:w="3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5C2" w:rsidP="000A35C2">
            <w:pPr>
              <w:pStyle w:val="ListBullet"/>
            </w:pPr>
            <w:r w:rsidRPr="000A35C2">
              <w:t>Operate in a safe manner</w:t>
            </w:r>
          </w:p>
          <w:p w:rsidR="00000000" w:rsidRPr="000A35C2" w:rsidP="000A35C2">
            <w:pPr>
              <w:pStyle w:val="ListBullet"/>
            </w:pPr>
            <w:r w:rsidRPr="000A35C2">
              <w:t>Practical working knowledge of ASNZ2885.5</w:t>
            </w:r>
          </w:p>
          <w:p w:rsidR="00000000" w:rsidP="000A35C2">
            <w:pPr>
              <w:pStyle w:val="ListBullet"/>
              <w:rPr>
                <w:lang w:val="en-NZ"/>
              </w:rPr>
            </w:pPr>
            <w:r w:rsidRPr="000A35C2">
              <w:t>Understand and respond to instructions relayed by Hydro Test Engineers (NATA Accredited Auditor)</w:t>
            </w:r>
          </w:p>
        </w:tc>
      </w:tr>
      <w:tr w:rsidTr="000A35C2">
        <w:tblPrEx>
          <w:tblW w:w="0" w:type="auto"/>
          <w:tblLayout w:type="fixed"/>
          <w:tblCellMar>
            <w:left w:w="62" w:type="dxa"/>
            <w:right w:w="62" w:type="dxa"/>
          </w:tblCellMar>
          <w:tblLook w:val="0000"/>
        </w:tblPrEx>
        <w:tc>
          <w:tcPr>
            <w:tcW w:w="2610" w:type="dxa"/>
            <w:tcBorders>
              <w:top w:val="nil"/>
              <w:left w:val="nil"/>
              <w:bottom w:val="nil"/>
              <w:right w:val="single" w:sz="4" w:space="0" w:color="auto"/>
            </w:tcBorders>
            <w:tcMar>
              <w:top w:w="0" w:type="dxa"/>
              <w:left w:w="62" w:type="dxa"/>
              <w:bottom w:w="0" w:type="dxa"/>
              <w:right w:w="62" w:type="dxa"/>
            </w:tcMar>
          </w:tcPr>
          <w:p w:rsidR="00000000" w:rsidRPr="000A35C2">
            <w:pPr>
              <w:pStyle w:val="BodyText"/>
              <w:keepNext w:val="0"/>
              <w:keepLines w:val="0"/>
              <w:contextualSpacing w:val="0"/>
            </w:pPr>
          </w:p>
        </w:tc>
        <w:tc>
          <w:tcPr>
            <w:tcW w:w="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5C2">
            <w:pPr>
              <w:pStyle w:val="BodyText"/>
              <w:rPr>
                <w:lang w:val="en-NZ"/>
              </w:rPr>
            </w:pPr>
            <w:r w:rsidRPr="000A35C2">
              <w:rPr>
                <w:rStyle w:val="SpecialBold"/>
              </w:rPr>
              <w:t>B</w:t>
            </w:r>
          </w:p>
        </w:tc>
        <w:tc>
          <w:tcPr>
            <w:tcW w:w="1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5C2">
            <w:pPr>
              <w:pStyle w:val="BodyText"/>
              <w:rPr>
                <w:lang w:val="en-NZ"/>
              </w:rPr>
            </w:pPr>
            <w:r w:rsidRPr="000A35C2">
              <w:t>All</w:t>
            </w:r>
          </w:p>
        </w:tc>
        <w:tc>
          <w:tcPr>
            <w:tcW w:w="3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5C2" w:rsidP="000A35C2">
            <w:pPr>
              <w:pStyle w:val="ListBullet"/>
            </w:pPr>
            <w:r w:rsidRPr="000A35C2">
              <w:t>Competent Operation of Fill and Squeeze Pumps</w:t>
            </w:r>
          </w:p>
          <w:p w:rsidR="00000000" w:rsidRPr="000A35C2" w:rsidP="000A35C2">
            <w:pPr>
              <w:pStyle w:val="ListBullet"/>
            </w:pPr>
            <w:r w:rsidRPr="000A35C2">
              <w:t>Competent Operation of Pressure Pumps</w:t>
            </w:r>
          </w:p>
          <w:p w:rsidR="00000000" w:rsidRPr="000A35C2" w:rsidP="000A35C2">
            <w:pPr>
              <w:pStyle w:val="ListBullet"/>
            </w:pPr>
            <w:r w:rsidRPr="000A35C2">
              <w:t>Competent Operation of Break Tanks</w:t>
            </w:r>
          </w:p>
          <w:p w:rsidR="00000000" w:rsidRPr="000A35C2" w:rsidP="000A35C2">
            <w:pPr>
              <w:pStyle w:val="ListBullet"/>
            </w:pPr>
            <w:r w:rsidRPr="000A35C2">
              <w:t>Competent Operation of Victulli</w:t>
            </w:r>
            <w:r w:rsidRPr="000A35C2">
              <w:t>c Piping</w:t>
            </w:r>
          </w:p>
          <w:p w:rsidR="00000000" w:rsidRPr="000A35C2" w:rsidP="000A35C2">
            <w:pPr>
              <w:pStyle w:val="ListBullet"/>
            </w:pPr>
            <w:r w:rsidRPr="000A35C2">
              <w:t>Competent Operation of Dead Weight Tester</w:t>
            </w:r>
          </w:p>
          <w:p w:rsidR="00000000" w:rsidRPr="000A35C2" w:rsidP="000A35C2">
            <w:pPr>
              <w:pStyle w:val="ListBullet"/>
            </w:pPr>
            <w:r w:rsidRPr="000A35C2">
              <w:t>Competent Operation of Temperature Probes</w:t>
            </w:r>
          </w:p>
          <w:p w:rsidR="00000000" w:rsidRPr="000A35C2" w:rsidP="000A35C2">
            <w:pPr>
              <w:pStyle w:val="ListBullet"/>
            </w:pPr>
            <w:r w:rsidRPr="000A35C2">
              <w:t>Competent Operation of Test Shack</w:t>
            </w:r>
          </w:p>
          <w:p w:rsidR="00000000" w:rsidRPr="000A35C2" w:rsidP="000A35C2">
            <w:pPr>
              <w:pStyle w:val="ListBullet"/>
            </w:pPr>
            <w:r w:rsidRPr="000A35C2">
              <w:t xml:space="preserve">Competent Operation of </w:t>
            </w:r>
            <w:r w:rsidRPr="000A35C2">
              <w:br/>
              <w:t>Gauges</w:t>
            </w:r>
          </w:p>
          <w:p w:rsidR="00000000" w:rsidRPr="000A35C2" w:rsidP="000A35C2">
            <w:pPr>
              <w:pStyle w:val="ListBullet"/>
            </w:pPr>
            <w:r w:rsidRPr="000A35C2">
              <w:t>Competent Operation of Compressors</w:t>
            </w:r>
          </w:p>
          <w:p w:rsidR="00000000" w:rsidRPr="000A35C2" w:rsidP="000A35C2">
            <w:pPr>
              <w:pStyle w:val="ListBullet"/>
            </w:pPr>
            <w:r w:rsidRPr="000A35C2">
              <w:t>Competent Operation of Data Collectors</w:t>
            </w:r>
          </w:p>
          <w:p w:rsidR="00000000" w:rsidRPr="000A35C2" w:rsidP="000A35C2">
            <w:pPr>
              <w:pStyle w:val="ListBullet"/>
            </w:pPr>
            <w:r w:rsidRPr="000A35C2">
              <w:t>Competent Operation of Test Headers</w:t>
            </w:r>
          </w:p>
          <w:p w:rsidR="00000000" w:rsidRPr="000A35C2" w:rsidP="000A35C2">
            <w:pPr>
              <w:pStyle w:val="ListBullet"/>
            </w:pPr>
            <w:r w:rsidRPr="000A35C2">
              <w:t>Competent Operation of Cleaning Headers</w:t>
            </w:r>
          </w:p>
          <w:p w:rsidR="00000000" w:rsidRPr="000A35C2" w:rsidP="000A35C2">
            <w:pPr>
              <w:pStyle w:val="ListBullet"/>
            </w:pPr>
            <w:r w:rsidRPr="000A35C2">
              <w:t>Competent Operation of Gauging Plate</w:t>
            </w:r>
          </w:p>
          <w:p w:rsidR="00000000" w:rsidRPr="000A35C2" w:rsidP="000A35C2">
            <w:pPr>
              <w:pStyle w:val="ListBullet"/>
            </w:pPr>
            <w:r w:rsidRPr="000A35C2">
              <w:t>Competent Operation of Drying Plant</w:t>
            </w:r>
          </w:p>
          <w:p w:rsidR="00000000" w:rsidRPr="000A35C2" w:rsidP="000A35C2">
            <w:pPr>
              <w:pStyle w:val="ListBullet"/>
            </w:pPr>
            <w:r w:rsidRPr="000A35C2">
              <w:t>Competent Operation of After Cooler</w:t>
            </w:r>
          </w:p>
          <w:p w:rsidR="00000000" w:rsidRPr="000A35C2" w:rsidP="000A35C2">
            <w:pPr>
              <w:pStyle w:val="ListBullet"/>
            </w:pPr>
            <w:r w:rsidRPr="000A35C2">
              <w:t>Competent Operation of Pig</w:t>
            </w:r>
          </w:p>
          <w:p w:rsidR="00000000" w:rsidRPr="000A35C2" w:rsidP="000A35C2">
            <w:pPr>
              <w:pStyle w:val="ListBullet"/>
            </w:pPr>
            <w:r w:rsidRPr="000A35C2">
              <w:t>Competent Operation of Chart Recorder</w:t>
            </w:r>
          </w:p>
          <w:p w:rsidR="00000000" w:rsidRPr="000A35C2" w:rsidP="000A35C2">
            <w:pPr>
              <w:pStyle w:val="ListBullet"/>
            </w:pPr>
            <w:r w:rsidRPr="000A35C2">
              <w:t>Compet</w:t>
            </w:r>
            <w:r w:rsidRPr="000A35C2">
              <w:t>ent Operation of Generator</w:t>
            </w:r>
          </w:p>
          <w:p w:rsidR="00000000" w:rsidP="000A35C2">
            <w:pPr>
              <w:pStyle w:val="ListBullet"/>
              <w:rPr>
                <w:lang w:val="en-NZ"/>
              </w:rPr>
            </w:pPr>
            <w:r w:rsidRPr="000A35C2">
              <w:t>Competent Operation of Lighting Towers</w:t>
            </w:r>
          </w:p>
        </w:tc>
      </w:tr>
      <w:tr w:rsidTr="000A35C2">
        <w:tblPrEx>
          <w:tblW w:w="0" w:type="auto"/>
          <w:tblLayout w:type="fixed"/>
          <w:tblCellMar>
            <w:left w:w="62" w:type="dxa"/>
            <w:right w:w="62" w:type="dxa"/>
          </w:tblCellMar>
          <w:tblLook w:val="0000"/>
        </w:tblPrEx>
        <w:trPr>
          <w:trHeight w:val="1142"/>
        </w:trPr>
        <w:tc>
          <w:tcPr>
            <w:tcW w:w="2610" w:type="dxa"/>
            <w:tcBorders>
              <w:top w:val="nil"/>
              <w:left w:val="nil"/>
              <w:bottom w:val="nil"/>
              <w:right w:val="single" w:sz="4" w:space="0" w:color="auto"/>
            </w:tcBorders>
            <w:tcMar>
              <w:top w:w="0" w:type="dxa"/>
              <w:left w:w="62" w:type="dxa"/>
              <w:bottom w:w="0" w:type="dxa"/>
              <w:right w:w="62" w:type="dxa"/>
            </w:tcMar>
          </w:tcPr>
          <w:p w:rsidR="00000000" w:rsidRPr="000A35C2">
            <w:pPr>
              <w:pStyle w:val="BodyText"/>
              <w:keepNext w:val="0"/>
              <w:keepLines w:val="0"/>
              <w:contextualSpacing w:val="0"/>
            </w:pPr>
          </w:p>
        </w:tc>
        <w:tc>
          <w:tcPr>
            <w:tcW w:w="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5C2">
            <w:pPr>
              <w:pStyle w:val="BodyText"/>
              <w:rPr>
                <w:lang w:val="en-NZ"/>
              </w:rPr>
            </w:pPr>
            <w:r w:rsidRPr="000A35C2">
              <w:rPr>
                <w:rStyle w:val="SpecialBold"/>
              </w:rPr>
              <w:t>C</w:t>
            </w:r>
          </w:p>
        </w:tc>
        <w:tc>
          <w:tcPr>
            <w:tcW w:w="1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5C2">
            <w:pPr>
              <w:pStyle w:val="BodyText"/>
              <w:rPr>
                <w:lang w:val="en-NZ"/>
              </w:rPr>
            </w:pPr>
            <w:r w:rsidRPr="000A35C2">
              <w:t>At least one occasion</w:t>
            </w:r>
          </w:p>
        </w:tc>
        <w:tc>
          <w:tcPr>
            <w:tcW w:w="3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5C2" w:rsidP="000A35C2">
            <w:pPr>
              <w:pStyle w:val="BodyText"/>
            </w:pPr>
            <w:r w:rsidRPr="000A35C2">
              <w:t>Deal with an unplanned event by drawing on essential knowledge and associated skills to provide appropriate solutions incorporated in the holistic assessment with</w:t>
            </w:r>
            <w:r w:rsidRPr="000A35C2">
              <w:t xml:space="preserve"> the above listed items</w:t>
            </w:r>
          </w:p>
        </w:tc>
      </w:tr>
    </w:tbl>
    <w:p w:rsidR="00000000" w:rsidRPr="000A35C2" w:rsidP="000A35C2">
      <w:pPr>
        <w:pStyle w:val="BodyText"/>
      </w:pPr>
    </w:p>
    <w:tbl>
      <w:tblPr>
        <w:tblW w:w="0" w:type="auto"/>
        <w:tblLayout w:type="fixed"/>
        <w:tblCellMar>
          <w:left w:w="62" w:type="dxa"/>
          <w:right w:w="62" w:type="dxa"/>
        </w:tblCellMar>
        <w:tblLook w:val="0000"/>
      </w:tblPr>
      <w:tblGrid>
        <w:gridCol w:w="1828"/>
        <w:gridCol w:w="6452"/>
      </w:tblGrid>
      <w:tr w:rsidTr="000A35C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 xml:space="preserve">Context of and specific resources </w:t>
            </w:r>
            <w:r w:rsidRPr="000A35C2">
              <w:rPr>
                <w:rStyle w:val="SpecialBold"/>
              </w:rPr>
              <w:t>for assessment</w:t>
            </w:r>
          </w:p>
        </w:tc>
        <w:tc>
          <w:tcPr>
            <w:tcW w:w="645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8.3)</w:t>
            </w:r>
          </w:p>
        </w:tc>
      </w:tr>
      <w:tr w:rsidTr="000A35C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This unit should be assessed as it relates to normal work practice using procedures, information and resources typical of a workplace. This should include:</w:t>
            </w:r>
          </w:p>
        </w:tc>
      </w:tr>
      <w:tr w:rsidTr="000A35C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p>
        </w:tc>
        <w:tc>
          <w:tcPr>
            <w:tcW w:w="6452" w:type="dxa"/>
            <w:tcBorders>
              <w:top w:val="nil"/>
              <w:left w:val="nil"/>
              <w:bottom w:val="nil"/>
              <w:right w:val="nil"/>
            </w:tcBorders>
            <w:tcMar>
              <w:top w:w="0" w:type="dxa"/>
              <w:left w:w="62" w:type="dxa"/>
              <w:bottom w:w="0" w:type="dxa"/>
              <w:right w:w="62" w:type="dxa"/>
            </w:tcMar>
          </w:tcPr>
          <w:p w:rsidR="00000000" w:rsidP="000A35C2">
            <w:pPr>
              <w:pStyle w:val="ListBullet"/>
              <w:rPr>
                <w:lang w:val="en-NZ"/>
              </w:rPr>
            </w:pPr>
            <w:r w:rsidRPr="000A35C2">
              <w:t>WHS/OHS policy and work procedures and instructions.</w:t>
            </w:r>
          </w:p>
        </w:tc>
      </w:tr>
      <w:tr w:rsidTr="000A35C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p>
        </w:tc>
        <w:tc>
          <w:tcPr>
            <w:tcW w:w="6452" w:type="dxa"/>
            <w:tcBorders>
              <w:top w:val="nil"/>
              <w:left w:val="nil"/>
              <w:bottom w:val="nil"/>
              <w:right w:val="nil"/>
            </w:tcBorders>
            <w:tcMar>
              <w:top w:w="0" w:type="dxa"/>
              <w:left w:w="62" w:type="dxa"/>
              <w:bottom w:w="0" w:type="dxa"/>
              <w:right w:w="62" w:type="dxa"/>
            </w:tcMar>
          </w:tcPr>
          <w:p w:rsidR="00000000" w:rsidP="000A35C2">
            <w:pPr>
              <w:pStyle w:val="ListBullet"/>
              <w:rPr>
                <w:lang w:val="en-NZ"/>
              </w:rPr>
            </w:pPr>
            <w:r w:rsidRPr="000A35C2">
              <w:t>Suitable work environment, facilities, equipment and materials to undertake actual work as prescribed by this Unit.</w:t>
            </w:r>
          </w:p>
        </w:tc>
      </w:tr>
      <w:tr w:rsidTr="000A35C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p>
        </w:tc>
        <w:tc>
          <w:tcPr>
            <w:tcW w:w="6452" w:type="dxa"/>
            <w:tcBorders>
              <w:top w:val="nil"/>
              <w:left w:val="nil"/>
              <w:bottom w:val="nil"/>
              <w:right w:val="nil"/>
            </w:tcBorders>
            <w:tcMar>
              <w:top w:w="0" w:type="dxa"/>
              <w:left w:w="62" w:type="dxa"/>
              <w:bottom w:w="0" w:type="dxa"/>
              <w:right w:w="62" w:type="dxa"/>
            </w:tcMar>
          </w:tcPr>
          <w:p w:rsidR="00000000" w:rsidP="000A35C2">
            <w:pPr>
              <w:pStyle w:val="ListBullet"/>
              <w:rPr>
                <w:lang w:val="en-NZ"/>
              </w:rPr>
            </w:pPr>
            <w:r w:rsidRPr="000A35C2">
              <w:t>Appropriate environmental regulation and work practices.</w:t>
            </w:r>
          </w:p>
        </w:tc>
      </w:tr>
      <w:tr w:rsidTr="000A35C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p>
        </w:tc>
        <w:tc>
          <w:tcPr>
            <w:tcW w:w="6452" w:type="dxa"/>
            <w:tcBorders>
              <w:top w:val="nil"/>
              <w:left w:val="nil"/>
              <w:bottom w:val="nil"/>
              <w:right w:val="nil"/>
            </w:tcBorders>
            <w:tcMar>
              <w:top w:w="0" w:type="dxa"/>
              <w:left w:w="62" w:type="dxa"/>
              <w:bottom w:w="0" w:type="dxa"/>
              <w:right w:w="62" w:type="dxa"/>
            </w:tcMar>
          </w:tcPr>
          <w:p w:rsidR="00000000" w:rsidP="000A35C2">
            <w:pPr>
              <w:pStyle w:val="ListBullet"/>
              <w:rPr>
                <w:lang w:val="en-NZ"/>
              </w:rPr>
            </w:pPr>
            <w:r w:rsidRPr="000A35C2">
              <w:t>Appropriate organisat</w:t>
            </w:r>
            <w:r w:rsidRPr="000A35C2">
              <w:t>ional requirements.</w:t>
            </w:r>
          </w:p>
        </w:tc>
      </w:tr>
      <w:tr w:rsidTr="000A35C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p>
        </w:tc>
        <w:tc>
          <w:tcPr>
            <w:tcW w:w="6452" w:type="dxa"/>
            <w:tcBorders>
              <w:top w:val="nil"/>
              <w:left w:val="nil"/>
              <w:bottom w:val="nil"/>
              <w:right w:val="nil"/>
            </w:tcBorders>
            <w:tcMar>
              <w:top w:w="0" w:type="dxa"/>
              <w:left w:w="62" w:type="dxa"/>
              <w:bottom w:w="0" w:type="dxa"/>
              <w:right w:w="62" w:type="dxa"/>
            </w:tcMar>
          </w:tcPr>
          <w:p w:rsidR="00000000" w:rsidP="000A35C2">
            <w:pPr>
              <w:pStyle w:val="ListBullet"/>
              <w:rPr>
                <w:lang w:val="en-NZ"/>
              </w:rPr>
            </w:pPr>
            <w:r w:rsidRPr="000A35C2">
              <w:t>Appropriate work environment, equipment and tools.</w:t>
            </w:r>
          </w:p>
        </w:tc>
      </w:tr>
      <w:tr w:rsidTr="000A35C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In addition to the resources listed above in context of and specific resources for assessment, evidence should show demonstrated competency in maintaining pipeline easements.</w:t>
            </w:r>
          </w:p>
        </w:tc>
      </w:tr>
      <w:tr w:rsidTr="000A35C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t>Assessment of this competency must also be undertaken in either an actual workplace or under a simulated work environment. Assessment must also integrate the employability skills.</w:t>
            </w:r>
          </w:p>
        </w:tc>
      </w:tr>
    </w:tbl>
    <w:p w:rsidR="00000000" w:rsidRPr="000A35C2" w:rsidP="000A35C2">
      <w:pPr>
        <w:pStyle w:val="BodyText"/>
      </w:pPr>
    </w:p>
    <w:tbl>
      <w:tblPr>
        <w:tblW w:w="0" w:type="auto"/>
        <w:tblLayout w:type="fixed"/>
        <w:tblCellMar>
          <w:left w:w="62" w:type="dxa"/>
          <w:right w:w="62" w:type="dxa"/>
        </w:tblCellMar>
        <w:tblLook w:val="0000"/>
      </w:tblPr>
      <w:tblGrid>
        <w:gridCol w:w="1828"/>
        <w:gridCol w:w="6570"/>
      </w:tblGrid>
      <w:tr w:rsidTr="000A35C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8.4)</w:t>
            </w:r>
          </w:p>
        </w:tc>
      </w:tr>
      <w:tr w:rsidTr="000A35C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This Unit shall be assessed by methods given in Volume 1, Part 3 ‘Assessment Guidelines’.</w:t>
            </w:r>
          </w:p>
        </w:tc>
      </w:tr>
      <w:tr w:rsidTr="000A35C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t>Note: Competent performance with inherent safe working practices is expected in the Industry to which this Unit applies. This requires that the specified Required S</w:t>
            </w:r>
            <w:r w:rsidRPr="000A35C2">
              <w:t xml:space="preserve">kills and Knowledge are assessed in a structured environment which is primarily intended for learning/assessment and incorporates all necessary equipment and facilities for learners to develop and demonstrate the Required Skills and Knowledge described in </w:t>
            </w:r>
            <w:r w:rsidRPr="000A35C2">
              <w:t>this unit.</w:t>
            </w:r>
          </w:p>
        </w:tc>
      </w:tr>
    </w:tbl>
    <w:p w:rsidR="00000000" w:rsidRPr="000A35C2" w:rsidP="000A35C2">
      <w:pPr>
        <w:pStyle w:val="BodyText"/>
      </w:pPr>
    </w:p>
    <w:tbl>
      <w:tblPr>
        <w:tblW w:w="0" w:type="auto"/>
        <w:tblLayout w:type="fixed"/>
        <w:tblCellMar>
          <w:left w:w="62" w:type="dxa"/>
          <w:right w:w="62" w:type="dxa"/>
        </w:tblCellMar>
        <w:tblLook w:val="0000"/>
      </w:tblPr>
      <w:tblGrid>
        <w:gridCol w:w="1828"/>
        <w:gridCol w:w="1858"/>
        <w:gridCol w:w="4774"/>
      </w:tblGrid>
      <w:tr w:rsidTr="000A35C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Concurrent assessment and relationship with other units</w:t>
            </w:r>
          </w:p>
        </w:tc>
        <w:tc>
          <w:tcPr>
            <w:tcW w:w="6632" w:type="dxa"/>
            <w:gridSpan w:val="2"/>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8.5)</w:t>
            </w:r>
          </w:p>
        </w:tc>
      </w:tr>
      <w:tr w:rsidTr="000A35C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2" w:type="dxa"/>
            <w:gridSpan w:val="2"/>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 xml:space="preserve">There are no recommended concurrent assessments with this unit, however in some cases efficiencies may be gained in terms of learning and assessment </w:t>
            </w:r>
            <w:r w:rsidRPr="000A35C2">
              <w:t>effort being concurrently managed with allied Units where listed.</w:t>
            </w:r>
          </w:p>
        </w:tc>
      </w:tr>
      <w:tr w:rsidTr="000A35C2">
        <w:tblPrEx>
          <w:tblW w:w="0" w:type="auto"/>
          <w:tblLayout w:type="fixed"/>
          <w:tblCellMar>
            <w:left w:w="62" w:type="dxa"/>
            <w:right w:w="62" w:type="dxa"/>
          </w:tblCellMar>
          <w:tblLook w:val="0000"/>
        </w:tblPrEx>
        <w:trPr>
          <w:trHeight w:val="831"/>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UEGNSG136A</w:t>
            </w:r>
          </w:p>
        </w:tc>
        <w:tc>
          <w:tcPr>
            <w:tcW w:w="4774"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Carry out transmission pipeline construction work activities</w:t>
            </w:r>
          </w:p>
        </w:tc>
      </w:tr>
      <w:tr w:rsidTr="000A35C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UEGNSG140A</w:t>
            </w:r>
          </w:p>
        </w:tc>
        <w:tc>
          <w:tcPr>
            <w:tcW w:w="4774"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Apply with environmental policies and procedures in the utilities industry</w:t>
            </w:r>
          </w:p>
        </w:tc>
      </w:tr>
      <w:tr w:rsidTr="000A35C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UEGNSG134A</w:t>
            </w:r>
          </w:p>
        </w:tc>
        <w:tc>
          <w:tcPr>
            <w:tcW w:w="4774"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t>Establish a utilities infrastructure work site</w:t>
            </w:r>
          </w:p>
        </w:tc>
      </w:tr>
    </w:tbl>
    <w:p w:rsidR="00CF0BC5" w:rsidP="000A35C2">
      <w:pPr>
        <w:pStyle w:val="BodyText"/>
      </w:pPr>
    </w:p>
    <w:p w:rsidR="00CF0BC5" w:rsidP="000A35C2">
      <w:pPr>
        <w:pStyle w:val="BodyText"/>
      </w:pPr>
    </w:p>
    <w:p w:rsidR="00000000" w:rsidRPr="000A35C2" w:rsidP="000A35C2">
      <w:pPr>
        <w:pStyle w:val="Heading1"/>
      </w:pPr>
      <w:bookmarkStart w:id="11" w:name="O_579043"/>
      <w:bookmarkEnd w:id="11"/>
      <w:r w:rsidRPr="000A35C2">
        <w:t>Range Statement</w:t>
      </w:r>
    </w:p>
    <w:tbl>
      <w:tblPr>
        <w:tblW w:w="0" w:type="auto"/>
        <w:tblLayout w:type="fixed"/>
        <w:tblCellMar>
          <w:left w:w="62" w:type="dxa"/>
          <w:right w:w="62" w:type="dxa"/>
        </w:tblCellMar>
        <w:tblLook w:val="0000"/>
      </w:tblPr>
      <w:tblGrid>
        <w:gridCol w:w="8398"/>
      </w:tblGrid>
      <w:tr w:rsidTr="000A35C2">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RANGE STATEMENT</w:t>
            </w:r>
          </w:p>
        </w:tc>
      </w:tr>
      <w:tr w:rsidTr="000A35C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9)</w:t>
            </w:r>
            <w:r w:rsidRPr="000A35C2">
              <w:t xml:space="preserve"> </w:t>
            </w:r>
            <w:r w:rsidRPr="000A35C2">
              <w:rPr>
                <w:rStyle w:val="Emphasis"/>
              </w:rPr>
              <w:t xml:space="preserve">This relates to the competency standard unit as a whole providing the range of contexts and </w:t>
            </w:r>
            <w:r w:rsidRPr="000A35C2">
              <w:rPr>
                <w:rStyle w:val="Emphasis"/>
              </w:rPr>
              <w:t>conditions to which the Performance Criteria apply. It allows for different work environments and situations that will affect performance.</w:t>
            </w:r>
          </w:p>
        </w:tc>
      </w:tr>
      <w:tr w:rsidTr="000A35C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This unit shall be demonstrated in relation hydro-testing on gas transmission pipelines construction worksites in ac</w:t>
            </w:r>
            <w:r w:rsidRPr="000A35C2">
              <w:t>cordance with relevant legislation, regulation, codes and procedures autonomously on at least two occasions. This includes the use of includes Fill and Squeeze Pumps, Pressure Pumps, Break Tanks, Victullic Piping, Dead Weight Tester, Temperature Probes, Te</w:t>
            </w:r>
            <w:r w:rsidRPr="000A35C2">
              <w:t>st Shack, Gauges, Compressors, Data Collectors, Test Headers, Cleaning Headers, Gauging Plate, Drying Plant, After Cooler, Pig, Chart Recorder, Generator, Lighting Towers</w:t>
            </w:r>
          </w:p>
        </w:tc>
      </w:tr>
      <w:tr w:rsidTr="000A35C2">
        <w:tblPrEx>
          <w:tblW w:w="0" w:type="auto"/>
          <w:tblLayout w:type="fixed"/>
          <w:tblCellMar>
            <w:left w:w="62" w:type="dxa"/>
            <w:right w:w="62" w:type="dxa"/>
          </w:tblCellMar>
          <w:tblLook w:val="0000"/>
        </w:tblPrEx>
        <w:trPr>
          <w:trHeight w:val="843"/>
        </w:trPr>
        <w:tc>
          <w:tcPr>
            <w:tcW w:w="8398"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t>The following constants and variables included in the element/Performance Criteria i</w:t>
            </w:r>
            <w:r w:rsidRPr="000A35C2">
              <w:t xml:space="preserve">n this unit are fully described in the Definitions Section of this volume and form an integral part of the Range Statement of this unit: </w:t>
            </w:r>
          </w:p>
        </w:tc>
      </w:tr>
      <w:tr w:rsidTr="000A35C2">
        <w:tblPrEx>
          <w:tblW w:w="0" w:type="auto"/>
          <w:tblLayout w:type="fixed"/>
          <w:tblCellMar>
            <w:left w:w="62" w:type="dxa"/>
            <w:right w:w="62" w:type="dxa"/>
          </w:tblCellMar>
          <w:tblLook w:val="0000"/>
        </w:tblPrEx>
        <w:trPr>
          <w:trHeight w:val="6562"/>
        </w:trPr>
        <w:tc>
          <w:tcPr>
            <w:tcW w:w="8398" w:type="dxa"/>
            <w:tcBorders>
              <w:top w:val="nil"/>
              <w:left w:val="nil"/>
              <w:bottom w:val="nil"/>
              <w:right w:val="nil"/>
            </w:tcBorders>
            <w:tcMar>
              <w:top w:w="0" w:type="dxa"/>
              <w:left w:w="62" w:type="dxa"/>
              <w:bottom w:w="0" w:type="dxa"/>
              <w:right w:w="62" w:type="dxa"/>
            </w:tcMar>
          </w:tcPr>
          <w:p w:rsidR="00000000" w:rsidRPr="000A35C2" w:rsidP="000A35C2">
            <w:pPr>
              <w:pStyle w:val="ListBullet"/>
            </w:pPr>
            <w:r w:rsidRPr="000A35C2">
              <w:t>Crane Truck</w:t>
            </w:r>
          </w:p>
          <w:p w:rsidR="00000000" w:rsidRPr="000A35C2" w:rsidP="000A35C2">
            <w:pPr>
              <w:pStyle w:val="ListBullet"/>
            </w:pPr>
            <w:r w:rsidRPr="000A35C2">
              <w:t>Side Boom</w:t>
            </w:r>
          </w:p>
          <w:p w:rsidR="00000000" w:rsidRPr="000A35C2" w:rsidP="000A35C2">
            <w:pPr>
              <w:pStyle w:val="ListBullet"/>
            </w:pPr>
            <w:r w:rsidRPr="000A35C2">
              <w:t>Rough Terrain Crane</w:t>
            </w:r>
          </w:p>
          <w:p w:rsidR="00000000" w:rsidRPr="000A35C2" w:rsidP="000A35C2">
            <w:pPr>
              <w:pStyle w:val="ListBullet"/>
            </w:pPr>
            <w:r w:rsidRPr="000A35C2">
              <w:t>Fill and Squeeze Pumps</w:t>
            </w:r>
          </w:p>
          <w:p w:rsidR="00000000" w:rsidRPr="000A35C2" w:rsidP="000A35C2">
            <w:pPr>
              <w:pStyle w:val="ListBullet"/>
            </w:pPr>
            <w:r w:rsidRPr="000A35C2">
              <w:t>Break Tanks</w:t>
            </w:r>
          </w:p>
          <w:p w:rsidR="00000000" w:rsidRPr="000A35C2" w:rsidP="000A35C2">
            <w:pPr>
              <w:pStyle w:val="ListBullet"/>
            </w:pPr>
            <w:r w:rsidRPr="000A35C2">
              <w:t>Victullic Piping</w:t>
            </w:r>
          </w:p>
          <w:p w:rsidR="00000000" w:rsidRPr="000A35C2" w:rsidP="000A35C2">
            <w:pPr>
              <w:pStyle w:val="ListBullet"/>
            </w:pPr>
            <w:r w:rsidRPr="000A35C2">
              <w:t>Dead Weight Tester</w:t>
            </w:r>
          </w:p>
          <w:p w:rsidR="00000000" w:rsidRPr="000A35C2" w:rsidP="000A35C2">
            <w:pPr>
              <w:pStyle w:val="ListBullet"/>
            </w:pPr>
            <w:r w:rsidRPr="000A35C2">
              <w:t>Temperature Probes</w:t>
            </w:r>
          </w:p>
          <w:p w:rsidR="00000000" w:rsidRPr="000A35C2" w:rsidP="000A35C2">
            <w:pPr>
              <w:pStyle w:val="ListBullet"/>
            </w:pPr>
            <w:r w:rsidRPr="000A35C2">
              <w:t>Test Shack</w:t>
            </w:r>
          </w:p>
          <w:p w:rsidR="00000000" w:rsidRPr="000A35C2" w:rsidP="000A35C2">
            <w:pPr>
              <w:pStyle w:val="ListBullet"/>
            </w:pPr>
            <w:r w:rsidRPr="000A35C2">
              <w:t>Gauges</w:t>
            </w:r>
          </w:p>
          <w:p w:rsidR="00000000" w:rsidRPr="000A35C2" w:rsidP="000A35C2">
            <w:pPr>
              <w:pStyle w:val="ListBullet"/>
            </w:pPr>
            <w:r w:rsidRPr="000A35C2">
              <w:t>Compressor</w:t>
            </w:r>
          </w:p>
          <w:p w:rsidR="00000000" w:rsidRPr="000A35C2" w:rsidP="000A35C2">
            <w:pPr>
              <w:pStyle w:val="ListBullet"/>
            </w:pPr>
            <w:r w:rsidRPr="000A35C2">
              <w:t>Data Collectors</w:t>
            </w:r>
          </w:p>
          <w:p w:rsidR="00000000" w:rsidRPr="000A35C2" w:rsidP="000A35C2">
            <w:pPr>
              <w:pStyle w:val="ListBullet"/>
            </w:pPr>
            <w:r w:rsidRPr="000A35C2">
              <w:t>Test Header</w:t>
            </w:r>
          </w:p>
          <w:p w:rsidR="00000000" w:rsidRPr="000A35C2" w:rsidP="000A35C2">
            <w:pPr>
              <w:pStyle w:val="ListBullet"/>
            </w:pPr>
            <w:r w:rsidRPr="000A35C2">
              <w:t>Cleaning Headers</w:t>
            </w:r>
          </w:p>
          <w:p w:rsidR="00000000" w:rsidRPr="000A35C2" w:rsidP="000A35C2">
            <w:pPr>
              <w:pStyle w:val="ListBullet"/>
            </w:pPr>
            <w:r w:rsidRPr="000A35C2">
              <w:t>Gauging Plate</w:t>
            </w:r>
          </w:p>
          <w:p w:rsidR="00000000" w:rsidRPr="000A35C2" w:rsidP="000A35C2">
            <w:pPr>
              <w:pStyle w:val="ListBullet"/>
            </w:pPr>
            <w:r w:rsidRPr="000A35C2">
              <w:t>Drying Plant</w:t>
            </w:r>
          </w:p>
          <w:p w:rsidR="00000000" w:rsidRPr="000A35C2" w:rsidP="000A35C2">
            <w:pPr>
              <w:pStyle w:val="ListBullet"/>
            </w:pPr>
            <w:r w:rsidRPr="000A35C2">
              <w:t>After Cooler</w:t>
            </w:r>
          </w:p>
          <w:p w:rsidR="00000000" w:rsidRPr="000A35C2" w:rsidP="000A35C2">
            <w:pPr>
              <w:pStyle w:val="ListBullet"/>
            </w:pPr>
            <w:r w:rsidRPr="000A35C2">
              <w:t>Pig</w:t>
            </w:r>
          </w:p>
          <w:p w:rsidR="00000000" w:rsidRPr="000A35C2" w:rsidP="000A35C2">
            <w:pPr>
              <w:pStyle w:val="ListBullet"/>
            </w:pPr>
            <w:r w:rsidRPr="000A35C2">
              <w:t>Chart Recorder</w:t>
            </w:r>
          </w:p>
          <w:p w:rsidR="00000000" w:rsidRPr="000A35C2" w:rsidP="000A35C2">
            <w:pPr>
              <w:pStyle w:val="ListBullet"/>
            </w:pPr>
            <w:r w:rsidRPr="000A35C2">
              <w:t>Generator</w:t>
            </w:r>
          </w:p>
          <w:p w:rsidR="00000000" w:rsidRPr="000A35C2" w:rsidP="000A35C2">
            <w:pPr>
              <w:pStyle w:val="ListBullet"/>
            </w:pPr>
            <w:r w:rsidRPr="000A35C2">
              <w:t>Lighting Towers</w:t>
            </w:r>
          </w:p>
        </w:tc>
      </w:tr>
    </w:tbl>
    <w:p w:rsidR="00CF0BC5" w:rsidP="000A35C2">
      <w:pPr>
        <w:pStyle w:val="BodyText"/>
      </w:pPr>
    </w:p>
    <w:p w:rsidR="00CF0BC5" w:rsidP="000A35C2">
      <w:pPr>
        <w:pStyle w:val="BodyText"/>
      </w:pPr>
    </w:p>
    <w:p w:rsidR="00000000" w:rsidRPr="000A35C2" w:rsidP="000A35C2">
      <w:pPr>
        <w:pStyle w:val="Heading1"/>
      </w:pPr>
      <w:bookmarkStart w:id="12" w:name="O_579044"/>
      <w:bookmarkEnd w:id="12"/>
      <w:r w:rsidRPr="000A35C2">
        <w:t>Unit Sector(s)</w:t>
      </w:r>
    </w:p>
    <w:p w:rsidR="00000000" w:rsidRPr="000A35C2" w:rsidP="000A35C2">
      <w:pPr>
        <w:pStyle w:val="BodyText"/>
      </w:pPr>
      <w:r w:rsidRPr="000A35C2">
        <w:t>Gas Industry</w:t>
      </w:r>
    </w:p>
    <w:p w:rsidR="00000000" w:rsidRPr="000A35C2" w:rsidP="000A35C2">
      <w:pPr>
        <w:pStyle w:val="AllowPageBreak"/>
      </w:pPr>
    </w:p>
    <w:p w:rsidR="00000000" w:rsidRPr="000A35C2" w:rsidP="000A35C2">
      <w:pPr>
        <w:pStyle w:val="Heading1"/>
      </w:pPr>
      <w:bookmarkStart w:id="13" w:name="O_579045"/>
      <w:bookmarkEnd w:id="13"/>
      <w:r w:rsidRPr="000A35C2">
        <w:t>Competency Field</w:t>
      </w:r>
    </w:p>
    <w:tbl>
      <w:tblPr>
        <w:tblW w:w="0" w:type="auto"/>
        <w:tblLayout w:type="fixed"/>
        <w:tblCellMar>
          <w:left w:w="62" w:type="dxa"/>
          <w:right w:w="62" w:type="dxa"/>
        </w:tblCellMar>
        <w:tblLook w:val="0000"/>
      </w:tblPr>
      <w:tblGrid>
        <w:gridCol w:w="2576"/>
        <w:gridCol w:w="5760"/>
      </w:tblGrid>
      <w:tr w:rsidTr="000A35C2">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A35C2">
            <w:pPr>
              <w:pStyle w:val="BodyText"/>
              <w:rPr>
                <w:lang w:val="en-NZ"/>
              </w:rPr>
            </w:pPr>
            <w:r w:rsidRPr="000A35C2">
              <w:rPr>
                <w:rStyle w:val="SpecialBold"/>
              </w:rPr>
              <w:t xml:space="preserve">11) </w:t>
            </w:r>
          </w:p>
        </w:tc>
      </w:tr>
      <w:tr w:rsidTr="000A35C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35C2" w:rsidP="000A35C2">
            <w:pPr>
              <w:pStyle w:val="BodyText"/>
            </w:pPr>
            <w:r w:rsidRPr="000A35C2">
              <w:t>Transmission discipline.</w:t>
            </w:r>
          </w:p>
        </w:tc>
      </w:tr>
    </w:tbl>
    <w:p w:rsidR="00CF0BC5" w:rsidP="000A35C2">
      <w:pPr>
        <w:pStyle w:val="BodyText"/>
      </w:pPr>
    </w:p>
    <w:p w:rsidR="00CF0BC5" w:rsidP="000A35C2">
      <w:pPr>
        <w:pStyle w:val="BodyText"/>
      </w:pPr>
    </w:p>
    <w:p w:rsidR="00000000" w:rsidRPr="000A35C2" w:rsidP="000A35C2"/>
    <w:sectPr w:rsidSect="000A35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C2" w:rsidRPr="00CF0BC5" w:rsidP="00CF0B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C5" w:rsidP="000A35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CF0BC5" w:rsidP="000A35C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CF0BC5" w:rsidP="000A35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C2" w:rsidRPr="00CF0BC5" w:rsidP="00CF0B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C5" w:rsidRPr="002D2AF8" w:rsidP="000A35C2">
    <w:pPr>
      <w:pStyle w:val="Header"/>
      <w:framePr w:wrap="around"/>
    </w:pPr>
    <w:r>
      <w:fldChar w:fldCharType="begin"/>
    </w:r>
    <w:r>
      <w:instrText xml:space="preserve"> TITLE   \* MERGEFORMAT </w:instrText>
    </w:r>
    <w:r>
      <w:fldChar w:fldCharType="separate"/>
    </w:r>
    <w:r>
      <w:t>UEGNSG332A Undertake hydro-testing for transmission pipeline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CF0BC5" w:rsidP="000A35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8040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0E14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8A9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5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35C2"/>
    <w:pPr>
      <w:spacing w:before="360" w:after="60"/>
      <w:outlineLvl w:val="0"/>
    </w:pPr>
    <w:rPr>
      <w:sz w:val="32"/>
    </w:rPr>
  </w:style>
  <w:style w:type="paragraph" w:styleId="Heading2">
    <w:name w:val="heading 2"/>
    <w:basedOn w:val="HeadingBase"/>
    <w:next w:val="BodyText"/>
    <w:link w:val="Heading2Char"/>
    <w:qFormat/>
    <w:rsid w:val="000A35C2"/>
    <w:pPr>
      <w:keepLines/>
      <w:spacing w:before="240" w:after="120"/>
      <w:outlineLvl w:val="1"/>
    </w:pPr>
    <w:rPr>
      <w:sz w:val="28"/>
      <w:szCs w:val="40"/>
    </w:rPr>
  </w:style>
  <w:style w:type="paragraph" w:styleId="Heading3">
    <w:name w:val="heading 3"/>
    <w:basedOn w:val="HeadingBase"/>
    <w:next w:val="BodyText"/>
    <w:link w:val="Heading3Char"/>
    <w:qFormat/>
    <w:rsid w:val="000A35C2"/>
    <w:pPr>
      <w:spacing w:before="180" w:after="120"/>
      <w:outlineLvl w:val="2"/>
    </w:pPr>
    <w:rPr>
      <w:spacing w:val="-10"/>
      <w:kern w:val="32"/>
    </w:rPr>
  </w:style>
  <w:style w:type="paragraph" w:styleId="Heading4">
    <w:name w:val="heading 4"/>
    <w:basedOn w:val="HeadingBase"/>
    <w:next w:val="BodyText"/>
    <w:link w:val="Heading4Char"/>
    <w:qFormat/>
    <w:rsid w:val="000A35C2"/>
    <w:pPr>
      <w:spacing w:before="160" w:after="120"/>
      <w:outlineLvl w:val="3"/>
    </w:pPr>
    <w:rPr>
      <w:sz w:val="22"/>
    </w:rPr>
  </w:style>
  <w:style w:type="paragraph" w:styleId="Heading5">
    <w:name w:val="heading 5"/>
    <w:basedOn w:val="HeadingBase"/>
    <w:next w:val="Normal"/>
    <w:link w:val="Heading5Char"/>
    <w:qFormat/>
    <w:rsid w:val="000A35C2"/>
    <w:pPr>
      <w:spacing w:before="80"/>
      <w:outlineLvl w:val="4"/>
    </w:pPr>
    <w:rPr>
      <w:color w:val="918585"/>
      <w:sz w:val="20"/>
    </w:rPr>
  </w:style>
  <w:style w:type="paragraph" w:styleId="Heading6">
    <w:name w:val="heading 6"/>
    <w:basedOn w:val="HeadingBase"/>
    <w:next w:val="Normal"/>
    <w:link w:val="Heading6Char"/>
    <w:qFormat/>
    <w:rsid w:val="000A35C2"/>
    <w:pPr>
      <w:spacing w:before="60"/>
      <w:outlineLvl w:val="5"/>
    </w:pPr>
    <w:rPr>
      <w:color w:val="918585"/>
      <w:sz w:val="20"/>
    </w:rPr>
  </w:style>
  <w:style w:type="paragraph" w:styleId="Heading7">
    <w:name w:val="heading 7"/>
    <w:basedOn w:val="Normal"/>
    <w:next w:val="Normal"/>
    <w:link w:val="Heading7Char"/>
    <w:qFormat/>
    <w:rsid w:val="000A35C2"/>
    <w:pPr>
      <w:ind w:left="720"/>
      <w:outlineLvl w:val="6"/>
    </w:pPr>
    <w:rPr>
      <w:i/>
    </w:rPr>
  </w:style>
  <w:style w:type="paragraph" w:styleId="Heading8">
    <w:name w:val="heading 8"/>
    <w:basedOn w:val="Normal"/>
    <w:next w:val="Normal"/>
    <w:link w:val="Heading8Char"/>
    <w:qFormat/>
    <w:rsid w:val="000A35C2"/>
    <w:pPr>
      <w:ind w:left="720"/>
      <w:outlineLvl w:val="7"/>
    </w:pPr>
    <w:rPr>
      <w:i/>
    </w:rPr>
  </w:style>
  <w:style w:type="paragraph" w:styleId="Heading9">
    <w:name w:val="heading 9"/>
    <w:basedOn w:val="Normal"/>
    <w:next w:val="Normal"/>
    <w:link w:val="Heading9Char"/>
    <w:qFormat/>
    <w:rsid w:val="000A35C2"/>
    <w:pPr>
      <w:ind w:left="720"/>
      <w:outlineLvl w:val="8"/>
    </w:pPr>
    <w:rPr>
      <w:i/>
    </w:rPr>
  </w:style>
  <w:style w:type="character" w:default="1" w:styleId="DefaultParagraphFont">
    <w:name w:val="Default Paragraph Font"/>
    <w:uiPriority w:val="1"/>
    <w:unhideWhenUsed/>
    <w:rsid w:val="000A35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35C2"/>
  </w:style>
  <w:style w:type="character" w:customStyle="1" w:styleId="Heading1Char">
    <w:name w:val="Heading 1 Char"/>
    <w:basedOn w:val="DefaultParagraphFont"/>
    <w:link w:val="Heading1"/>
    <w:rsid w:val="000A35C2"/>
    <w:rPr>
      <w:rFonts w:ascii="Times New Roman" w:eastAsia="Times New Roman" w:hAnsi="Times New Roman" w:cs="Times New Roman"/>
      <w:b/>
      <w:sz w:val="32"/>
      <w:szCs w:val="20"/>
      <w:lang w:eastAsia="en-US"/>
    </w:rPr>
  </w:style>
  <w:style w:type="paragraph" w:styleId="BodyText">
    <w:name w:val="Body Text"/>
    <w:basedOn w:val="Normal"/>
    <w:link w:val="BodyTextChar"/>
    <w:rsid w:val="000A35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35C2"/>
    <w:rPr>
      <w:rFonts w:ascii="Times New Roman" w:eastAsia="Times New Roman" w:hAnsi="Times New Roman" w:cs="Times New Roman"/>
      <w:sz w:val="24"/>
      <w:lang w:eastAsia="en-US"/>
    </w:rPr>
  </w:style>
  <w:style w:type="paragraph" w:styleId="ListBullet">
    <w:name w:val="List Bullet"/>
    <w:basedOn w:val="List"/>
    <w:rsid w:val="000A35C2"/>
    <w:pPr>
      <w:numPr>
        <w:numId w:val="13"/>
      </w:numPr>
      <w:tabs>
        <w:tab w:val="clear" w:pos="340"/>
      </w:tabs>
      <w:spacing w:before="40" w:after="40"/>
    </w:pPr>
  </w:style>
  <w:style w:type="character" w:customStyle="1" w:styleId="SpecialBold">
    <w:name w:val="Special Bold"/>
    <w:basedOn w:val="DefaultParagraphFont"/>
    <w:rsid w:val="000A35C2"/>
    <w:rPr>
      <w:b/>
      <w:spacing w:val="0"/>
    </w:rPr>
  </w:style>
  <w:style w:type="paragraph" w:styleId="ListBullet2">
    <w:name w:val="List Bullet 2"/>
    <w:basedOn w:val="List2"/>
    <w:rsid w:val="000A35C2"/>
    <w:pPr>
      <w:numPr>
        <w:numId w:val="14"/>
      </w:numPr>
      <w:tabs>
        <w:tab w:val="clear" w:pos="680"/>
      </w:tabs>
    </w:pPr>
  </w:style>
  <w:style w:type="character" w:styleId="Emphasis">
    <w:name w:val="Emphasis"/>
    <w:basedOn w:val="DefaultParagraphFont"/>
    <w:qFormat/>
    <w:rsid w:val="000A35C2"/>
    <w:rPr>
      <w:i/>
    </w:rPr>
  </w:style>
  <w:style w:type="paragraph" w:customStyle="1" w:styleId="SuperHeading">
    <w:name w:val="SuperHeading"/>
    <w:basedOn w:val="Normal"/>
    <w:rsid w:val="000A35C2"/>
    <w:pPr>
      <w:spacing w:before="240" w:after="120"/>
      <w:outlineLvl w:val="0"/>
    </w:pPr>
    <w:rPr>
      <w:rFonts w:ascii="Times New Roman" w:hAnsi="Times New Roman"/>
      <w:b/>
      <w:sz w:val="32"/>
    </w:rPr>
  </w:style>
  <w:style w:type="paragraph" w:customStyle="1" w:styleId="AllowPageBreak">
    <w:name w:val="AllowPageBreak"/>
    <w:rsid w:val="000A35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35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35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35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35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35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35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35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35C2"/>
    <w:rPr>
      <w:rFonts w:ascii="Courier New" w:eastAsia="Times New Roman" w:hAnsi="Courier New" w:cs="Times New Roman"/>
      <w:i/>
      <w:szCs w:val="20"/>
      <w:lang w:eastAsia="en-US"/>
    </w:rPr>
  </w:style>
  <w:style w:type="paragraph" w:customStyle="1" w:styleId="HeadingBase">
    <w:name w:val="Heading Base"/>
    <w:rsid w:val="000A35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35C2"/>
    <w:pPr>
      <w:tabs>
        <w:tab w:val="right" w:leader="dot" w:pos="9072"/>
      </w:tabs>
      <w:ind w:left="567"/>
    </w:pPr>
    <w:rPr>
      <w:szCs w:val="22"/>
    </w:rPr>
  </w:style>
  <w:style w:type="paragraph" w:customStyle="1" w:styleId="TOCBase">
    <w:name w:val="TOC Base"/>
    <w:rsid w:val="000A35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35C2"/>
    <w:pPr>
      <w:tabs>
        <w:tab w:val="right" w:leader="dot" w:pos="9072"/>
      </w:tabs>
      <w:spacing w:before="40" w:after="40"/>
      <w:ind w:left="284"/>
    </w:pPr>
    <w:rPr>
      <w:rFonts w:ascii="Times New Roman" w:hAnsi="Times New Roman"/>
    </w:rPr>
  </w:style>
  <w:style w:type="paragraph" w:styleId="TOC1">
    <w:name w:val="toc 1"/>
    <w:basedOn w:val="TOCBase"/>
    <w:next w:val="Normal"/>
    <w:rsid w:val="000A35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35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35C2"/>
    <w:rPr>
      <w:rFonts w:ascii="Times New Roman" w:eastAsia="Times New Roman" w:hAnsi="Times New Roman" w:cs="Times New Roman"/>
      <w:sz w:val="16"/>
      <w:lang w:eastAsia="en-US"/>
    </w:rPr>
  </w:style>
  <w:style w:type="paragraph" w:styleId="Title">
    <w:name w:val="Title"/>
    <w:basedOn w:val="HeadingBase"/>
    <w:link w:val="TitleChar"/>
    <w:qFormat/>
    <w:rsid w:val="000A35C2"/>
    <w:pPr>
      <w:spacing w:before="5040"/>
      <w:jc w:val="center"/>
    </w:pPr>
    <w:rPr>
      <w:sz w:val="48"/>
      <w:szCs w:val="72"/>
      <w:lang w:val="en-US"/>
    </w:rPr>
  </w:style>
  <w:style w:type="character" w:customStyle="1" w:styleId="TitleChar">
    <w:name w:val="Title Char"/>
    <w:basedOn w:val="DefaultParagraphFont"/>
    <w:link w:val="Title"/>
    <w:rsid w:val="000A35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35C2"/>
    <w:pPr>
      <w:tabs>
        <w:tab w:val="left" w:pos="3600"/>
        <w:tab w:val="left" w:pos="3958"/>
      </w:tabs>
    </w:pPr>
  </w:style>
  <w:style w:type="paragraph" w:styleId="List">
    <w:name w:val="List"/>
    <w:basedOn w:val="BodyText"/>
    <w:next w:val="BodyText"/>
    <w:rsid w:val="000A35C2"/>
    <w:pPr>
      <w:tabs>
        <w:tab w:val="left" w:pos="340"/>
      </w:tabs>
      <w:spacing w:before="60" w:after="60"/>
      <w:ind w:left="340" w:hanging="340"/>
    </w:pPr>
  </w:style>
  <w:style w:type="paragraph" w:customStyle="1" w:styleId="Note">
    <w:name w:val="Note"/>
    <w:basedOn w:val="BodyText"/>
    <w:rsid w:val="000A35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35C2"/>
    <w:pPr>
      <w:framePr w:wrap="auto" w:hAnchor="text" w:y="6049"/>
    </w:pPr>
    <w:rPr>
      <w:color w:val="000000"/>
      <w:sz w:val="40"/>
    </w:rPr>
  </w:style>
  <w:style w:type="paragraph" w:customStyle="1" w:styleId="TOCTitle">
    <w:name w:val="TOCTitle"/>
    <w:basedOn w:val="Heading1"/>
    <w:rsid w:val="000A35C2"/>
    <w:pPr>
      <w:spacing w:after="240"/>
      <w:jc w:val="center"/>
      <w:outlineLvl w:val="9"/>
    </w:pPr>
    <w:rPr>
      <w:caps/>
    </w:rPr>
  </w:style>
  <w:style w:type="paragraph" w:customStyle="1" w:styleId="Version">
    <w:name w:val="Version"/>
    <w:rsid w:val="000A35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35C2"/>
    <w:pPr>
      <w:keepNext w:val="0"/>
      <w:tabs>
        <w:tab w:val="right" w:pos="4176"/>
      </w:tabs>
      <w:ind w:left="198" w:hanging="198"/>
    </w:pPr>
    <w:rPr>
      <w:rFonts w:ascii="Garamond" w:hAnsi="Garamond"/>
    </w:rPr>
  </w:style>
  <w:style w:type="paragraph" w:styleId="IndexHeading">
    <w:name w:val="index heading"/>
    <w:basedOn w:val="Normal"/>
    <w:next w:val="Index1"/>
    <w:semiHidden/>
    <w:rsid w:val="000A35C2"/>
    <w:pPr>
      <w:spacing w:before="120" w:after="120"/>
    </w:pPr>
    <w:rPr>
      <w:rFonts w:ascii="Arial" w:hAnsi="Arial"/>
      <w:b/>
      <w:color w:val="918585"/>
      <w:sz w:val="24"/>
    </w:rPr>
  </w:style>
  <w:style w:type="paragraph" w:styleId="Header">
    <w:name w:val="header"/>
    <w:basedOn w:val="Normal"/>
    <w:link w:val="HeaderChar"/>
    <w:rsid w:val="000A35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35C2"/>
    <w:rPr>
      <w:rFonts w:ascii="Times New Roman" w:eastAsia="Times New Roman" w:hAnsi="Times New Roman" w:cs="Times New Roman"/>
      <w:sz w:val="16"/>
      <w:szCs w:val="20"/>
      <w:lang w:val="en-GB" w:eastAsia="en-US"/>
    </w:rPr>
  </w:style>
  <w:style w:type="paragraph" w:customStyle="1" w:styleId="Chapter">
    <w:name w:val="Chapter"/>
    <w:basedOn w:val="Normal"/>
    <w:rsid w:val="000A35C2"/>
    <w:pPr>
      <w:spacing w:before="240"/>
    </w:pPr>
    <w:rPr>
      <w:rFonts w:ascii="Times New Roman" w:hAnsi="Times New Roman"/>
      <w:smallCaps/>
      <w:spacing w:val="80"/>
      <w:sz w:val="28"/>
    </w:rPr>
  </w:style>
  <w:style w:type="paragraph" w:customStyle="1" w:styleId="InChapter">
    <w:name w:val="InChapter"/>
    <w:basedOn w:val="Heading3"/>
    <w:rsid w:val="000A35C2"/>
    <w:pPr>
      <w:spacing w:after="240"/>
      <w:outlineLvl w:val="9"/>
    </w:pPr>
    <w:rPr>
      <w:noProof/>
    </w:rPr>
  </w:style>
  <w:style w:type="paragraph" w:styleId="Index2">
    <w:name w:val="index 2"/>
    <w:basedOn w:val="Normal"/>
    <w:next w:val="Normal"/>
    <w:semiHidden/>
    <w:rsid w:val="000A35C2"/>
    <w:pPr>
      <w:tabs>
        <w:tab w:val="right" w:pos="4176"/>
      </w:tabs>
      <w:ind w:left="568" w:hanging="284"/>
    </w:pPr>
    <w:rPr>
      <w:rFonts w:ascii="Garamond" w:hAnsi="Garamond"/>
    </w:rPr>
  </w:style>
  <w:style w:type="paragraph" w:customStyle="1" w:styleId="Byline">
    <w:name w:val="Byline"/>
    <w:rsid w:val="000A35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35C2"/>
    <w:pPr>
      <w:tabs>
        <w:tab w:val="clear" w:pos="3600"/>
        <w:tab w:val="clear" w:pos="3958"/>
      </w:tabs>
      <w:jc w:val="right"/>
    </w:pPr>
  </w:style>
  <w:style w:type="paragraph" w:styleId="Caption">
    <w:name w:val="caption"/>
    <w:basedOn w:val="BodyText"/>
    <w:next w:val="Normal"/>
    <w:qFormat/>
    <w:rsid w:val="000A35C2"/>
    <w:pPr>
      <w:framePr w:w="2268" w:hSpace="181" w:vSpace="181" w:wrap="around" w:vAnchor="text" w:hAnchor="page" w:x="1135" w:y="285" w:anchorLock="1"/>
    </w:pPr>
    <w:rPr>
      <w:i/>
    </w:rPr>
  </w:style>
  <w:style w:type="paragraph" w:customStyle="1" w:styleId="MiniTOCTitle">
    <w:name w:val="MiniTOCTitle"/>
    <w:basedOn w:val="Heading4"/>
    <w:rsid w:val="000A35C2"/>
    <w:pPr>
      <w:spacing w:before="240"/>
      <w:outlineLvl w:val="9"/>
    </w:pPr>
    <w:rPr>
      <w:noProof/>
      <w:sz w:val="24"/>
    </w:rPr>
  </w:style>
  <w:style w:type="paragraph" w:customStyle="1" w:styleId="MiniTOCItem">
    <w:name w:val="MiniTOCItem"/>
    <w:basedOn w:val="ListBullet"/>
    <w:rsid w:val="000A35C2"/>
    <w:pPr>
      <w:numPr>
        <w:numId w:val="0"/>
      </w:numPr>
      <w:tabs>
        <w:tab w:val="right" w:leader="dot" w:pos="6521"/>
      </w:tabs>
      <w:spacing w:before="0" w:after="0"/>
    </w:pPr>
  </w:style>
  <w:style w:type="paragraph" w:customStyle="1" w:styleId="TOFTitle">
    <w:name w:val="TOFTitle"/>
    <w:basedOn w:val="TOCTitle"/>
    <w:rsid w:val="000A35C2"/>
  </w:style>
  <w:style w:type="paragraph" w:styleId="TableofFigures">
    <w:name w:val="table of figures"/>
    <w:basedOn w:val="Normal"/>
    <w:next w:val="Normal"/>
    <w:semiHidden/>
    <w:rsid w:val="000A35C2"/>
    <w:pPr>
      <w:tabs>
        <w:tab w:val="right" w:leader="dot" w:pos="9072"/>
      </w:tabs>
      <w:ind w:left="970" w:hanging="403"/>
    </w:pPr>
    <w:rPr>
      <w:rFonts w:ascii="Times New Roman" w:hAnsi="Times New Roman"/>
      <w:b/>
    </w:rPr>
  </w:style>
  <w:style w:type="paragraph" w:styleId="ListNumber">
    <w:name w:val="List Number"/>
    <w:basedOn w:val="List"/>
    <w:rsid w:val="000A35C2"/>
    <w:pPr>
      <w:numPr>
        <w:numId w:val="11"/>
      </w:numPr>
    </w:pPr>
  </w:style>
  <w:style w:type="character" w:customStyle="1" w:styleId="WingdingSymbols">
    <w:name w:val="Wingding Symbols"/>
    <w:rsid w:val="000A35C2"/>
    <w:rPr>
      <w:rFonts w:ascii="Wingdings" w:hAnsi="Wingdings"/>
    </w:rPr>
  </w:style>
  <w:style w:type="paragraph" w:customStyle="1" w:styleId="TableHeading">
    <w:name w:val="Table Heading"/>
    <w:basedOn w:val="HeadingBase"/>
    <w:rsid w:val="000A35C2"/>
    <w:pPr>
      <w:keepLines/>
      <w:pBdr>
        <w:bottom w:val="single" w:sz="6" w:space="1" w:color="918585"/>
      </w:pBdr>
      <w:spacing w:before="240"/>
    </w:pPr>
  </w:style>
  <w:style w:type="character" w:customStyle="1" w:styleId="HotSpot">
    <w:name w:val="HotSpot"/>
    <w:rsid w:val="000A35C2"/>
    <w:rPr>
      <w:color w:val="0033CC"/>
      <w:u w:val="none"/>
    </w:rPr>
  </w:style>
  <w:style w:type="paragraph" w:customStyle="1" w:styleId="BodyTextRight">
    <w:name w:val="Body Text Right"/>
    <w:basedOn w:val="BodyText"/>
    <w:rsid w:val="000A35C2"/>
    <w:pPr>
      <w:spacing w:before="0" w:after="0"/>
      <w:jc w:val="right"/>
    </w:pPr>
  </w:style>
  <w:style w:type="paragraph" w:styleId="Index3">
    <w:name w:val="index 3"/>
    <w:basedOn w:val="ListNumber2"/>
    <w:next w:val="Normal"/>
    <w:semiHidden/>
    <w:rsid w:val="000A35C2"/>
    <w:pPr>
      <w:numPr>
        <w:numId w:val="0"/>
      </w:numPr>
      <w:tabs>
        <w:tab w:val="right" w:leader="dot" w:pos="4176"/>
      </w:tabs>
    </w:pPr>
  </w:style>
  <w:style w:type="paragraph" w:styleId="ListNumber2">
    <w:name w:val="List Number 2"/>
    <w:basedOn w:val="List2"/>
    <w:rsid w:val="000A35C2"/>
    <w:pPr>
      <w:numPr>
        <w:numId w:val="10"/>
      </w:numPr>
      <w:tabs>
        <w:tab w:val="clear" w:pos="1060"/>
      </w:tabs>
    </w:pPr>
  </w:style>
  <w:style w:type="paragraph" w:customStyle="1" w:styleId="MarginNote">
    <w:name w:val="Margin Note"/>
    <w:basedOn w:val="BodyText"/>
    <w:rsid w:val="000A35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35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35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35C2"/>
    <w:rPr>
      <w:sz w:val="32"/>
    </w:rPr>
  </w:style>
  <w:style w:type="paragraph" w:customStyle="1" w:styleId="HeadingProcedure">
    <w:name w:val="Heading Procedure"/>
    <w:basedOn w:val="HeadingBase"/>
    <w:next w:val="Normal"/>
    <w:rsid w:val="000A35C2"/>
    <w:pPr>
      <w:tabs>
        <w:tab w:val="left" w:pos="0"/>
      </w:tabs>
      <w:spacing w:before="120" w:after="60"/>
    </w:pPr>
    <w:rPr>
      <w:i/>
      <w:color w:val="918585"/>
      <w:sz w:val="22"/>
    </w:rPr>
  </w:style>
  <w:style w:type="paragraph" w:customStyle="1" w:styleId="TableBodyText">
    <w:name w:val="Table Body Text"/>
    <w:basedOn w:val="BodyText"/>
    <w:rsid w:val="000A35C2"/>
    <w:pPr>
      <w:spacing w:before="60" w:after="60"/>
    </w:pPr>
  </w:style>
  <w:style w:type="paragraph" w:styleId="ListContinue">
    <w:name w:val="List Continue"/>
    <w:basedOn w:val="List"/>
    <w:rsid w:val="000A35C2"/>
    <w:pPr>
      <w:ind w:firstLine="0"/>
    </w:pPr>
  </w:style>
  <w:style w:type="paragraph" w:customStyle="1" w:styleId="ListNote">
    <w:name w:val="List Note"/>
    <w:basedOn w:val="List"/>
    <w:rsid w:val="000A35C2"/>
    <w:pPr>
      <w:pBdr>
        <w:top w:val="single" w:sz="6" w:space="2" w:color="918585"/>
        <w:bottom w:val="single" w:sz="6" w:space="2" w:color="918585"/>
      </w:pBdr>
      <w:tabs>
        <w:tab w:val="left" w:pos="1021"/>
      </w:tabs>
      <w:ind w:firstLine="0"/>
    </w:pPr>
  </w:style>
  <w:style w:type="paragraph" w:customStyle="1" w:styleId="Warning">
    <w:name w:val="Warning"/>
    <w:basedOn w:val="BodyText"/>
    <w:rsid w:val="000A35C2"/>
    <w:pPr>
      <w:shd w:val="clear" w:color="auto" w:fill="D9D9D9"/>
      <w:tabs>
        <w:tab w:val="left" w:pos="992"/>
      </w:tabs>
      <w:ind w:left="119" w:right="119"/>
    </w:pPr>
    <w:rPr>
      <w:sz w:val="20"/>
    </w:rPr>
  </w:style>
  <w:style w:type="paragraph" w:customStyle="1" w:styleId="MarginIcons">
    <w:name w:val="Margin Icons"/>
    <w:basedOn w:val="BodyText"/>
    <w:rsid w:val="000A35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35C2"/>
    <w:rPr>
      <w:rFonts w:ascii="Courier New" w:hAnsi="Courier New"/>
    </w:rPr>
  </w:style>
  <w:style w:type="paragraph" w:customStyle="1" w:styleId="NoteBullet">
    <w:name w:val="Note Bullet"/>
    <w:basedOn w:val="Note"/>
    <w:rsid w:val="000A35C2"/>
    <w:pPr>
      <w:tabs>
        <w:tab w:val="clear" w:pos="680"/>
      </w:tabs>
      <w:spacing w:before="60" w:after="60"/>
    </w:pPr>
  </w:style>
  <w:style w:type="paragraph" w:customStyle="1" w:styleId="SubHeading2">
    <w:name w:val="SubHeading2"/>
    <w:basedOn w:val="HeadingBase"/>
    <w:rsid w:val="000A35C2"/>
    <w:pPr>
      <w:spacing w:before="240" w:after="60"/>
    </w:pPr>
    <w:rPr>
      <w:sz w:val="20"/>
    </w:rPr>
  </w:style>
  <w:style w:type="paragraph" w:customStyle="1" w:styleId="SubHeading1">
    <w:name w:val="SubHeading1"/>
    <w:basedOn w:val="HeadingBase"/>
    <w:rsid w:val="000A35C2"/>
    <w:pPr>
      <w:spacing w:before="240" w:after="60"/>
    </w:pPr>
    <w:rPr>
      <w:color w:val="918585"/>
      <w:sz w:val="22"/>
    </w:rPr>
  </w:style>
  <w:style w:type="paragraph" w:customStyle="1" w:styleId="SideHeading">
    <w:name w:val="Side Heading"/>
    <w:basedOn w:val="HeadingBase"/>
    <w:rsid w:val="000A35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35C2"/>
    <w:pPr>
      <w:numPr>
        <w:numId w:val="12"/>
      </w:numPr>
    </w:pPr>
  </w:style>
  <w:style w:type="paragraph" w:styleId="PlainText">
    <w:name w:val="Plain Text"/>
    <w:basedOn w:val="Normal"/>
    <w:link w:val="PlainTextChar"/>
    <w:rsid w:val="000A35C2"/>
    <w:rPr>
      <w:sz w:val="20"/>
    </w:rPr>
  </w:style>
  <w:style w:type="character" w:customStyle="1" w:styleId="PlainTextChar">
    <w:name w:val="Plain Text Char"/>
    <w:basedOn w:val="DefaultParagraphFont"/>
    <w:link w:val="PlainText"/>
    <w:rsid w:val="000A35C2"/>
    <w:rPr>
      <w:rFonts w:ascii="Courier New" w:eastAsia="Times New Roman" w:hAnsi="Courier New" w:cs="Times New Roman"/>
      <w:sz w:val="20"/>
      <w:szCs w:val="20"/>
      <w:lang w:eastAsia="en-US"/>
    </w:rPr>
  </w:style>
  <w:style w:type="character" w:customStyle="1" w:styleId="MenuOption">
    <w:name w:val="Menu Option"/>
    <w:basedOn w:val="DefaultParagraphFont"/>
    <w:rsid w:val="000A35C2"/>
    <w:rPr>
      <w:b/>
      <w:smallCaps/>
    </w:rPr>
  </w:style>
  <w:style w:type="paragraph" w:customStyle="1" w:styleId="TableListNumber">
    <w:name w:val="Table List Number"/>
    <w:basedOn w:val="ListNumber"/>
    <w:rsid w:val="000A35C2"/>
    <w:pPr>
      <w:numPr>
        <w:numId w:val="0"/>
      </w:numPr>
    </w:pPr>
  </w:style>
  <w:style w:type="paragraph" w:styleId="TOC4">
    <w:name w:val="toc 4"/>
    <w:basedOn w:val="TOCBase"/>
    <w:next w:val="Normal"/>
    <w:semiHidden/>
    <w:rsid w:val="000A35C2"/>
    <w:pPr>
      <w:tabs>
        <w:tab w:val="right" w:leader="dot" w:pos="9071"/>
      </w:tabs>
      <w:ind w:left="1701"/>
    </w:pPr>
  </w:style>
  <w:style w:type="paragraph" w:customStyle="1" w:styleId="ListAlpha">
    <w:name w:val="List Alpha"/>
    <w:basedOn w:val="List"/>
    <w:rsid w:val="000A35C2"/>
    <w:pPr>
      <w:numPr>
        <w:numId w:val="9"/>
      </w:numPr>
    </w:pPr>
  </w:style>
  <w:style w:type="paragraph" w:customStyle="1" w:styleId="ListAlpha2">
    <w:name w:val="List Alpha 2"/>
    <w:basedOn w:val="List2"/>
    <w:rsid w:val="000A35C2"/>
    <w:pPr>
      <w:numPr>
        <w:numId w:val="8"/>
      </w:numPr>
    </w:pPr>
  </w:style>
  <w:style w:type="paragraph" w:styleId="List2">
    <w:name w:val="List 2"/>
    <w:basedOn w:val="BodyText"/>
    <w:rsid w:val="000A35C2"/>
    <w:pPr>
      <w:tabs>
        <w:tab w:val="left" w:pos="680"/>
      </w:tabs>
      <w:spacing w:before="60" w:after="60"/>
      <w:ind w:left="680" w:hanging="340"/>
    </w:pPr>
  </w:style>
  <w:style w:type="paragraph" w:styleId="List3">
    <w:name w:val="List 3"/>
    <w:basedOn w:val="BodyText"/>
    <w:rsid w:val="000A35C2"/>
    <w:pPr>
      <w:tabs>
        <w:tab w:val="left" w:pos="1021"/>
      </w:tabs>
      <w:spacing w:before="60" w:after="60"/>
      <w:ind w:left="1020" w:hanging="340"/>
    </w:pPr>
  </w:style>
  <w:style w:type="paragraph" w:styleId="List4">
    <w:name w:val="List 4"/>
    <w:basedOn w:val="BodyText"/>
    <w:rsid w:val="000A35C2"/>
    <w:pPr>
      <w:tabs>
        <w:tab w:val="left" w:pos="1361"/>
      </w:tabs>
      <w:spacing w:before="60" w:after="60"/>
      <w:ind w:left="1361" w:hanging="340"/>
    </w:pPr>
  </w:style>
  <w:style w:type="paragraph" w:styleId="List5">
    <w:name w:val="List 5"/>
    <w:basedOn w:val="BodyText"/>
    <w:rsid w:val="000A35C2"/>
    <w:pPr>
      <w:tabs>
        <w:tab w:val="left" w:pos="1701"/>
      </w:tabs>
      <w:spacing w:before="60" w:after="60"/>
      <w:ind w:left="1701" w:hanging="340"/>
    </w:pPr>
  </w:style>
  <w:style w:type="paragraph" w:styleId="ListBullet3">
    <w:name w:val="List Bullet 3"/>
    <w:basedOn w:val="List3"/>
    <w:rsid w:val="000A35C2"/>
    <w:pPr>
      <w:numPr>
        <w:numId w:val="15"/>
      </w:numPr>
      <w:tabs>
        <w:tab w:val="clear" w:pos="1021"/>
      </w:tabs>
      <w:ind w:left="1037" w:hanging="357"/>
    </w:pPr>
  </w:style>
  <w:style w:type="paragraph" w:styleId="ListBullet4">
    <w:name w:val="List Bullet 4"/>
    <w:basedOn w:val="List4"/>
    <w:rsid w:val="000A35C2"/>
    <w:pPr>
      <w:numPr>
        <w:numId w:val="3"/>
      </w:numPr>
    </w:pPr>
  </w:style>
  <w:style w:type="paragraph" w:styleId="ListBullet5">
    <w:name w:val="List Bullet 5"/>
    <w:basedOn w:val="List5"/>
    <w:rsid w:val="000A35C2"/>
    <w:pPr>
      <w:numPr>
        <w:numId w:val="4"/>
      </w:numPr>
    </w:pPr>
  </w:style>
  <w:style w:type="paragraph" w:styleId="ListContinue2">
    <w:name w:val="List Continue 2"/>
    <w:basedOn w:val="List2"/>
    <w:rsid w:val="000A35C2"/>
    <w:pPr>
      <w:ind w:firstLine="0"/>
    </w:pPr>
  </w:style>
  <w:style w:type="paragraph" w:styleId="ListContinue3">
    <w:name w:val="List Continue 3"/>
    <w:basedOn w:val="List3"/>
    <w:rsid w:val="000A35C2"/>
    <w:pPr>
      <w:ind w:left="1021" w:firstLine="0"/>
    </w:pPr>
  </w:style>
  <w:style w:type="paragraph" w:styleId="ListContinue4">
    <w:name w:val="List Continue 4"/>
    <w:basedOn w:val="List4"/>
    <w:rsid w:val="000A35C2"/>
    <w:pPr>
      <w:ind w:firstLine="0"/>
    </w:pPr>
  </w:style>
  <w:style w:type="paragraph" w:styleId="ListContinue5">
    <w:name w:val="List Continue 5"/>
    <w:basedOn w:val="List5"/>
    <w:rsid w:val="000A35C2"/>
    <w:pPr>
      <w:ind w:firstLine="0"/>
    </w:pPr>
  </w:style>
  <w:style w:type="paragraph" w:styleId="ListNumber3">
    <w:name w:val="List Number 3"/>
    <w:basedOn w:val="List3"/>
    <w:rsid w:val="000A35C2"/>
    <w:pPr>
      <w:numPr>
        <w:numId w:val="5"/>
      </w:numPr>
    </w:pPr>
  </w:style>
  <w:style w:type="paragraph" w:styleId="ListNumber4">
    <w:name w:val="List Number 4"/>
    <w:basedOn w:val="List4"/>
    <w:rsid w:val="000A35C2"/>
    <w:pPr>
      <w:numPr>
        <w:numId w:val="6"/>
      </w:numPr>
    </w:pPr>
  </w:style>
  <w:style w:type="paragraph" w:styleId="ListNumber5">
    <w:name w:val="List Number 5"/>
    <w:basedOn w:val="List5"/>
    <w:rsid w:val="000A35C2"/>
    <w:pPr>
      <w:numPr>
        <w:numId w:val="7"/>
      </w:numPr>
    </w:pPr>
  </w:style>
  <w:style w:type="paragraph" w:styleId="BlockText">
    <w:name w:val="Block Text"/>
    <w:basedOn w:val="Normal"/>
    <w:rsid w:val="000A35C2"/>
    <w:pPr>
      <w:spacing w:after="120"/>
      <w:ind w:left="1440" w:right="1440"/>
    </w:pPr>
  </w:style>
  <w:style w:type="character" w:customStyle="1" w:styleId="Subscript">
    <w:name w:val="Subscript"/>
    <w:basedOn w:val="DefaultParagraphFont"/>
    <w:rsid w:val="000A35C2"/>
    <w:rPr>
      <w:sz w:val="16"/>
      <w:vertAlign w:val="subscript"/>
    </w:rPr>
  </w:style>
  <w:style w:type="character" w:customStyle="1" w:styleId="Superscript">
    <w:name w:val="Superscript"/>
    <w:basedOn w:val="DefaultParagraphFont"/>
    <w:rsid w:val="000A35C2"/>
    <w:rPr>
      <w:sz w:val="16"/>
      <w:vertAlign w:val="superscript"/>
    </w:rPr>
  </w:style>
  <w:style w:type="character" w:customStyle="1" w:styleId="Symbols">
    <w:name w:val="Symbols"/>
    <w:basedOn w:val="DefaultParagraphFont"/>
    <w:rsid w:val="000A35C2"/>
    <w:rPr>
      <w:rFonts w:ascii="Symbol" w:hAnsi="Symbol"/>
    </w:rPr>
  </w:style>
  <w:style w:type="character" w:customStyle="1" w:styleId="MenuOptions">
    <w:name w:val="Menu Options"/>
    <w:basedOn w:val="DefaultParagraphFont"/>
    <w:rsid w:val="000A35C2"/>
    <w:rPr>
      <w:rFonts w:ascii="Arial Narrow" w:hAnsi="Arial Narrow"/>
      <w:smallCaps/>
    </w:rPr>
  </w:style>
  <w:style w:type="character" w:customStyle="1" w:styleId="Buttons">
    <w:name w:val="Buttons"/>
    <w:basedOn w:val="DefaultParagraphFont"/>
    <w:rsid w:val="000A35C2"/>
    <w:rPr>
      <w:b/>
    </w:rPr>
  </w:style>
  <w:style w:type="character" w:customStyle="1" w:styleId="Underlined">
    <w:name w:val="Underlined"/>
    <w:basedOn w:val="DefaultParagraphFont"/>
    <w:rsid w:val="000A35C2"/>
    <w:rPr>
      <w:u w:val="single"/>
    </w:rPr>
  </w:style>
  <w:style w:type="paragraph" w:customStyle="1" w:styleId="TableBodyTextRight">
    <w:name w:val="Table Body Text Right"/>
    <w:basedOn w:val="TableBodyText"/>
    <w:rsid w:val="000A35C2"/>
    <w:pPr>
      <w:widowControl w:val="0"/>
      <w:autoSpaceDE w:val="0"/>
      <w:autoSpaceDN w:val="0"/>
      <w:adjustRightInd w:val="0"/>
      <w:jc w:val="right"/>
    </w:pPr>
    <w:rPr>
      <w:rFonts w:cs="Arial"/>
      <w:szCs w:val="18"/>
    </w:rPr>
  </w:style>
  <w:style w:type="paragraph" w:customStyle="1" w:styleId="CopyrightText">
    <w:name w:val="Copyright Text"/>
    <w:basedOn w:val="BodyText"/>
    <w:rsid w:val="000A35C2"/>
    <w:rPr>
      <w:sz w:val="18"/>
    </w:rPr>
  </w:style>
  <w:style w:type="paragraph" w:customStyle="1" w:styleId="BodySmallRight">
    <w:name w:val="Body Small Right"/>
    <w:basedOn w:val="BodyTextRight"/>
    <w:rsid w:val="000A35C2"/>
    <w:rPr>
      <w:sz w:val="18"/>
      <w:szCs w:val="18"/>
    </w:rPr>
  </w:style>
  <w:style w:type="paragraph" w:customStyle="1" w:styleId="MarginEdition">
    <w:name w:val="Margin Edition"/>
    <w:basedOn w:val="MarginNote"/>
    <w:rsid w:val="000A35C2"/>
    <w:pPr>
      <w:spacing w:before="0" w:after="0"/>
    </w:pPr>
    <w:rPr>
      <w:rFonts w:ascii="Times New Roman" w:hAnsi="Times New Roman"/>
      <w:color w:val="999999"/>
    </w:rPr>
  </w:style>
  <w:style w:type="paragraph" w:customStyle="1" w:styleId="Spacer">
    <w:name w:val="Spacer"/>
    <w:basedOn w:val="Normal"/>
    <w:rsid w:val="000A35C2"/>
    <w:rPr>
      <w:sz w:val="2"/>
      <w:szCs w:val="2"/>
    </w:rPr>
  </w:style>
  <w:style w:type="character" w:customStyle="1" w:styleId="Small">
    <w:name w:val="Small"/>
    <w:basedOn w:val="DefaultParagraphFont"/>
    <w:rsid w:val="000A35C2"/>
    <w:rPr>
      <w:sz w:val="16"/>
    </w:rPr>
  </w:style>
  <w:style w:type="paragraph" w:customStyle="1" w:styleId="WideTable">
    <w:name w:val="Wide Table"/>
    <w:basedOn w:val="Normal"/>
    <w:rsid w:val="000A35C2"/>
    <w:pPr>
      <w:ind w:left="-1418"/>
    </w:pPr>
    <w:rPr>
      <w:sz w:val="2"/>
      <w:szCs w:val="2"/>
    </w:rPr>
  </w:style>
  <w:style w:type="character" w:styleId="PageNumber">
    <w:name w:val="page number"/>
    <w:basedOn w:val="DefaultParagraphFont"/>
    <w:rsid w:val="000A35C2"/>
  </w:style>
  <w:style w:type="paragraph" w:styleId="Quote">
    <w:name w:val="Quote"/>
    <w:basedOn w:val="Heading1"/>
    <w:link w:val="QuoteChar"/>
    <w:qFormat/>
    <w:rsid w:val="000A35C2"/>
    <w:rPr>
      <w:b w:val="0"/>
      <w:sz w:val="72"/>
      <w:szCs w:val="72"/>
      <w:lang w:val="en-NZ"/>
    </w:rPr>
  </w:style>
  <w:style w:type="character" w:customStyle="1" w:styleId="QuoteChar">
    <w:name w:val="Quote Char"/>
    <w:basedOn w:val="DefaultParagraphFont"/>
    <w:link w:val="Quote"/>
    <w:rsid w:val="000A35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35C2"/>
    <w:pPr>
      <w:pageBreakBefore/>
    </w:pPr>
  </w:style>
  <w:style w:type="paragraph" w:customStyle="1" w:styleId="Border">
    <w:name w:val="Border"/>
    <w:basedOn w:val="Normal"/>
    <w:qFormat/>
    <w:rsid w:val="000A35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35C2"/>
    <w:rPr>
      <w:b/>
      <w:bCs/>
      <w:i/>
      <w:iCs/>
      <w:color w:val="auto"/>
    </w:rPr>
  </w:style>
  <w:style w:type="paragraph" w:styleId="IntenseQuote">
    <w:name w:val="Intense Quote"/>
    <w:basedOn w:val="Normal"/>
    <w:next w:val="Normal"/>
    <w:link w:val="IntenseQuoteChar"/>
    <w:uiPriority w:val="30"/>
    <w:qFormat/>
    <w:rsid w:val="000A35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35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35C2"/>
    <w:rPr>
      <w:smallCaps/>
      <w:color w:val="auto"/>
      <w:u w:val="single"/>
    </w:rPr>
  </w:style>
  <w:style w:type="character" w:styleId="IntenseReference">
    <w:name w:val="Intense Reference"/>
    <w:basedOn w:val="DefaultParagraphFont"/>
    <w:uiPriority w:val="32"/>
    <w:qFormat/>
    <w:rsid w:val="000A35C2"/>
    <w:rPr>
      <w:b/>
      <w:bCs/>
      <w:smallCaps/>
      <w:color w:val="auto"/>
      <w:spacing w:val="5"/>
      <w:u w:val="single"/>
    </w:rPr>
  </w:style>
  <w:style w:type="paragraph" w:customStyle="1" w:styleId="2ColumnHeading">
    <w:name w:val="2Column Heading"/>
    <w:basedOn w:val="BodyText"/>
    <w:qFormat/>
    <w:rsid w:val="000A35C2"/>
    <w:pPr>
      <w:spacing w:after="60"/>
      <w:ind w:left="-2268"/>
    </w:pPr>
    <w:rPr>
      <w:b/>
    </w:rPr>
  </w:style>
  <w:style w:type="paragraph" w:customStyle="1" w:styleId="Heading1TOC">
    <w:name w:val="Heading1 TOC"/>
    <w:basedOn w:val="Normal"/>
    <w:qFormat/>
    <w:rsid w:val="000A35C2"/>
    <w:pPr>
      <w:spacing w:before="240" w:after="120"/>
    </w:pPr>
    <w:rPr>
      <w:rFonts w:ascii="Times New Roman" w:hAnsi="Times New Roman"/>
      <w:b/>
      <w:sz w:val="32"/>
    </w:rPr>
  </w:style>
  <w:style w:type="paragraph" w:customStyle="1" w:styleId="Heading2TOC">
    <w:name w:val="Heading2 TOC"/>
    <w:basedOn w:val="Normal"/>
    <w:qFormat/>
    <w:rsid w:val="000A35C2"/>
    <w:pPr>
      <w:spacing w:before="240" w:after="60"/>
    </w:pPr>
    <w:rPr>
      <w:rFonts w:ascii="Times New Roman" w:hAnsi="Times New Roman"/>
      <w:b/>
      <w:sz w:val="28"/>
    </w:rPr>
  </w:style>
  <w:style w:type="character" w:customStyle="1" w:styleId="Underline">
    <w:name w:val="Underline"/>
    <w:basedOn w:val="DefaultParagraphFont"/>
    <w:qFormat/>
    <w:rsid w:val="000A35C2"/>
    <w:rPr>
      <w:u w:val="single"/>
    </w:rPr>
  </w:style>
  <w:style w:type="character" w:customStyle="1" w:styleId="BoldandItalics">
    <w:name w:val="Bold and Italics"/>
    <w:qFormat/>
    <w:rsid w:val="000A35C2"/>
    <w:rPr>
      <w:b/>
      <w:i/>
      <w:u w:val="none"/>
    </w:rPr>
  </w:style>
  <w:style w:type="paragraph" w:styleId="BalloonText">
    <w:name w:val="Balloon Text"/>
    <w:basedOn w:val="Normal"/>
    <w:link w:val="BalloonTextChar"/>
    <w:rsid w:val="000A35C2"/>
    <w:rPr>
      <w:rFonts w:ascii="Tahoma" w:hAnsi="Tahoma" w:cs="Tahoma"/>
      <w:sz w:val="16"/>
      <w:szCs w:val="16"/>
    </w:rPr>
  </w:style>
  <w:style w:type="character" w:customStyle="1" w:styleId="BalloonTextChar">
    <w:name w:val="Balloon Text Char"/>
    <w:basedOn w:val="DefaultParagraphFont"/>
    <w:link w:val="BalloonText"/>
    <w:rsid w:val="000A35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35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35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35C2"/>
    <w:rPr>
      <w:b/>
      <w:color w:val="660033"/>
      <w:spacing w:val="0"/>
    </w:rPr>
  </w:style>
  <w:style w:type="paragraph" w:customStyle="1" w:styleId="Nameditemlist">
    <w:name w:val="Named item list"/>
    <w:basedOn w:val="BodyText"/>
    <w:qFormat/>
    <w:rsid w:val="000A35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2375</Words>
  <Characters>14694</Characters>
  <Application>Microsoft Office Word</Application>
  <DocSecurity>0</DocSecurity>
  <Lines>628</Lines>
  <Paragraphs>244</Paragraphs>
  <ScaleCrop>false</ScaleCrop>
  <Company>Author-it Software Corporation Ltd.</Company>
  <LinksUpToDate>false</LinksUpToDate>
  <CharactersWithSpaces>16914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UEGNSG332A Undertake hydro-testing for transmission pipeline construction</dc:title>
  <dc:subject>Approved</dc:subject>
  <dc:creator>E-Oz Training Standards</dc:creator>
  <cp:keywords>Release 1</cp:keywords>
  <dc:description>Review Date: 12 April 2008</dc:description>
  <cp:lastModifiedBy>HSD_TPCMSd.prod</cp:lastModifiedBy>
  <cp:revision>3</cp:revision>
  <dcterms:created xsi:type="dcterms:W3CDTF">2014-03-13T15:18:59Z</dcterms:created>
  <dcterms:modified xsi:type="dcterms:W3CDTF">2014-03-13T03:48:00Z</dcterms:modified>
</cp:coreProperties>
</file>