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4EC" w:rsidP="00F954EC">
      <w:pPr>
        <w:pStyle w:val="Title"/>
      </w:pPr>
      <w:bookmarkStart w:id="0" w:name="_GoBack"/>
      <w:bookmarkEnd w:id="0"/>
      <w:r>
        <w:fldChar w:fldCharType="begin"/>
      </w:r>
      <w:r>
        <w:instrText xml:space="preserve"> TITLE   \* MERGEFORMAT </w:instrText>
      </w:r>
      <w:r>
        <w:fldChar w:fldCharType="separate"/>
      </w:r>
      <w:r>
        <w:t>UEGNSG324A Follow company procedures to deal with incidents related to the abuse of drugs and alcohol</w:t>
      </w:r>
      <w:r>
        <w:fldChar w:fldCharType="end"/>
      </w:r>
    </w:p>
    <w:p w:rsidR="00F954EC" w:rsidP="00F954EC">
      <w:pPr>
        <w:pStyle w:val="Version"/>
        <w:sectPr w:rsidSect="00FC53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53B9" w:rsidP="00FC53B9">
      <w:pPr>
        <w:pStyle w:val="SuperHeading"/>
      </w:pPr>
      <w:r w:rsidRPr="00FC53B9">
        <w:t>UEGNSG324A Follow company procedures to deal with incidents related to the abuse of drugs and alcohol</w:t>
      </w:r>
    </w:p>
    <w:p w:rsidR="00000000" w:rsidRPr="00FC53B9" w:rsidP="00FC53B9">
      <w:pPr>
        <w:pStyle w:val="Heading1"/>
      </w:pPr>
      <w:bookmarkStart w:id="1" w:name="O_402661"/>
      <w:bookmarkEnd w:id="1"/>
      <w:r w:rsidRPr="00FC53B9">
        <w:t>Modification History</w:t>
      </w:r>
    </w:p>
    <w:p w:rsidR="00000000" w:rsidRPr="00FC53B9" w:rsidP="00FC53B9">
      <w:pPr>
        <w:pStyle w:val="BodyText"/>
      </w:pPr>
      <w:r w:rsidRPr="00FC53B9">
        <w:t>Not applicable.</w:t>
      </w:r>
    </w:p>
    <w:p w:rsidR="00000000" w:rsidRPr="00FC53B9" w:rsidP="00FC53B9">
      <w:pPr>
        <w:pStyle w:val="AllowPageBreak"/>
      </w:pPr>
    </w:p>
    <w:p w:rsidR="00000000" w:rsidRPr="00FC53B9" w:rsidP="00FC53B9">
      <w:pPr>
        <w:pStyle w:val="Heading1"/>
      </w:pPr>
      <w:bookmarkStart w:id="2" w:name="O_402659"/>
      <w:bookmarkEnd w:id="2"/>
      <w:r w:rsidRPr="00FC53B9">
        <w:t>Unit Descriptor</w:t>
      </w:r>
    </w:p>
    <w:tbl>
      <w:tblPr>
        <w:tblW w:w="0" w:type="auto"/>
        <w:tblLayout w:type="fixed"/>
        <w:tblCellMar>
          <w:left w:w="62" w:type="dxa"/>
          <w:right w:w="62" w:type="dxa"/>
        </w:tblCellMar>
        <w:tblLook w:val="0000"/>
      </w:tblPr>
      <w:tblGrid>
        <w:gridCol w:w="2700"/>
        <w:gridCol w:w="5760"/>
      </w:tblGrid>
      <w:tr w:rsidTr="00F95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1) Scope:</w:t>
            </w:r>
          </w:p>
        </w:tc>
      </w:tr>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53B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1.1) Descriptor</w:t>
            </w:r>
          </w:p>
        </w:tc>
      </w:tr>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This competency standard unit covers the following of company procedures to deal with incidents related to the abuse of drugs and alcohol on a worksite. This competency refers to: company drug and alcohol policies and procedures; OHS procedures and awarene</w:t>
            </w:r>
            <w:r w:rsidRPr="00FC53B9">
              <w:t>ss for drug and alcohol abuse.</w:t>
            </w:r>
          </w:p>
        </w:tc>
      </w:tr>
    </w:tbl>
    <w:p w:rsidR="00000000" w:rsidRPr="00FC53B9" w:rsidP="00FC53B9">
      <w:pPr>
        <w:pStyle w:val="BodyText"/>
      </w:pPr>
    </w:p>
    <w:p w:rsidR="00000000" w:rsidRPr="00FC53B9" w:rsidP="00FC53B9">
      <w:pPr>
        <w:pStyle w:val="AllowPageBreak"/>
      </w:pPr>
    </w:p>
    <w:p w:rsidR="00000000" w:rsidRPr="00FC53B9" w:rsidP="00FC53B9">
      <w:pPr>
        <w:pStyle w:val="Heading1"/>
      </w:pPr>
      <w:bookmarkStart w:id="3" w:name="O_402648"/>
      <w:bookmarkEnd w:id="3"/>
      <w:r w:rsidRPr="00FC53B9">
        <w:t>Application of the Unit</w:t>
      </w:r>
    </w:p>
    <w:tbl>
      <w:tblPr>
        <w:tblW w:w="0" w:type="auto"/>
        <w:tblLayout w:type="fixed"/>
        <w:tblCellMar>
          <w:left w:w="62" w:type="dxa"/>
          <w:right w:w="62" w:type="dxa"/>
        </w:tblCellMar>
        <w:tblLook w:val="0000"/>
      </w:tblPr>
      <w:tblGrid>
        <w:gridCol w:w="2672"/>
        <w:gridCol w:w="5699"/>
      </w:tblGrid>
      <w:tr w:rsidTr="00F954E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2)</w:t>
            </w:r>
          </w:p>
        </w:tc>
      </w:tr>
      <w:tr w:rsidTr="00F954E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 xml:space="preserve">This competency standard shall apply to any basic and safe work site where Gas Industry operations occur. It could also apply, where applicable </w:t>
            </w:r>
            <w:r w:rsidRPr="00FC53B9">
              <w:t>to other workplaces in the electricity supply industry (transmission and distribution and generation), the electrotechnology industry and the water industry, subject to all Occupational Health and Safety and duty of care requirements being met for the work</w:t>
            </w:r>
            <w:r w:rsidRPr="00FC53B9">
              <w:t>place.</w:t>
            </w:r>
          </w:p>
        </w:tc>
      </w:tr>
    </w:tbl>
    <w:p w:rsidR="00000000" w:rsidRPr="00FC53B9" w:rsidP="00FC53B9">
      <w:pPr>
        <w:pStyle w:val="BodyText"/>
      </w:pPr>
    </w:p>
    <w:p w:rsidR="00000000" w:rsidRPr="00FC53B9" w:rsidP="00FC53B9">
      <w:pPr>
        <w:pStyle w:val="AllowPageBreak"/>
      </w:pPr>
    </w:p>
    <w:p w:rsidR="00000000" w:rsidRPr="00FC53B9" w:rsidP="00FC53B9">
      <w:pPr>
        <w:pStyle w:val="Heading1"/>
      </w:pPr>
      <w:bookmarkStart w:id="4" w:name="O_402655"/>
      <w:bookmarkEnd w:id="4"/>
      <w:r w:rsidRPr="00FC53B9">
        <w:t>Licensing/Regulatory Information</w:t>
      </w:r>
    </w:p>
    <w:tbl>
      <w:tblPr>
        <w:tblW w:w="0" w:type="auto"/>
        <w:tblLayout w:type="fixed"/>
        <w:tblCellMar>
          <w:left w:w="62" w:type="dxa"/>
          <w:right w:w="62" w:type="dxa"/>
        </w:tblCellMar>
        <w:tblLook w:val="0000"/>
      </w:tblPr>
      <w:tblGrid>
        <w:gridCol w:w="2700"/>
        <w:gridCol w:w="5760"/>
      </w:tblGrid>
      <w:tr w:rsidTr="00F95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 xml:space="preserve">3) </w:t>
            </w:r>
          </w:p>
        </w:tc>
      </w:tr>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The skills and knowledge described in this unit are not subject to licence regulation other than those directly related to Occupational Health and Safety, gas/electricity/</w:t>
            </w:r>
            <w:r w:rsidRPr="00FC53B9">
              <w:t xml:space="preserve">water industry safety and compliance, industrial relations, environmental protection, </w:t>
            </w:r>
            <w:r w:rsidRPr="00FC53B9">
              <w:t xml:space="preserve">telecommunications, anti discrimination and training. Commonwealth, State/Territory or Local government legislation and regulations may exist that limit the age at which </w:t>
            </w:r>
            <w:r w:rsidRPr="00FC53B9">
              <w:t>a person can operate certain equipment.</w:t>
            </w:r>
          </w:p>
        </w:tc>
      </w:tr>
    </w:tbl>
    <w:p w:rsidR="00000000" w:rsidRPr="00FC53B9" w:rsidP="00FC53B9">
      <w:pPr>
        <w:pStyle w:val="BodyText"/>
      </w:pPr>
    </w:p>
    <w:p w:rsidR="00000000" w:rsidRPr="00FC53B9" w:rsidP="00FC53B9">
      <w:pPr>
        <w:pStyle w:val="AllowPageBreak"/>
      </w:pPr>
    </w:p>
    <w:p w:rsidR="00000000" w:rsidRPr="00FC53B9" w:rsidP="00FC53B9">
      <w:pPr>
        <w:pStyle w:val="Heading1"/>
      </w:pPr>
      <w:bookmarkStart w:id="5" w:name="O_402656"/>
      <w:bookmarkEnd w:id="5"/>
      <w:r w:rsidRPr="00FC53B9">
        <w:t>Pre-Requisites</w:t>
      </w:r>
    </w:p>
    <w:tbl>
      <w:tblPr>
        <w:tblW w:w="0" w:type="auto"/>
        <w:tblLayout w:type="fixed"/>
        <w:tblCellMar>
          <w:left w:w="62" w:type="dxa"/>
          <w:right w:w="62" w:type="dxa"/>
        </w:tblCellMar>
        <w:tblLook w:val="0000"/>
      </w:tblPr>
      <w:tblGrid>
        <w:gridCol w:w="2700"/>
        <w:gridCol w:w="1800"/>
        <w:gridCol w:w="3960"/>
      </w:tblGrid>
      <w:tr w:rsidTr="00F95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 xml:space="preserve">4) </w:t>
            </w:r>
          </w:p>
        </w:tc>
      </w:tr>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4.1)</w:t>
            </w:r>
          </w:p>
        </w:tc>
      </w:tr>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Granting of competency in this unit shall be made only after competency in the following unit(s) has/have been confirmed:</w:t>
            </w:r>
          </w:p>
        </w:tc>
      </w:tr>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Nil</w:t>
            </w:r>
          </w:p>
        </w:tc>
        <w:tc>
          <w:tcPr>
            <w:tcW w:w="3960" w:type="dxa"/>
            <w:tcBorders>
              <w:top w:val="nil"/>
              <w:left w:val="nil"/>
              <w:bottom w:val="nil"/>
              <w:right w:val="nil"/>
            </w:tcBorders>
            <w:tcMar>
              <w:top w:w="0" w:type="dxa"/>
              <w:left w:w="62" w:type="dxa"/>
              <w:bottom w:w="0" w:type="dxa"/>
              <w:right w:w="62" w:type="dxa"/>
            </w:tcMar>
          </w:tcPr>
          <w:p w:rsidR="00000000" w:rsidRPr="00FC53B9" w:rsidP="00FC53B9">
            <w:pPr>
              <w:pStyle w:val="BodyText"/>
            </w:pPr>
          </w:p>
        </w:tc>
      </w:tr>
    </w:tbl>
    <w:p w:rsidR="00000000" w:rsidRPr="00FC53B9" w:rsidP="00FC53B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 xml:space="preserve">4.2) </w:t>
            </w:r>
          </w:p>
          <w:p w:rsidR="00000000" w:rsidP="00FC53B9">
            <w:pPr>
              <w:pStyle w:val="BodyText"/>
              <w:rPr>
                <w:lang w:val="en-NZ"/>
              </w:rPr>
            </w:pPr>
            <w:r w:rsidRPr="00FC53B9">
              <w:t>Participants are best equipped to achieve this unit if they have reading, writing and numeracy skills indicated by the following scales. Description of each scale is given in Volume 2, Part 3 ‘Literacy and Numeracy’</w:t>
            </w:r>
          </w:p>
        </w:tc>
      </w:tr>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Reading</w:t>
            </w:r>
          </w:p>
        </w:tc>
        <w:tc>
          <w:tcPr>
            <w:tcW w:w="81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4</w:t>
            </w:r>
          </w:p>
        </w:tc>
        <w:tc>
          <w:tcPr>
            <w:tcW w:w="9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Writing</w:t>
            </w: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4</w:t>
            </w:r>
          </w:p>
        </w:tc>
        <w:tc>
          <w:tcPr>
            <w:tcW w:w="12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Numeracy</w:t>
            </w:r>
          </w:p>
        </w:tc>
        <w:tc>
          <w:tcPr>
            <w:tcW w:w="72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4</w:t>
            </w:r>
          </w:p>
        </w:tc>
      </w:tr>
    </w:tbl>
    <w:p w:rsidR="00000000" w:rsidRPr="00FC53B9" w:rsidP="00FC53B9">
      <w:pPr>
        <w:pStyle w:val="BodyText"/>
      </w:pPr>
    </w:p>
    <w:p w:rsidR="00000000" w:rsidRPr="00FC53B9" w:rsidP="00FC53B9">
      <w:pPr>
        <w:pStyle w:val="AllowPageBreak"/>
      </w:pPr>
    </w:p>
    <w:p w:rsidR="00000000" w:rsidRPr="00FC53B9" w:rsidP="00FC53B9">
      <w:pPr>
        <w:pStyle w:val="Heading1"/>
      </w:pPr>
      <w:bookmarkStart w:id="6" w:name="O_402652"/>
      <w:bookmarkEnd w:id="6"/>
      <w:r w:rsidRPr="00FC53B9">
        <w:t>Employability Skills Information</w:t>
      </w:r>
    </w:p>
    <w:tbl>
      <w:tblPr>
        <w:tblW w:w="0" w:type="auto"/>
        <w:tblLayout w:type="fixed"/>
        <w:tblCellMar>
          <w:left w:w="62" w:type="dxa"/>
          <w:right w:w="62" w:type="dxa"/>
        </w:tblCellMar>
        <w:tblLook w:val="0000"/>
      </w:tblPr>
      <w:tblGrid>
        <w:gridCol w:w="2700"/>
        <w:gridCol w:w="5760"/>
      </w:tblGrid>
      <w:tr w:rsidTr="00F95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 xml:space="preserve">5) </w:t>
            </w:r>
          </w:p>
        </w:tc>
      </w:tr>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This unit contains Employability Skills</w:t>
            </w:r>
          </w:p>
        </w:tc>
      </w:tr>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The required outcomes described in this unit of competency contain applicable facets of E</w:t>
            </w:r>
            <w:r w:rsidRPr="00FC53B9">
              <w:t>mployability Skills. The Employability Skills Summary of the qualification in which this unit of competency is packaged will assist in identifying Employability Skill requirements.</w:t>
            </w:r>
          </w:p>
        </w:tc>
      </w:tr>
    </w:tbl>
    <w:p w:rsidR="00000000" w:rsidRPr="00FC53B9" w:rsidP="00FC53B9">
      <w:pPr>
        <w:pStyle w:val="BodyText"/>
      </w:pPr>
    </w:p>
    <w:p w:rsidR="00000000" w:rsidRPr="00FC53B9" w:rsidP="00FC53B9">
      <w:pPr>
        <w:pStyle w:val="AllowPageBreak"/>
      </w:pPr>
    </w:p>
    <w:p w:rsidR="00000000" w:rsidRPr="00FC53B9" w:rsidP="00FC53B9">
      <w:pPr>
        <w:pStyle w:val="Heading1"/>
      </w:pPr>
      <w:bookmarkStart w:id="7" w:name="O_402651"/>
      <w:bookmarkEnd w:id="7"/>
      <w:r w:rsidRPr="00FC53B9">
        <w:t>Elements and Performance Criteria Pre-Content</w:t>
      </w:r>
    </w:p>
    <w:tbl>
      <w:tblPr>
        <w:tblW w:w="0" w:type="auto"/>
        <w:tblLayout w:type="fixed"/>
        <w:tblCellMar>
          <w:left w:w="62" w:type="dxa"/>
          <w:right w:w="62" w:type="dxa"/>
        </w:tblCellMar>
        <w:tblLook w:val="0000"/>
      </w:tblPr>
      <w:tblGrid>
        <w:gridCol w:w="2700"/>
        <w:gridCol w:w="5760"/>
      </w:tblGrid>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6)</w:t>
            </w:r>
            <w:r w:rsidRPr="00FC53B9">
              <w:t xml:space="preserve"> Element</w:t>
            </w:r>
            <w:r w:rsidRPr="00FC53B9">
              <w: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Performance Criteria describe the required performance needed to demonstrate achievement of the element. Assessment of performance is to be consistent with the Evidence Guide.</w:t>
            </w:r>
          </w:p>
        </w:tc>
      </w:tr>
    </w:tbl>
    <w:p w:rsidR="00000000" w:rsidRPr="00FC53B9" w:rsidP="00FC53B9">
      <w:pPr>
        <w:pStyle w:val="BodyText"/>
      </w:pPr>
    </w:p>
    <w:p w:rsidR="00000000" w:rsidRPr="00FC53B9" w:rsidP="00FC53B9">
      <w:pPr>
        <w:pStyle w:val="AllowPageBreak"/>
      </w:pPr>
    </w:p>
    <w:p w:rsidR="00000000" w:rsidRPr="00FC53B9" w:rsidP="00FC53B9">
      <w:pPr>
        <w:pStyle w:val="Heading1"/>
      </w:pPr>
      <w:bookmarkStart w:id="8" w:name="O_402650"/>
      <w:bookmarkEnd w:id="8"/>
      <w:r w:rsidRPr="00FC53B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954EC">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PERFORMANCE CRITERIA</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1</w:t>
            </w:r>
          </w:p>
        </w:tc>
        <w:tc>
          <w:tcPr>
            <w:tcW w:w="2296"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Prepare for the monitoring and control of drug and alcohol related incidences</w:t>
            </w: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1.1</w:t>
            </w:r>
          </w:p>
        </w:tc>
        <w:tc>
          <w:tcPr>
            <w:tcW w:w="48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Work is prioritised and sequenced for the most efficient and effective outcome following consultat</w:t>
            </w:r>
            <w:r w:rsidRPr="00FC53B9">
              <w:t>ion with others for completion within acceptable timeframes to a quality standard and in accordance with established procedures</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1.2</w:t>
            </w:r>
          </w:p>
        </w:tc>
        <w:tc>
          <w:tcPr>
            <w:tcW w:w="48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Risk control measures for identified hazards are prioritised, implemented and evaluated</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1.3</w:t>
            </w:r>
          </w:p>
        </w:tc>
        <w:tc>
          <w:tcPr>
            <w:tcW w:w="48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Relevant stakeholders are provided with possible solutions and options within the scope of established procedures</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1.4</w:t>
            </w:r>
          </w:p>
        </w:tc>
        <w:tc>
          <w:tcPr>
            <w:tcW w:w="48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Scope of responsibility in relation to monitoring and controlling drug and alcohol abuse is received and confirmed according to require</w:t>
            </w:r>
            <w:r w:rsidRPr="00FC53B9">
              <w:t>ments and established procedures with the relevant persons</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1.5</w:t>
            </w:r>
          </w:p>
        </w:tc>
        <w:tc>
          <w:tcPr>
            <w:tcW w:w="48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Relevant responsibilities associated with first aid and other related work safety procedures at the worksite are confirmed in accordance with requirements and established procedures to ensur</w:t>
            </w:r>
            <w:r w:rsidRPr="00FC53B9">
              <w:t>e safety measures and followed in the instance of an incident</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1.6</w:t>
            </w:r>
          </w:p>
        </w:tc>
        <w:tc>
          <w:tcPr>
            <w:tcW w:w="48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Issues related to drug and alcohol abuse are referred to appropriate persons in accordance with established procedures</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2</w:t>
            </w:r>
          </w:p>
        </w:tc>
        <w:tc>
          <w:tcPr>
            <w:tcW w:w="2296"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Monitor and control drug and alcohol related incidences</w:t>
            </w: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2.1</w:t>
            </w:r>
          </w:p>
        </w:tc>
        <w:tc>
          <w:tcPr>
            <w:tcW w:w="48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OHS policies and procedures and safe work practices are followed in relation to monitoring and controlling drug and alcohol abuse to eliminate or minimise incidents and hazards</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2.2</w:t>
            </w:r>
          </w:p>
        </w:tc>
        <w:tc>
          <w:tcPr>
            <w:tcW w:w="48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Operational knowledge as applied to potential hazards and safety risks a</w:t>
            </w:r>
            <w:r w:rsidRPr="00FC53B9">
              <w:t xml:space="preserve">re reported to the immediate authorised persons for directions according to established procedures </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2.3</w:t>
            </w:r>
          </w:p>
        </w:tc>
        <w:tc>
          <w:tcPr>
            <w:tcW w:w="48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Non-routine events in relation to monitoring and controlling drug and alcohol abuse are referred to authorised persons for directions according to es</w:t>
            </w:r>
            <w:r w:rsidRPr="00FC53B9">
              <w:t>tablished procedures</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2.4</w:t>
            </w:r>
          </w:p>
        </w:tc>
        <w:tc>
          <w:tcPr>
            <w:tcW w:w="48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Remedial action associated with monitoring and controlling drug and alcohol abuse are dealt with using acquired known solutions and skills related to company polices and procedures</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2.5</w:t>
            </w:r>
          </w:p>
        </w:tc>
        <w:tc>
          <w:tcPr>
            <w:tcW w:w="48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OHS policies and procedures and safe work practices are followed in relation to monitoring and controlling drug and alcohol abuse to eliminate or minimise incidents and hazards</w:t>
            </w:r>
          </w:p>
        </w:tc>
      </w:tr>
      <w:tr w:rsidTr="00F95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3</w:t>
            </w:r>
          </w:p>
        </w:tc>
        <w:tc>
          <w:tcPr>
            <w:tcW w:w="2296"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Complete procedures for the monitoring and control of drug and alcohol incid</w:t>
            </w:r>
            <w:r w:rsidRPr="00FC53B9">
              <w:t>ents.</w:t>
            </w:r>
          </w:p>
        </w:tc>
        <w:tc>
          <w:tcPr>
            <w:tcW w:w="90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3.1</w:t>
            </w:r>
          </w:p>
        </w:tc>
        <w:tc>
          <w:tcPr>
            <w:tcW w:w="486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Reports on incidents of drug and alcohol abuse are completed and sent to the authorised persons as per the requirements found in established procedures</w:t>
            </w:r>
          </w:p>
        </w:tc>
      </w:tr>
    </w:tbl>
    <w:p w:rsidR="00000000" w:rsidRPr="00FC53B9" w:rsidP="00FC53B9">
      <w:pPr>
        <w:pStyle w:val="BodyText"/>
      </w:pPr>
    </w:p>
    <w:p w:rsidR="00000000" w:rsidRPr="00FC53B9" w:rsidP="00FC53B9">
      <w:pPr>
        <w:pStyle w:val="AllowPageBreak"/>
      </w:pPr>
    </w:p>
    <w:p w:rsidR="00000000" w:rsidRPr="00FC53B9" w:rsidP="00FC53B9">
      <w:pPr>
        <w:pStyle w:val="Heading1"/>
      </w:pPr>
      <w:bookmarkStart w:id="9" w:name="O_402658"/>
      <w:bookmarkEnd w:id="9"/>
      <w:r w:rsidRPr="00FC53B9">
        <w:t>Required Skills and Knowledge</w:t>
      </w:r>
    </w:p>
    <w:tbl>
      <w:tblPr>
        <w:tblW w:w="0" w:type="auto"/>
        <w:tblLayout w:type="fixed"/>
        <w:tblCellMar>
          <w:left w:w="62" w:type="dxa"/>
          <w:right w:w="62" w:type="dxa"/>
        </w:tblCellMar>
        <w:tblLook w:val="0000"/>
      </w:tblPr>
      <w:tblGrid>
        <w:gridCol w:w="8460"/>
      </w:tblGrid>
      <w:tr w:rsidTr="00F954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REQUIRED SKILLS AND KNOWLEDGE</w:t>
            </w:r>
          </w:p>
        </w:tc>
      </w:tr>
      <w:tr w:rsidTr="00F95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 xml:space="preserve">8) </w:t>
            </w:r>
            <w:r w:rsidRPr="00FC53B9">
              <w:t>This describes the essential skills and knowledge and their level, required for this unit.</w:t>
            </w:r>
          </w:p>
        </w:tc>
      </w:tr>
      <w:tr w:rsidTr="00F95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Evidence shall show that knowledge has been acquired of safe working practices for using of equipment and tools to perform work in a work environment.</w:t>
            </w:r>
          </w:p>
        </w:tc>
      </w:tr>
      <w:tr w:rsidTr="00F954EC">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All knowledg</w:t>
            </w:r>
            <w:r w:rsidRPr="00FC53B9">
              <w:t>e and skills detailed in this unit should be contextualised to current industry practices and technologies.</w:t>
            </w:r>
          </w:p>
        </w:tc>
      </w:tr>
    </w:tbl>
    <w:p w:rsidR="00000000" w:rsidRPr="00FC53B9" w:rsidP="00FC53B9">
      <w:pPr>
        <w:pStyle w:val="BodyText"/>
      </w:pPr>
    </w:p>
    <w:tbl>
      <w:tblPr>
        <w:tblW w:w="0" w:type="auto"/>
        <w:tblLayout w:type="fixed"/>
        <w:tblCellMar>
          <w:left w:w="62" w:type="dxa"/>
          <w:right w:w="62" w:type="dxa"/>
        </w:tblCellMar>
        <w:tblLook w:val="0000"/>
      </w:tblPr>
      <w:tblGrid>
        <w:gridCol w:w="1440"/>
        <w:gridCol w:w="990"/>
        <w:gridCol w:w="6030"/>
      </w:tblGrid>
      <w:tr w:rsidTr="00F954EC">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KS01-G324A</w:t>
            </w:r>
          </w:p>
        </w:tc>
        <w:tc>
          <w:tcPr>
            <w:tcW w:w="7020" w:type="dxa"/>
            <w:gridSpan w:val="2"/>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Company procedures related to the abuse of drugs and alcohol</w:t>
            </w:r>
          </w:p>
        </w:tc>
      </w:tr>
      <w:tr w:rsidTr="00F954E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G 4.1.3</w:t>
            </w:r>
          </w:p>
        </w:tc>
        <w:tc>
          <w:tcPr>
            <w:tcW w:w="603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Communicate effectively in the Gas Industry at a supervisory level</w:t>
            </w:r>
          </w:p>
          <w:p w:rsidR="00000000" w:rsidRPr="00FC53B9" w:rsidP="00FC53B9">
            <w:pPr>
              <w:pStyle w:val="BodyText"/>
            </w:pPr>
            <w:r w:rsidRPr="00FC53B9">
              <w:t>Evidence shall show an understanding of communication techniques required in supervisory roles in the Gas Industry, indicated by the following:</w:t>
            </w:r>
          </w:p>
          <w:p w:rsidR="00000000" w:rsidRPr="00FC53B9" w:rsidP="00FC53B9">
            <w:pPr>
              <w:pStyle w:val="ListBullet"/>
            </w:pPr>
            <w:r w:rsidRPr="00FC53B9">
              <w:t>communicate effectively with a variety of Gas</w:t>
            </w:r>
            <w:r w:rsidRPr="00FC53B9">
              <w:t xml:space="preserve"> Industry stakeholders, using strategies for dealing with difficult situations. The communication  includes oral, written or electronic communications, : with various stakeholders including:</w:t>
            </w:r>
          </w:p>
          <w:p w:rsidR="00000000" w:rsidRPr="00FC53B9" w:rsidP="00FC53B9">
            <w:pPr>
              <w:pStyle w:val="ListBullet2"/>
            </w:pPr>
            <w:r w:rsidRPr="00FC53B9">
              <w:t>workplace colleagues</w:t>
            </w:r>
          </w:p>
          <w:p w:rsidR="00000000" w:rsidRPr="00FC53B9" w:rsidP="00FC53B9">
            <w:pPr>
              <w:pStyle w:val="ListBullet2"/>
            </w:pPr>
            <w:r w:rsidRPr="00FC53B9">
              <w:t>workplace managers</w:t>
            </w:r>
          </w:p>
          <w:p w:rsidR="00000000" w:rsidRPr="00FC53B9" w:rsidP="00FC53B9">
            <w:pPr>
              <w:pStyle w:val="ListBullet2"/>
            </w:pPr>
            <w:r w:rsidRPr="00FC53B9">
              <w:t>relevant customers and s</w:t>
            </w:r>
            <w:r w:rsidRPr="00FC53B9">
              <w:t>uppliers</w:t>
            </w:r>
          </w:p>
          <w:p w:rsidR="00000000" w:rsidRPr="00FC53B9" w:rsidP="00FC53B9">
            <w:pPr>
              <w:pStyle w:val="ListBullet2"/>
            </w:pPr>
            <w:r w:rsidRPr="00FC53B9">
              <w:t>regulatory bodies</w:t>
            </w:r>
          </w:p>
          <w:p w:rsidR="00000000" w:rsidRPr="00FC53B9" w:rsidP="00FC53B9">
            <w:pPr>
              <w:pStyle w:val="ListBullet2"/>
            </w:pPr>
            <w:r w:rsidRPr="00FC53B9">
              <w:t>property/land owners (including traditional land owners) and tenants</w:t>
            </w:r>
          </w:p>
          <w:p w:rsidR="00000000" w:rsidP="00FC53B9">
            <w:pPr>
              <w:pStyle w:val="ListBullet2"/>
              <w:rPr>
                <w:lang w:val="en-NZ"/>
              </w:rPr>
            </w:pPr>
            <w:r w:rsidRPr="00FC53B9">
              <w:t>emergency response organisations</w:t>
            </w:r>
          </w:p>
        </w:tc>
      </w:tr>
      <w:tr w:rsidTr="00F954E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G 4.1.21</w:t>
            </w:r>
          </w:p>
        </w:tc>
        <w:tc>
          <w:tcPr>
            <w:tcW w:w="603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 xml:space="preserve">Drug and alcohol awareness and effects on the workforce </w:t>
            </w:r>
          </w:p>
          <w:p w:rsidR="00000000" w:rsidRPr="00FC53B9" w:rsidP="00FC53B9">
            <w:pPr>
              <w:pStyle w:val="BodyText"/>
            </w:pPr>
            <w:r w:rsidRPr="00FC53B9">
              <w:t>Evidence shall show an und</w:t>
            </w:r>
            <w:r w:rsidRPr="00FC53B9">
              <w:t>erstanding of dealing with drug and alcohol abuse in a transmission construction worksite and other applicable gas industry workplaces. It includes:</w:t>
            </w:r>
          </w:p>
          <w:p w:rsidR="00000000" w:rsidRPr="00FC53B9" w:rsidP="00FC53B9">
            <w:pPr>
              <w:pStyle w:val="ListBullet"/>
            </w:pPr>
            <w:r w:rsidRPr="00FC53B9">
              <w:t>Knowledge and capability of identifying a worker who is affected by abuse of drugs or alcohol.</w:t>
            </w:r>
          </w:p>
          <w:p w:rsidR="00000000" w:rsidRPr="00FC53B9" w:rsidP="00FC53B9">
            <w:pPr>
              <w:pStyle w:val="ListBullet"/>
            </w:pPr>
            <w:r w:rsidRPr="00FC53B9">
              <w:t>Knowledge an</w:t>
            </w:r>
            <w:r w:rsidRPr="00FC53B9">
              <w:t>d understanding of relevant enterprise procedures for safely removing drug and alcohol affected workers from the worksite.</w:t>
            </w:r>
          </w:p>
          <w:p w:rsidR="00000000" w:rsidP="00FC53B9">
            <w:pPr>
              <w:pStyle w:val="ListBullet"/>
              <w:rPr>
                <w:lang w:val="en-NZ"/>
              </w:rPr>
            </w:pPr>
            <w:r w:rsidRPr="00FC53B9">
              <w:t>Application of relevant policies and procedures</w:t>
            </w:r>
          </w:p>
        </w:tc>
      </w:tr>
      <w:tr w:rsidTr="00F954EC">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G 5.1.2</w:t>
            </w:r>
          </w:p>
        </w:tc>
        <w:tc>
          <w:tcPr>
            <w:tcW w:w="603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Apply problem solving, decision making and conflict resolution techniques</w:t>
            </w:r>
          </w:p>
          <w:p w:rsidR="00000000" w:rsidRPr="00FC53B9" w:rsidP="00FC53B9">
            <w:pPr>
              <w:pStyle w:val="BodyText"/>
            </w:pPr>
            <w:r w:rsidRPr="00FC53B9">
              <w:t>Evidence shall show an understanding and application of problem solving, decision making and conflict resolution techniques in a Gas Industry environment, indicated by the following:</w:t>
            </w:r>
          </w:p>
          <w:p w:rsidR="00000000" w:rsidRPr="00FC53B9" w:rsidP="00FC53B9">
            <w:pPr>
              <w:pStyle w:val="ListBullet"/>
            </w:pPr>
            <w:r w:rsidRPr="00FC53B9">
              <w:t>problem solving and decision making techniques</w:t>
            </w:r>
          </w:p>
          <w:p w:rsidR="00000000" w:rsidRPr="00FC53B9" w:rsidP="00FC53B9">
            <w:pPr>
              <w:pStyle w:val="ListBullet2"/>
            </w:pPr>
            <w:r w:rsidRPr="00FC53B9">
              <w:t>the decision making envir</w:t>
            </w:r>
            <w:r w:rsidRPr="00FC53B9">
              <w:t>onment</w:t>
            </w:r>
          </w:p>
          <w:p w:rsidR="00000000" w:rsidRPr="00FC53B9" w:rsidP="00FC53B9">
            <w:pPr>
              <w:pStyle w:val="ListBullet2"/>
            </w:pPr>
            <w:r w:rsidRPr="00FC53B9">
              <w:t>group decision making</w:t>
            </w:r>
          </w:p>
          <w:p w:rsidR="00000000" w:rsidRPr="00FC53B9" w:rsidP="00FC53B9">
            <w:pPr>
              <w:pStyle w:val="ListBullet2"/>
            </w:pPr>
            <w:r w:rsidRPr="00FC53B9">
              <w:t>guidelines for making decisions</w:t>
            </w:r>
          </w:p>
          <w:p w:rsidR="00000000" w:rsidRPr="00FC53B9" w:rsidP="00FC53B9">
            <w:pPr>
              <w:pStyle w:val="ListBullet2"/>
            </w:pPr>
            <w:r w:rsidRPr="00FC53B9">
              <w:t>decision making aids and support systems</w:t>
            </w:r>
          </w:p>
          <w:p w:rsidR="00000000" w:rsidRPr="00FC53B9" w:rsidP="00FC53B9">
            <w:pPr>
              <w:pStyle w:val="ListBullet2"/>
            </w:pPr>
            <w:r w:rsidRPr="00FC53B9">
              <w:t>negotiation with internal and external stakeholders</w:t>
            </w:r>
          </w:p>
          <w:p w:rsidR="00000000" w:rsidRPr="00FC53B9" w:rsidP="00FC53B9">
            <w:pPr>
              <w:pStyle w:val="ListBullet2"/>
            </w:pPr>
            <w:r w:rsidRPr="00FC53B9">
              <w:t>the nature of negotiation</w:t>
            </w:r>
          </w:p>
          <w:p w:rsidR="00000000" w:rsidRPr="00FC53B9" w:rsidP="00FC53B9">
            <w:pPr>
              <w:pStyle w:val="ListBullet2"/>
            </w:pPr>
            <w:r w:rsidRPr="00FC53B9">
              <w:t>strategy and tactics of bargaining</w:t>
            </w:r>
          </w:p>
          <w:p w:rsidR="00000000" w:rsidRPr="00FC53B9" w:rsidP="00FC53B9">
            <w:pPr>
              <w:pStyle w:val="ListBullet2"/>
            </w:pPr>
            <w:r w:rsidRPr="00FC53B9">
              <w:t>pre-negotiation essentials</w:t>
            </w:r>
          </w:p>
          <w:p w:rsidR="00000000" w:rsidRPr="00FC53B9" w:rsidP="00FC53B9">
            <w:pPr>
              <w:pStyle w:val="ListBullet2"/>
            </w:pPr>
            <w:r w:rsidRPr="00FC53B9">
              <w:t xml:space="preserve">communication </w:t>
            </w:r>
            <w:r w:rsidRPr="00FC53B9">
              <w:t>in negotiation</w:t>
            </w:r>
          </w:p>
          <w:p w:rsidR="00000000" w:rsidRPr="00FC53B9" w:rsidP="00FC53B9">
            <w:pPr>
              <w:pStyle w:val="ListBullet"/>
            </w:pPr>
            <w:r w:rsidRPr="00FC53B9">
              <w:t>resolve conflict with internal or external stakeholders</w:t>
            </w:r>
          </w:p>
          <w:p w:rsidR="00000000" w:rsidRPr="00FC53B9" w:rsidP="00FC53B9">
            <w:pPr>
              <w:pStyle w:val="ListBullet2"/>
            </w:pPr>
            <w:r w:rsidRPr="00FC53B9">
              <w:t>dealing with negotiation breakdowns</w:t>
            </w:r>
          </w:p>
          <w:p w:rsidR="00000000" w:rsidRPr="00FC53B9" w:rsidP="00FC53B9">
            <w:pPr>
              <w:pStyle w:val="ListBullet2"/>
            </w:pPr>
            <w:r w:rsidRPr="00FC53B9">
              <w:t>social context of negotiation</w:t>
            </w:r>
          </w:p>
          <w:p w:rsidR="00000000" w:rsidRPr="00FC53B9" w:rsidP="00FC53B9">
            <w:pPr>
              <w:pStyle w:val="ListBullet2"/>
            </w:pPr>
            <w:r w:rsidRPr="00FC53B9">
              <w:t>power in negotiation</w:t>
            </w:r>
          </w:p>
          <w:p w:rsidR="00000000" w:rsidRPr="00FC53B9" w:rsidP="00FC53B9">
            <w:pPr>
              <w:pStyle w:val="ListBullet2"/>
            </w:pPr>
            <w:r w:rsidRPr="00FC53B9">
              <w:t>ethics in negotiation.</w:t>
            </w:r>
          </w:p>
        </w:tc>
      </w:tr>
    </w:tbl>
    <w:p w:rsidR="00F954EC" w:rsidP="00FC53B9">
      <w:pPr>
        <w:pStyle w:val="BodyText"/>
      </w:pPr>
    </w:p>
    <w:p w:rsidR="00F954EC" w:rsidP="00FC53B9">
      <w:pPr>
        <w:pStyle w:val="BodyText"/>
      </w:pPr>
    </w:p>
    <w:p w:rsidR="00000000" w:rsidRPr="00FC53B9" w:rsidP="00FC53B9">
      <w:pPr>
        <w:pStyle w:val="Heading1"/>
      </w:pPr>
      <w:bookmarkStart w:id="10" w:name="O_402653"/>
      <w:bookmarkEnd w:id="10"/>
      <w:r w:rsidRPr="00FC53B9">
        <w:t>Evidence Guide</w:t>
      </w:r>
    </w:p>
    <w:tbl>
      <w:tblPr>
        <w:tblW w:w="0" w:type="auto"/>
        <w:tblLayout w:type="fixed"/>
        <w:tblCellMar>
          <w:left w:w="62" w:type="dxa"/>
          <w:right w:w="62" w:type="dxa"/>
        </w:tblCellMar>
        <w:tblLook w:val="0000"/>
      </w:tblPr>
      <w:tblGrid>
        <w:gridCol w:w="8460"/>
      </w:tblGrid>
      <w:tr w:rsidTr="00F954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EVIDENCE GUIDE</w:t>
            </w:r>
          </w:p>
        </w:tc>
      </w:tr>
      <w:tr w:rsidTr="00F95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9)</w:t>
            </w:r>
            <w:r w:rsidRPr="00FC53B9">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FC53B9" w:rsidP="00FC53B9">
      <w:pPr>
        <w:pStyle w:val="BodyText"/>
      </w:pPr>
    </w:p>
    <w:tbl>
      <w:tblPr>
        <w:tblW w:w="0" w:type="auto"/>
        <w:tblLayout w:type="fixed"/>
        <w:tblCellMar>
          <w:left w:w="62" w:type="dxa"/>
          <w:right w:w="62" w:type="dxa"/>
        </w:tblCellMar>
        <w:tblLook w:val="0000"/>
      </w:tblPr>
      <w:tblGrid>
        <w:gridCol w:w="1890"/>
        <w:gridCol w:w="6570"/>
      </w:tblGrid>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9.1)</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Longitudina</w:t>
            </w:r>
            <w:r w:rsidRPr="00FC53B9">
              <w:t>l competency development approaches to assessment, such as Profiling, require data to be reliably gathered in a form that can be consistently interpreted over time. This approach is best utilised in Apprenticeship programs and reduces assessment interventi</w:t>
            </w:r>
            <w:r w:rsidRPr="00FC53B9">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FC53B9">
              <w:t>realistically simulated work environment. It is recognised that, in some circumstances, assessment in part or full can occur outside the workplace. However, it must be in accord with industry and regulatory policy in this regard.</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Methods chosen for a par</w:t>
            </w:r>
            <w:r w:rsidRPr="00FC53B9">
              <w:t>ticular assessment will be influenced by various factors. These include the extent of the assessment, the most effective locations for the assessment activities to take place, access to physical resources, additional safety measures that may be required an</w:t>
            </w:r>
            <w:r w:rsidRPr="00FC53B9">
              <w:t>d the critical nature of the competencies being assessed.</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 xml:space="preserve">The critical safety nature of working with electricity, electrical equipment, gas or any other hazardous substance/material carries risk in </w:t>
            </w:r>
            <w:r w:rsidRPr="00FC53B9">
              <w:t>deeming a person competent. Hence, sources of evidence need to be ‘rich’ in nature so as to minimise error in judgment.</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Activities associated with normal every day work have a bearing on the decision as to how much and how detailed the data gathered will</w:t>
            </w:r>
            <w:r w:rsidRPr="00FC53B9">
              <w:t xml:space="preserve"> contribute to its ‘richness’. Some skills are more critical to safety and operational requirements while the same skills may be more or less frequently practised. These points are raised for the assessors to consider when choosing an assessment method and</w:t>
            </w:r>
            <w:r w:rsidRPr="00FC53B9">
              <w:t xml:space="preserve"> developing assessment instruments. Sample assessment instruments are included in the Assessment Guidelines of this Training Package.</w:t>
            </w:r>
          </w:p>
        </w:tc>
      </w:tr>
    </w:tbl>
    <w:p w:rsidR="00000000" w:rsidRPr="00FC53B9" w:rsidP="00FC53B9">
      <w:pPr>
        <w:pStyle w:val="BodyText"/>
      </w:pPr>
    </w:p>
    <w:tbl>
      <w:tblPr>
        <w:tblW w:w="0" w:type="auto"/>
        <w:tblLayout w:type="fixed"/>
        <w:tblCellMar>
          <w:left w:w="62" w:type="dxa"/>
          <w:right w:w="62" w:type="dxa"/>
        </w:tblCellMar>
        <w:tblLook w:val="0000"/>
      </w:tblPr>
      <w:tblGrid>
        <w:gridCol w:w="1890"/>
        <w:gridCol w:w="6570"/>
      </w:tblGrid>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9.2)</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Before the critical aspects of evide</w:t>
            </w:r>
            <w:r w:rsidRPr="00FC53B9">
              <w:t>nce are considered all prerequisites shall be met.</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 xml:space="preserve">Evidence for competence in this unit shall be considered holistically. Each element and associated Performance Criteria shall be demonstrated on at least two occasions in accordance with the ‘Assessment </w:t>
            </w:r>
            <w:r w:rsidRPr="00FC53B9">
              <w:t>Guidelines — UEG11’. Evidence shall also comprise:</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ListBullet"/>
              <w:rPr>
                <w:lang w:val="en-NZ"/>
              </w:rPr>
            </w:pPr>
            <w:r w:rsidRPr="00FC53B9">
              <w:t xml:space="preserve">A representative body of work performance demonstrated within the timeframes typically expected of the discipline, work function and industrial environment. In particular this shall incorporate evidence </w:t>
            </w:r>
            <w:r w:rsidRPr="00FC53B9">
              <w:t>that shows a candidate is able to:</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ListBullet2"/>
              <w:rPr>
                <w:lang w:val="en-NZ"/>
              </w:rPr>
            </w:pPr>
            <w:r w:rsidRPr="00FC53B9">
              <w:t>Implement Occupational Health and Safety workplace procedures and practices including the use of risk control measures as specified in the Performance Criteria and range</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ListBullet2"/>
              <w:rPr>
                <w:lang w:val="en-NZ"/>
              </w:rPr>
            </w:pPr>
            <w:r w:rsidRPr="00FC53B9">
              <w:t>Apply sustainable energy principles and practices as specified in the Performance Criteria and range</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ListBullet2"/>
              <w:rPr>
                <w:lang w:val="en-NZ"/>
              </w:rPr>
            </w:pPr>
            <w:r w:rsidRPr="00FC53B9">
              <w:t>Demonstrate an understanding of the essential knowledge and associated skills as described in this unit to such an extent that the learner’s performance</w:t>
            </w:r>
            <w:r w:rsidRPr="00FC53B9">
              <w:t xml:space="preserve"> outcome is reported in accordance with the preferred approach; namely a percentile graded result</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ListBullet2"/>
              <w:rPr>
                <w:lang w:val="en-NZ"/>
              </w:rPr>
            </w:pPr>
            <w:r w:rsidRPr="00FC53B9">
              <w:t>Demonstrate an appropriate level of employability skills</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ListBullet2"/>
              <w:rPr>
                <w:lang w:val="en-NZ"/>
              </w:rPr>
            </w:pPr>
            <w:r w:rsidRPr="00FC53B9">
              <w:t xml:space="preserve">Conduct work observing the relevant Anti discrimination legislation, regulations, polices </w:t>
            </w:r>
            <w:r w:rsidRPr="00FC53B9">
              <w:t>and workplace procedures</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FC53B9" w:rsidP="00FC53B9">
            <w:pPr>
              <w:pStyle w:val="ListBullet"/>
            </w:pPr>
            <w:r w:rsidRPr="00FC53B9">
              <w:t>Demonstrate performance across a representative range of contexts from the prescribed items below:</w:t>
            </w:r>
          </w:p>
        </w:tc>
      </w:tr>
    </w:tbl>
    <w:p w:rsidR="00000000" w:rsidRPr="00FC53B9" w:rsidP="00FC53B9">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F954EC">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C53B9">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B9">
            <w:pPr>
              <w:pStyle w:val="BodyText"/>
              <w:rPr>
                <w:lang w:val="en-NZ"/>
              </w:rPr>
            </w:pPr>
            <w:r w:rsidRPr="00FC53B9">
              <w:rPr>
                <w:rStyle w:val="SpecialBold"/>
              </w:rPr>
              <w:t>Range of tools/equipment/procedures/workplace</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FC53B9">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B9" w:rsidP="00FC53B9">
            <w:pPr>
              <w:pStyle w:val="BodyText"/>
            </w:pPr>
            <w:r w:rsidRPr="00FC53B9">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B9" w:rsidP="00FC53B9">
            <w:pPr>
              <w:pStyle w:val="BodyText"/>
            </w:pPr>
            <w:r w:rsidRPr="00FC53B9">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B9">
            <w:pPr>
              <w:pStyle w:val="BodyText"/>
              <w:rPr>
                <w:lang w:val="en-NZ"/>
              </w:rPr>
            </w:pPr>
            <w:r w:rsidRPr="00FC53B9">
              <w:rPr>
                <w:rStyle w:val="SpecialBold"/>
              </w:rPr>
              <w:t>Item List</w:t>
            </w:r>
          </w:p>
        </w:tc>
      </w:tr>
      <w:tr w:rsidTr="00F954EC">
        <w:tblPrEx>
          <w:tblW w:w="0" w:type="auto"/>
          <w:tblLayout w:type="fixed"/>
          <w:tblCellMar>
            <w:left w:w="62" w:type="dxa"/>
            <w:right w:w="62" w:type="dxa"/>
          </w:tblCellMar>
          <w:tblLook w:val="0000"/>
        </w:tblPrEx>
        <w:trPr>
          <w:trHeight w:val="20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B9">
            <w:pPr>
              <w:pStyle w:val="BodyText"/>
              <w:rPr>
                <w:lang w:val="en-NZ"/>
              </w:rPr>
            </w:pPr>
            <w:r w:rsidRPr="00FC53B9">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B9">
            <w:pPr>
              <w:pStyle w:val="BodyText"/>
              <w:rPr>
                <w:lang w:val="en-NZ"/>
              </w:rPr>
            </w:pPr>
            <w:r w:rsidRPr="00FC53B9">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B9" w:rsidP="00FC53B9">
            <w:pPr>
              <w:pStyle w:val="BodyText"/>
            </w:pPr>
            <w:r w:rsidRPr="00FC53B9">
              <w:t>Managing conflict in a sensitive environment.</w:t>
            </w:r>
          </w:p>
          <w:p w:rsidR="00000000" w:rsidP="00FC53B9">
            <w:pPr>
              <w:pStyle w:val="BodyText"/>
              <w:rPr>
                <w:lang w:val="en-NZ"/>
              </w:rPr>
            </w:pPr>
            <w:r w:rsidRPr="00FC53B9">
              <w:t>Carrying out Company Safety procedures for dealing with persons under the influence of drugs or alcohol.</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B9">
            <w:pPr>
              <w:pStyle w:val="BodyText"/>
              <w:rPr>
                <w:lang w:val="en-NZ"/>
              </w:rPr>
            </w:pPr>
            <w:r w:rsidRPr="00FC53B9">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53B9">
            <w:pPr>
              <w:pStyle w:val="BodyText"/>
              <w:rPr>
                <w:lang w:val="en-NZ"/>
              </w:rPr>
            </w:pPr>
            <w:r w:rsidRPr="00FC53B9">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53B9" w:rsidP="00FC53B9">
            <w:pPr>
              <w:pStyle w:val="BodyText"/>
            </w:pPr>
            <w:r w:rsidRPr="00FC53B9">
              <w:t>Deal with an unplanned event by drawing on essential knowledge and associated skills to provide appropriate solutions incorporated in the holistic assessment with the above listed items</w:t>
            </w:r>
          </w:p>
        </w:tc>
      </w:tr>
    </w:tbl>
    <w:p w:rsidR="00000000" w:rsidRPr="00FC53B9" w:rsidP="00FC53B9">
      <w:pPr>
        <w:pStyle w:val="BodyText"/>
      </w:pPr>
    </w:p>
    <w:tbl>
      <w:tblPr>
        <w:tblW w:w="0" w:type="auto"/>
        <w:tblLayout w:type="fixed"/>
        <w:tblCellMar>
          <w:left w:w="62" w:type="dxa"/>
          <w:right w:w="62" w:type="dxa"/>
        </w:tblCellMar>
        <w:tblLook w:val="0000"/>
      </w:tblPr>
      <w:tblGrid>
        <w:gridCol w:w="1890"/>
        <w:gridCol w:w="6570"/>
      </w:tblGrid>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9.3)</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This unit sh</w:t>
            </w:r>
            <w:r w:rsidRPr="00FC53B9">
              <w:t>ould be assessed as it relates to normal work practice using procedures, information and resources typical of a workplace. This should include:</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ListBullet"/>
              <w:rPr>
                <w:lang w:val="en-NZ"/>
              </w:rPr>
            </w:pPr>
            <w:r w:rsidRPr="00FC53B9">
              <w:t>OHS policy and work procedures and instructions.</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ListBullet"/>
              <w:rPr>
                <w:lang w:val="en-NZ"/>
              </w:rPr>
            </w:pPr>
            <w:r w:rsidRPr="00FC53B9">
              <w:t>Suitable work environment, facilities, equipment and materials to undertake actual work as prescribed by this Unit.</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ListBullet"/>
              <w:rPr>
                <w:lang w:val="en-NZ"/>
              </w:rPr>
            </w:pPr>
            <w:r w:rsidRPr="00FC53B9">
              <w:t>Appropriate environmental regulation and work practices.</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ListBullet"/>
              <w:rPr>
                <w:lang w:val="en-NZ"/>
              </w:rPr>
            </w:pPr>
            <w:r w:rsidRPr="00FC53B9">
              <w:t>Appropriate organisational requirements.</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ListBullet"/>
              <w:rPr>
                <w:lang w:val="en-NZ"/>
              </w:rPr>
            </w:pPr>
            <w:r w:rsidRPr="00FC53B9">
              <w:t>Appropriate work environment, equipm</w:t>
            </w:r>
            <w:r w:rsidRPr="00FC53B9">
              <w:t>ent and tools.</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In addition to the resources listed above in context of and specific resources for assessment, evidence should show demonstrated competency in maintaining pipeline easements.</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Assessment of this competency must also be undertaken in eithe</w:t>
            </w:r>
            <w:r w:rsidRPr="00FC53B9">
              <w:t>r an actual workplace or under a simulated work environment. Assessment must also integrate the employability skills.</w:t>
            </w:r>
          </w:p>
        </w:tc>
      </w:tr>
    </w:tbl>
    <w:p w:rsidR="00000000" w:rsidRPr="00FC53B9" w:rsidP="00FC53B9">
      <w:pPr>
        <w:pStyle w:val="BodyText"/>
      </w:pPr>
    </w:p>
    <w:tbl>
      <w:tblPr>
        <w:tblW w:w="0" w:type="auto"/>
        <w:tblLayout w:type="fixed"/>
        <w:tblCellMar>
          <w:left w:w="62" w:type="dxa"/>
          <w:right w:w="62" w:type="dxa"/>
        </w:tblCellMar>
        <w:tblLook w:val="0000"/>
      </w:tblPr>
      <w:tblGrid>
        <w:gridCol w:w="1890"/>
        <w:gridCol w:w="6570"/>
      </w:tblGrid>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9.4)</w:t>
            </w:r>
          </w:p>
        </w:tc>
      </w:tr>
      <w:tr w:rsidTr="00F954EC">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This Unit shall be assessed by methods given in Volume 1, Part 3 ‘Assessment Guidelines’.</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FC53B9">
              <w:t>intended for learning/assessment and incorporates all necessary equipment and facilities for learners to develop and demonstrate the Essential Knowledge and Associated Skills described in this unit.</w:t>
            </w:r>
          </w:p>
        </w:tc>
      </w:tr>
    </w:tbl>
    <w:p w:rsidR="00000000" w:rsidRPr="00FC53B9" w:rsidP="00FC53B9">
      <w:pPr>
        <w:pStyle w:val="BodyText"/>
      </w:pPr>
    </w:p>
    <w:tbl>
      <w:tblPr>
        <w:tblW w:w="0" w:type="auto"/>
        <w:tblLayout w:type="fixed"/>
        <w:tblCellMar>
          <w:left w:w="62" w:type="dxa"/>
          <w:right w:w="62" w:type="dxa"/>
        </w:tblCellMar>
        <w:tblLook w:val="0000"/>
      </w:tblPr>
      <w:tblGrid>
        <w:gridCol w:w="1890"/>
        <w:gridCol w:w="6570"/>
      </w:tblGrid>
      <w:tr w:rsidTr="00F954EC">
        <w:tblPrEx>
          <w:tblW w:w="0" w:type="auto"/>
          <w:tblLayout w:type="fixed"/>
          <w:tblCellMar>
            <w:left w:w="62" w:type="dxa"/>
            <w:right w:w="62" w:type="dxa"/>
          </w:tblCellMar>
          <w:tblLook w:val="0000"/>
        </w:tblPrEx>
        <w:trPr>
          <w:trHeight w:val="947"/>
        </w:trPr>
        <w:tc>
          <w:tcPr>
            <w:tcW w:w="189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9.5)</w:t>
            </w:r>
          </w:p>
        </w:tc>
      </w:tr>
      <w:tr w:rsidTr="00F954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There are no recommended concurrent assessments with this unit.</w:t>
            </w:r>
          </w:p>
        </w:tc>
      </w:tr>
    </w:tbl>
    <w:p w:rsidR="00F954EC" w:rsidP="00FC53B9">
      <w:pPr>
        <w:pStyle w:val="BodyText"/>
      </w:pPr>
    </w:p>
    <w:p w:rsidR="00F954EC" w:rsidP="00FC53B9">
      <w:pPr>
        <w:pStyle w:val="BodyText"/>
      </w:pPr>
    </w:p>
    <w:p w:rsidR="00000000" w:rsidRPr="00FC53B9" w:rsidP="00FC53B9">
      <w:pPr>
        <w:pStyle w:val="Heading1"/>
      </w:pPr>
      <w:bookmarkStart w:id="11" w:name="O_402657"/>
      <w:bookmarkEnd w:id="11"/>
      <w:r w:rsidRPr="00FC53B9">
        <w:t>Range Statement</w:t>
      </w:r>
    </w:p>
    <w:tbl>
      <w:tblPr>
        <w:tblW w:w="0" w:type="auto"/>
        <w:tblLayout w:type="fixed"/>
        <w:tblCellMar>
          <w:left w:w="62" w:type="dxa"/>
          <w:right w:w="62" w:type="dxa"/>
        </w:tblCellMar>
        <w:tblLook w:val="0000"/>
      </w:tblPr>
      <w:tblGrid>
        <w:gridCol w:w="8460"/>
      </w:tblGrid>
      <w:tr w:rsidTr="00F954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RANGE STATEMENT</w:t>
            </w:r>
          </w:p>
        </w:tc>
      </w:tr>
      <w:tr w:rsidTr="00F954EC">
        <w:tblPrEx>
          <w:tblW w:w="0" w:type="auto"/>
          <w:tblLayout w:type="fixed"/>
          <w:tblCellMar>
            <w:left w:w="62" w:type="dxa"/>
            <w:right w:w="62" w:type="dxa"/>
          </w:tblCellMar>
          <w:tblLook w:val="0000"/>
        </w:tblPrEx>
        <w:trPr>
          <w:trHeight w:val="845"/>
        </w:trPr>
        <w:tc>
          <w:tcPr>
            <w:tcW w:w="84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10)</w:t>
            </w:r>
            <w:r w:rsidRPr="00FC53B9">
              <w:t xml:space="preserve"> This relates to the competency standard unit as a whole providing the range of contexts and </w:t>
            </w:r>
            <w:r w:rsidRPr="00FC53B9">
              <w:t>conditions to which the Performance Criteria apply. It allows for different work environments and situations that will affect performance.</w:t>
            </w:r>
          </w:p>
        </w:tc>
      </w:tr>
      <w:tr w:rsidTr="00F95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 xml:space="preserve">This Competency Standard Unit shall be demonstrated in relation to follow company procedures to deal with incidents </w:t>
            </w:r>
            <w:r w:rsidRPr="00FC53B9">
              <w:t>related to the abuse of drugs and alcohol.</w:t>
            </w:r>
          </w:p>
        </w:tc>
      </w:tr>
      <w:tr w:rsidTr="00F95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The following constants and variables included in the element/Performance Criteria in this unit are fully described in the Definitions Section of this volume and form an integral part of the Range Statement of th</w:t>
            </w:r>
            <w:r w:rsidRPr="00FC53B9">
              <w:t>is unit:</w:t>
            </w:r>
          </w:p>
        </w:tc>
      </w:tr>
      <w:tr w:rsidTr="00F95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t>Drug and alcohol policies and procedures</w:t>
            </w:r>
          </w:p>
        </w:tc>
      </w:tr>
      <w:tr w:rsidTr="00F95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OHS policies and procedures related to alcohol abuse</w:t>
            </w:r>
          </w:p>
        </w:tc>
      </w:tr>
    </w:tbl>
    <w:p w:rsidR="00000000" w:rsidRPr="00FC53B9" w:rsidP="00FC53B9">
      <w:pPr>
        <w:pStyle w:val="BodyText"/>
      </w:pPr>
    </w:p>
    <w:p w:rsidR="00000000" w:rsidRPr="00FC53B9" w:rsidP="00FC53B9">
      <w:pPr>
        <w:pStyle w:val="AllowPageBreak"/>
      </w:pPr>
    </w:p>
    <w:p w:rsidR="00000000" w:rsidRPr="00FC53B9" w:rsidP="00FC53B9">
      <w:pPr>
        <w:pStyle w:val="Heading1"/>
      </w:pPr>
      <w:bookmarkStart w:id="12" w:name="O_402660"/>
      <w:bookmarkEnd w:id="12"/>
      <w:r w:rsidRPr="00FC53B9">
        <w:t>Unit Sector(s)</w:t>
      </w:r>
    </w:p>
    <w:p w:rsidR="00000000" w:rsidRPr="00FC53B9" w:rsidP="00FC53B9">
      <w:pPr>
        <w:pStyle w:val="BodyText"/>
      </w:pPr>
      <w:r w:rsidRPr="00FC53B9">
        <w:t>Not applicable.</w:t>
      </w:r>
    </w:p>
    <w:p w:rsidR="00000000" w:rsidRPr="00FC53B9" w:rsidP="00FC53B9">
      <w:pPr>
        <w:pStyle w:val="AllowPageBreak"/>
      </w:pPr>
    </w:p>
    <w:p w:rsidR="00000000" w:rsidRPr="00FC53B9" w:rsidP="00FC53B9">
      <w:pPr>
        <w:pStyle w:val="Heading1"/>
      </w:pPr>
      <w:bookmarkStart w:id="13" w:name="O_402649"/>
      <w:bookmarkEnd w:id="13"/>
      <w:r w:rsidRPr="00FC53B9">
        <w:t>Competency Field</w:t>
      </w:r>
    </w:p>
    <w:tbl>
      <w:tblPr>
        <w:tblW w:w="0" w:type="auto"/>
        <w:tblLayout w:type="fixed"/>
        <w:tblCellMar>
          <w:left w:w="62" w:type="dxa"/>
          <w:right w:w="62" w:type="dxa"/>
        </w:tblCellMar>
        <w:tblLook w:val="0000"/>
      </w:tblPr>
      <w:tblGrid>
        <w:gridCol w:w="2700"/>
        <w:gridCol w:w="5760"/>
      </w:tblGrid>
      <w:tr w:rsidTr="00F95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53B9">
            <w:pPr>
              <w:pStyle w:val="BodyText"/>
              <w:rPr>
                <w:lang w:val="en-NZ"/>
              </w:rPr>
            </w:pPr>
            <w:r w:rsidRPr="00FC53B9">
              <w:rPr>
                <w:rStyle w:val="SpecialBold"/>
              </w:rPr>
              <w:t xml:space="preserve">11) </w:t>
            </w:r>
          </w:p>
        </w:tc>
      </w:tr>
      <w:tr w:rsidTr="00F95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53B9" w:rsidP="00FC53B9">
            <w:pPr>
              <w:pStyle w:val="BodyText"/>
            </w:pPr>
            <w:r w:rsidRPr="00FC53B9">
              <w:t>Transmission discipline</w:t>
            </w:r>
          </w:p>
        </w:tc>
      </w:tr>
    </w:tbl>
    <w:p w:rsidR="00000000" w:rsidRPr="00FC53B9" w:rsidP="00FC53B9">
      <w:pPr>
        <w:pStyle w:val="BodyText"/>
      </w:pPr>
    </w:p>
    <w:p w:rsidR="00000000" w:rsidRPr="00FC53B9" w:rsidP="00FC53B9"/>
    <w:sectPr w:rsidSect="00FC53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4EC" w:rsidP="00F954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EC" w:rsidP="00FC53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54EC" w:rsidP="00FC53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954EC" w:rsidP="00FC53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B9" w:rsidRPr="00F954EC" w:rsidP="00F954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EC" w:rsidRPr="002D2AF8" w:rsidP="00FC53B9">
    <w:pPr>
      <w:pStyle w:val="Header"/>
      <w:framePr w:wrap="around"/>
    </w:pPr>
    <w:r>
      <w:fldChar w:fldCharType="begin"/>
    </w:r>
    <w:r>
      <w:instrText xml:space="preserve"> TITLE   \* MERGEFORMAT </w:instrText>
    </w:r>
    <w:r>
      <w:fldChar w:fldCharType="separate"/>
    </w:r>
    <w:r>
      <w:t>UEGNSG324A Follow company procedures to deal with incidents related to the abuse of drugs and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954EC" w:rsidP="00FC5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209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C84E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6D2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3B9"/>
    <w:pPr>
      <w:spacing w:before="360" w:after="60"/>
      <w:outlineLvl w:val="0"/>
    </w:pPr>
    <w:rPr>
      <w:sz w:val="32"/>
    </w:rPr>
  </w:style>
  <w:style w:type="paragraph" w:styleId="Heading2">
    <w:name w:val="heading 2"/>
    <w:basedOn w:val="HeadingBase"/>
    <w:next w:val="BodyText"/>
    <w:link w:val="Heading2Char"/>
    <w:qFormat/>
    <w:rsid w:val="00FC53B9"/>
    <w:pPr>
      <w:keepLines/>
      <w:spacing w:before="240" w:after="120"/>
      <w:outlineLvl w:val="1"/>
    </w:pPr>
    <w:rPr>
      <w:sz w:val="28"/>
      <w:szCs w:val="40"/>
    </w:rPr>
  </w:style>
  <w:style w:type="paragraph" w:styleId="Heading3">
    <w:name w:val="heading 3"/>
    <w:basedOn w:val="HeadingBase"/>
    <w:next w:val="BodyText"/>
    <w:link w:val="Heading3Char"/>
    <w:qFormat/>
    <w:rsid w:val="00FC53B9"/>
    <w:pPr>
      <w:spacing w:before="180" w:after="120"/>
      <w:outlineLvl w:val="2"/>
    </w:pPr>
    <w:rPr>
      <w:spacing w:val="-10"/>
      <w:kern w:val="32"/>
    </w:rPr>
  </w:style>
  <w:style w:type="paragraph" w:styleId="Heading4">
    <w:name w:val="heading 4"/>
    <w:basedOn w:val="HeadingBase"/>
    <w:next w:val="BodyText"/>
    <w:link w:val="Heading4Char"/>
    <w:qFormat/>
    <w:rsid w:val="00FC53B9"/>
    <w:pPr>
      <w:spacing w:before="160" w:after="120"/>
      <w:outlineLvl w:val="3"/>
    </w:pPr>
    <w:rPr>
      <w:sz w:val="22"/>
    </w:rPr>
  </w:style>
  <w:style w:type="paragraph" w:styleId="Heading5">
    <w:name w:val="heading 5"/>
    <w:basedOn w:val="HeadingBase"/>
    <w:next w:val="Normal"/>
    <w:link w:val="Heading5Char"/>
    <w:qFormat/>
    <w:rsid w:val="00FC53B9"/>
    <w:pPr>
      <w:spacing w:before="80"/>
      <w:outlineLvl w:val="4"/>
    </w:pPr>
    <w:rPr>
      <w:color w:val="918585"/>
      <w:sz w:val="20"/>
    </w:rPr>
  </w:style>
  <w:style w:type="paragraph" w:styleId="Heading6">
    <w:name w:val="heading 6"/>
    <w:basedOn w:val="HeadingBase"/>
    <w:next w:val="Normal"/>
    <w:link w:val="Heading6Char"/>
    <w:qFormat/>
    <w:rsid w:val="00FC53B9"/>
    <w:pPr>
      <w:spacing w:before="60"/>
      <w:outlineLvl w:val="5"/>
    </w:pPr>
    <w:rPr>
      <w:color w:val="918585"/>
      <w:sz w:val="20"/>
    </w:rPr>
  </w:style>
  <w:style w:type="paragraph" w:styleId="Heading7">
    <w:name w:val="heading 7"/>
    <w:basedOn w:val="Normal"/>
    <w:next w:val="Normal"/>
    <w:link w:val="Heading7Char"/>
    <w:qFormat/>
    <w:rsid w:val="00FC53B9"/>
    <w:pPr>
      <w:ind w:left="720"/>
      <w:outlineLvl w:val="6"/>
    </w:pPr>
    <w:rPr>
      <w:i/>
    </w:rPr>
  </w:style>
  <w:style w:type="paragraph" w:styleId="Heading8">
    <w:name w:val="heading 8"/>
    <w:basedOn w:val="Normal"/>
    <w:next w:val="Normal"/>
    <w:link w:val="Heading8Char"/>
    <w:qFormat/>
    <w:rsid w:val="00FC53B9"/>
    <w:pPr>
      <w:ind w:left="720"/>
      <w:outlineLvl w:val="7"/>
    </w:pPr>
    <w:rPr>
      <w:i/>
    </w:rPr>
  </w:style>
  <w:style w:type="paragraph" w:styleId="Heading9">
    <w:name w:val="heading 9"/>
    <w:basedOn w:val="Normal"/>
    <w:next w:val="Normal"/>
    <w:link w:val="Heading9Char"/>
    <w:qFormat/>
    <w:rsid w:val="00FC53B9"/>
    <w:pPr>
      <w:ind w:left="720"/>
      <w:outlineLvl w:val="8"/>
    </w:pPr>
    <w:rPr>
      <w:i/>
    </w:rPr>
  </w:style>
  <w:style w:type="character" w:default="1" w:styleId="DefaultParagraphFont">
    <w:name w:val="Default Paragraph Font"/>
    <w:uiPriority w:val="1"/>
    <w:unhideWhenUsed/>
    <w:rsid w:val="00FC5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3B9"/>
  </w:style>
  <w:style w:type="character" w:customStyle="1" w:styleId="Heading1Char">
    <w:name w:val="Heading 1 Char"/>
    <w:basedOn w:val="DefaultParagraphFont"/>
    <w:link w:val="Heading1"/>
    <w:rsid w:val="00FC53B9"/>
    <w:rPr>
      <w:rFonts w:ascii="Times New Roman" w:eastAsia="Times New Roman" w:hAnsi="Times New Roman" w:cs="Times New Roman"/>
      <w:b/>
      <w:sz w:val="32"/>
      <w:szCs w:val="20"/>
      <w:lang w:eastAsia="en-US"/>
    </w:rPr>
  </w:style>
  <w:style w:type="paragraph" w:styleId="BodyText">
    <w:name w:val="Body Text"/>
    <w:basedOn w:val="Normal"/>
    <w:link w:val="BodyTextChar"/>
    <w:rsid w:val="00FC53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3B9"/>
    <w:rPr>
      <w:rFonts w:ascii="Times New Roman" w:eastAsia="Times New Roman" w:hAnsi="Times New Roman" w:cs="Times New Roman"/>
      <w:sz w:val="24"/>
      <w:lang w:eastAsia="en-US"/>
    </w:rPr>
  </w:style>
  <w:style w:type="paragraph" w:styleId="Footer">
    <w:name w:val="footer"/>
    <w:basedOn w:val="Normal"/>
    <w:link w:val="FooterChar"/>
    <w:rsid w:val="00FC5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3B9"/>
    <w:rPr>
      <w:rFonts w:ascii="Times New Roman" w:eastAsia="Times New Roman" w:hAnsi="Times New Roman" w:cs="Times New Roman"/>
      <w:sz w:val="16"/>
      <w:lang w:eastAsia="en-US"/>
    </w:rPr>
  </w:style>
  <w:style w:type="paragraph" w:styleId="ListBullet">
    <w:name w:val="List Bullet"/>
    <w:basedOn w:val="List"/>
    <w:rsid w:val="00FC53B9"/>
    <w:pPr>
      <w:numPr>
        <w:numId w:val="13"/>
      </w:numPr>
      <w:tabs>
        <w:tab w:val="clear" w:pos="340"/>
      </w:tabs>
      <w:spacing w:before="40" w:after="40"/>
    </w:pPr>
  </w:style>
  <w:style w:type="character" w:customStyle="1" w:styleId="SpecialBold">
    <w:name w:val="Special Bold"/>
    <w:basedOn w:val="DefaultParagraphFont"/>
    <w:rsid w:val="00FC53B9"/>
    <w:rPr>
      <w:b/>
      <w:spacing w:val="0"/>
    </w:rPr>
  </w:style>
  <w:style w:type="paragraph" w:styleId="ListBullet2">
    <w:name w:val="List Bullet 2"/>
    <w:basedOn w:val="List2"/>
    <w:rsid w:val="00FC53B9"/>
    <w:pPr>
      <w:numPr>
        <w:numId w:val="14"/>
      </w:numPr>
      <w:tabs>
        <w:tab w:val="clear" w:pos="680"/>
      </w:tabs>
    </w:pPr>
  </w:style>
  <w:style w:type="paragraph" w:customStyle="1" w:styleId="SuperHeading">
    <w:name w:val="SuperHeading"/>
    <w:basedOn w:val="Normal"/>
    <w:rsid w:val="00FC53B9"/>
    <w:pPr>
      <w:spacing w:before="240" w:after="120"/>
      <w:outlineLvl w:val="0"/>
    </w:pPr>
    <w:rPr>
      <w:rFonts w:ascii="Times New Roman" w:hAnsi="Times New Roman"/>
      <w:b/>
      <w:sz w:val="28"/>
    </w:rPr>
  </w:style>
  <w:style w:type="paragraph" w:customStyle="1" w:styleId="AllowPageBreak">
    <w:name w:val="AllowPageBreak"/>
    <w:rsid w:val="00FC53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5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3B9"/>
    <w:rPr>
      <w:rFonts w:ascii="Courier New" w:eastAsia="Times New Roman" w:hAnsi="Courier New" w:cs="Times New Roman"/>
      <w:i/>
      <w:szCs w:val="20"/>
      <w:lang w:eastAsia="en-US"/>
    </w:rPr>
  </w:style>
  <w:style w:type="paragraph" w:customStyle="1" w:styleId="HeadingBase">
    <w:name w:val="Heading Base"/>
    <w:rsid w:val="00FC5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3B9"/>
    <w:pPr>
      <w:tabs>
        <w:tab w:val="right" w:leader="dot" w:pos="9072"/>
      </w:tabs>
      <w:ind w:left="567"/>
    </w:pPr>
    <w:rPr>
      <w:szCs w:val="22"/>
    </w:rPr>
  </w:style>
  <w:style w:type="paragraph" w:customStyle="1" w:styleId="TOCBase">
    <w:name w:val="TOC Base"/>
    <w:rsid w:val="00FC5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3B9"/>
    <w:pPr>
      <w:tabs>
        <w:tab w:val="right" w:leader="dot" w:pos="9072"/>
      </w:tabs>
      <w:spacing w:before="40" w:after="40"/>
      <w:ind w:left="284"/>
    </w:pPr>
    <w:rPr>
      <w:rFonts w:ascii="Times New Roman" w:hAnsi="Times New Roman"/>
    </w:rPr>
  </w:style>
  <w:style w:type="paragraph" w:styleId="TOC1">
    <w:name w:val="toc 1"/>
    <w:basedOn w:val="TOCBase"/>
    <w:next w:val="Normal"/>
    <w:rsid w:val="00FC53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3B9"/>
    <w:pPr>
      <w:spacing w:before="5040"/>
      <w:jc w:val="center"/>
    </w:pPr>
    <w:rPr>
      <w:sz w:val="48"/>
      <w:szCs w:val="72"/>
      <w:lang w:val="en-US"/>
    </w:rPr>
  </w:style>
  <w:style w:type="character" w:customStyle="1" w:styleId="TitleChar">
    <w:name w:val="Title Char"/>
    <w:basedOn w:val="DefaultParagraphFont"/>
    <w:link w:val="Title"/>
    <w:rsid w:val="00FC5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3B9"/>
    <w:pPr>
      <w:tabs>
        <w:tab w:val="left" w:pos="3600"/>
        <w:tab w:val="left" w:pos="3958"/>
      </w:tabs>
    </w:pPr>
  </w:style>
  <w:style w:type="paragraph" w:styleId="List">
    <w:name w:val="List"/>
    <w:basedOn w:val="BodyText"/>
    <w:next w:val="BodyText"/>
    <w:rsid w:val="00FC53B9"/>
    <w:pPr>
      <w:tabs>
        <w:tab w:val="left" w:pos="340"/>
      </w:tabs>
      <w:spacing w:before="60" w:after="60"/>
      <w:ind w:left="340" w:hanging="340"/>
    </w:pPr>
  </w:style>
  <w:style w:type="paragraph" w:customStyle="1" w:styleId="Note">
    <w:name w:val="Note"/>
    <w:basedOn w:val="BodyText"/>
    <w:rsid w:val="00FC53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3B9"/>
    <w:pPr>
      <w:framePr w:wrap="auto" w:hAnchor="text" w:y="6049"/>
    </w:pPr>
    <w:rPr>
      <w:color w:val="000000"/>
      <w:sz w:val="40"/>
    </w:rPr>
  </w:style>
  <w:style w:type="paragraph" w:customStyle="1" w:styleId="TOCTitle">
    <w:name w:val="TOCTitle"/>
    <w:basedOn w:val="Heading1"/>
    <w:rsid w:val="00FC53B9"/>
    <w:pPr>
      <w:spacing w:after="240"/>
      <w:jc w:val="center"/>
      <w:outlineLvl w:val="9"/>
    </w:pPr>
    <w:rPr>
      <w:caps/>
    </w:rPr>
  </w:style>
  <w:style w:type="paragraph" w:customStyle="1" w:styleId="Version">
    <w:name w:val="Version"/>
    <w:rsid w:val="00FC5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3B9"/>
    <w:pPr>
      <w:keepNext w:val="0"/>
      <w:tabs>
        <w:tab w:val="right" w:pos="4176"/>
      </w:tabs>
      <w:ind w:left="198" w:hanging="198"/>
    </w:pPr>
    <w:rPr>
      <w:rFonts w:ascii="Garamond" w:hAnsi="Garamond"/>
    </w:rPr>
  </w:style>
  <w:style w:type="paragraph" w:styleId="IndexHeading">
    <w:name w:val="index heading"/>
    <w:basedOn w:val="Normal"/>
    <w:next w:val="Index1"/>
    <w:semiHidden/>
    <w:rsid w:val="00FC53B9"/>
    <w:pPr>
      <w:spacing w:before="120" w:after="120"/>
    </w:pPr>
    <w:rPr>
      <w:rFonts w:ascii="Arial" w:hAnsi="Arial"/>
      <w:b/>
      <w:color w:val="918585"/>
      <w:sz w:val="24"/>
    </w:rPr>
  </w:style>
  <w:style w:type="paragraph" w:styleId="Header">
    <w:name w:val="header"/>
    <w:basedOn w:val="Normal"/>
    <w:link w:val="HeaderChar"/>
    <w:rsid w:val="00FC5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3B9"/>
    <w:rPr>
      <w:rFonts w:ascii="Times New Roman" w:eastAsia="Times New Roman" w:hAnsi="Times New Roman" w:cs="Times New Roman"/>
      <w:sz w:val="16"/>
      <w:szCs w:val="20"/>
      <w:lang w:val="en-GB" w:eastAsia="en-US"/>
    </w:rPr>
  </w:style>
  <w:style w:type="paragraph" w:customStyle="1" w:styleId="Chapter">
    <w:name w:val="Chapter"/>
    <w:basedOn w:val="Normal"/>
    <w:rsid w:val="00FC53B9"/>
    <w:pPr>
      <w:spacing w:before="240"/>
    </w:pPr>
    <w:rPr>
      <w:rFonts w:ascii="Times New Roman" w:hAnsi="Times New Roman"/>
      <w:smallCaps/>
      <w:spacing w:val="80"/>
      <w:sz w:val="28"/>
    </w:rPr>
  </w:style>
  <w:style w:type="paragraph" w:customStyle="1" w:styleId="InChapter">
    <w:name w:val="InChapter"/>
    <w:basedOn w:val="Heading3"/>
    <w:rsid w:val="00FC53B9"/>
    <w:pPr>
      <w:spacing w:after="240"/>
      <w:outlineLvl w:val="9"/>
    </w:pPr>
    <w:rPr>
      <w:noProof/>
    </w:rPr>
  </w:style>
  <w:style w:type="paragraph" w:styleId="Index2">
    <w:name w:val="index 2"/>
    <w:basedOn w:val="Normal"/>
    <w:next w:val="Normal"/>
    <w:semiHidden/>
    <w:rsid w:val="00FC53B9"/>
    <w:pPr>
      <w:tabs>
        <w:tab w:val="right" w:pos="4176"/>
      </w:tabs>
      <w:ind w:left="568" w:hanging="284"/>
    </w:pPr>
    <w:rPr>
      <w:rFonts w:ascii="Garamond" w:hAnsi="Garamond"/>
    </w:rPr>
  </w:style>
  <w:style w:type="paragraph" w:customStyle="1" w:styleId="Byline">
    <w:name w:val="Byline"/>
    <w:rsid w:val="00FC5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3B9"/>
    <w:pPr>
      <w:tabs>
        <w:tab w:val="clear" w:pos="3600"/>
        <w:tab w:val="clear" w:pos="3958"/>
      </w:tabs>
      <w:jc w:val="right"/>
    </w:pPr>
  </w:style>
  <w:style w:type="character" w:styleId="Emphasis">
    <w:name w:val="Emphasis"/>
    <w:basedOn w:val="DefaultParagraphFont"/>
    <w:qFormat/>
    <w:rsid w:val="00FC53B9"/>
    <w:rPr>
      <w:i/>
    </w:rPr>
  </w:style>
  <w:style w:type="paragraph" w:styleId="Caption">
    <w:name w:val="caption"/>
    <w:basedOn w:val="BodyText"/>
    <w:next w:val="Normal"/>
    <w:qFormat/>
    <w:rsid w:val="00FC53B9"/>
    <w:pPr>
      <w:framePr w:w="2268" w:hSpace="181" w:vSpace="181" w:wrap="around" w:vAnchor="text" w:hAnchor="page" w:x="1135" w:y="285" w:anchorLock="1"/>
    </w:pPr>
    <w:rPr>
      <w:i/>
    </w:rPr>
  </w:style>
  <w:style w:type="paragraph" w:customStyle="1" w:styleId="MiniTOCTitle">
    <w:name w:val="MiniTOCTitle"/>
    <w:basedOn w:val="Heading4"/>
    <w:rsid w:val="00FC53B9"/>
    <w:pPr>
      <w:spacing w:before="240"/>
      <w:outlineLvl w:val="9"/>
    </w:pPr>
    <w:rPr>
      <w:noProof/>
      <w:sz w:val="24"/>
    </w:rPr>
  </w:style>
  <w:style w:type="paragraph" w:customStyle="1" w:styleId="MiniTOCItem">
    <w:name w:val="MiniTOCItem"/>
    <w:basedOn w:val="ListBullet"/>
    <w:rsid w:val="00FC53B9"/>
    <w:pPr>
      <w:numPr>
        <w:numId w:val="0"/>
      </w:numPr>
      <w:tabs>
        <w:tab w:val="right" w:leader="dot" w:pos="6521"/>
      </w:tabs>
      <w:spacing w:before="0" w:after="0"/>
    </w:pPr>
  </w:style>
  <w:style w:type="paragraph" w:customStyle="1" w:styleId="TOFTitle">
    <w:name w:val="TOFTitle"/>
    <w:basedOn w:val="TOCTitle"/>
    <w:rsid w:val="00FC53B9"/>
  </w:style>
  <w:style w:type="paragraph" w:styleId="TableofFigures">
    <w:name w:val="table of figures"/>
    <w:basedOn w:val="Normal"/>
    <w:next w:val="Normal"/>
    <w:semiHidden/>
    <w:rsid w:val="00FC53B9"/>
    <w:pPr>
      <w:tabs>
        <w:tab w:val="right" w:leader="dot" w:pos="9072"/>
      </w:tabs>
      <w:ind w:left="970" w:hanging="403"/>
    </w:pPr>
    <w:rPr>
      <w:rFonts w:ascii="Times New Roman" w:hAnsi="Times New Roman"/>
      <w:b/>
    </w:rPr>
  </w:style>
  <w:style w:type="paragraph" w:styleId="ListNumber">
    <w:name w:val="List Number"/>
    <w:basedOn w:val="List"/>
    <w:rsid w:val="00FC53B9"/>
    <w:pPr>
      <w:numPr>
        <w:numId w:val="11"/>
      </w:numPr>
    </w:pPr>
  </w:style>
  <w:style w:type="character" w:customStyle="1" w:styleId="WingdingSymbols">
    <w:name w:val="Wingding Symbols"/>
    <w:rsid w:val="00FC53B9"/>
    <w:rPr>
      <w:rFonts w:ascii="Wingdings" w:hAnsi="Wingdings"/>
    </w:rPr>
  </w:style>
  <w:style w:type="paragraph" w:customStyle="1" w:styleId="TableHeading">
    <w:name w:val="Table Heading"/>
    <w:basedOn w:val="HeadingBase"/>
    <w:rsid w:val="00FC53B9"/>
    <w:pPr>
      <w:keepLines/>
      <w:pBdr>
        <w:bottom w:val="single" w:sz="6" w:space="1" w:color="918585"/>
      </w:pBdr>
      <w:spacing w:before="240"/>
    </w:pPr>
  </w:style>
  <w:style w:type="character" w:customStyle="1" w:styleId="HotSpot">
    <w:name w:val="HotSpot"/>
    <w:rsid w:val="00FC53B9"/>
    <w:rPr>
      <w:color w:val="0033CC"/>
      <w:u w:val="none"/>
    </w:rPr>
  </w:style>
  <w:style w:type="paragraph" w:customStyle="1" w:styleId="BodyTextRight">
    <w:name w:val="Body Text Right"/>
    <w:basedOn w:val="BodyText"/>
    <w:rsid w:val="00FC53B9"/>
    <w:pPr>
      <w:spacing w:before="0" w:after="0"/>
      <w:jc w:val="right"/>
    </w:pPr>
  </w:style>
  <w:style w:type="paragraph" w:styleId="Index3">
    <w:name w:val="index 3"/>
    <w:basedOn w:val="ListNumber2"/>
    <w:next w:val="Normal"/>
    <w:semiHidden/>
    <w:rsid w:val="00FC53B9"/>
    <w:pPr>
      <w:numPr>
        <w:numId w:val="0"/>
      </w:numPr>
      <w:tabs>
        <w:tab w:val="right" w:leader="dot" w:pos="4176"/>
      </w:tabs>
    </w:pPr>
  </w:style>
  <w:style w:type="paragraph" w:styleId="ListNumber2">
    <w:name w:val="List Number 2"/>
    <w:basedOn w:val="List2"/>
    <w:rsid w:val="00FC53B9"/>
    <w:pPr>
      <w:numPr>
        <w:numId w:val="10"/>
      </w:numPr>
      <w:tabs>
        <w:tab w:val="clear" w:pos="1060"/>
      </w:tabs>
    </w:pPr>
  </w:style>
  <w:style w:type="paragraph" w:customStyle="1" w:styleId="MarginNote">
    <w:name w:val="Margin Note"/>
    <w:basedOn w:val="BodyText"/>
    <w:rsid w:val="00FC5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3B9"/>
    <w:rPr>
      <w:sz w:val="32"/>
    </w:rPr>
  </w:style>
  <w:style w:type="paragraph" w:customStyle="1" w:styleId="HeadingProcedure">
    <w:name w:val="Heading Procedure"/>
    <w:basedOn w:val="HeadingBase"/>
    <w:next w:val="Normal"/>
    <w:rsid w:val="00FC53B9"/>
    <w:pPr>
      <w:tabs>
        <w:tab w:val="left" w:pos="0"/>
      </w:tabs>
      <w:spacing w:before="120" w:after="60"/>
    </w:pPr>
    <w:rPr>
      <w:i/>
      <w:color w:val="918585"/>
      <w:sz w:val="22"/>
    </w:rPr>
  </w:style>
  <w:style w:type="paragraph" w:customStyle="1" w:styleId="TableBodyText">
    <w:name w:val="Table Body Text"/>
    <w:basedOn w:val="BodyText"/>
    <w:rsid w:val="00FC53B9"/>
    <w:pPr>
      <w:spacing w:before="60" w:after="60"/>
    </w:pPr>
  </w:style>
  <w:style w:type="paragraph" w:styleId="ListContinue">
    <w:name w:val="List Continue"/>
    <w:basedOn w:val="List"/>
    <w:rsid w:val="00FC53B9"/>
    <w:pPr>
      <w:ind w:firstLine="0"/>
    </w:pPr>
  </w:style>
  <w:style w:type="paragraph" w:customStyle="1" w:styleId="ListNote">
    <w:name w:val="List Note"/>
    <w:basedOn w:val="List"/>
    <w:rsid w:val="00FC53B9"/>
    <w:pPr>
      <w:pBdr>
        <w:top w:val="single" w:sz="6" w:space="2" w:color="918585"/>
        <w:bottom w:val="single" w:sz="6" w:space="2" w:color="918585"/>
      </w:pBdr>
      <w:tabs>
        <w:tab w:val="left" w:pos="1021"/>
      </w:tabs>
      <w:ind w:firstLine="0"/>
    </w:pPr>
  </w:style>
  <w:style w:type="paragraph" w:customStyle="1" w:styleId="Warning">
    <w:name w:val="Warning"/>
    <w:basedOn w:val="BodyText"/>
    <w:rsid w:val="00FC53B9"/>
    <w:pPr>
      <w:shd w:val="clear" w:color="auto" w:fill="D9D9D9"/>
      <w:tabs>
        <w:tab w:val="left" w:pos="992"/>
      </w:tabs>
      <w:ind w:left="119" w:right="119"/>
    </w:pPr>
    <w:rPr>
      <w:sz w:val="20"/>
    </w:rPr>
  </w:style>
  <w:style w:type="paragraph" w:customStyle="1" w:styleId="MarginIcons">
    <w:name w:val="Margin Icons"/>
    <w:basedOn w:val="BodyText"/>
    <w:rsid w:val="00FC5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3B9"/>
    <w:rPr>
      <w:rFonts w:ascii="Courier New" w:hAnsi="Courier New"/>
    </w:rPr>
  </w:style>
  <w:style w:type="paragraph" w:customStyle="1" w:styleId="NoteBullet">
    <w:name w:val="Note Bullet"/>
    <w:basedOn w:val="Note"/>
    <w:rsid w:val="00FC53B9"/>
    <w:pPr>
      <w:tabs>
        <w:tab w:val="clear" w:pos="680"/>
      </w:tabs>
      <w:spacing w:before="60" w:after="60"/>
    </w:pPr>
  </w:style>
  <w:style w:type="paragraph" w:customStyle="1" w:styleId="SubHeading2">
    <w:name w:val="SubHeading2"/>
    <w:basedOn w:val="HeadingBase"/>
    <w:rsid w:val="00FC53B9"/>
    <w:pPr>
      <w:spacing w:before="240" w:after="60"/>
    </w:pPr>
    <w:rPr>
      <w:sz w:val="20"/>
    </w:rPr>
  </w:style>
  <w:style w:type="paragraph" w:customStyle="1" w:styleId="SubHeading1">
    <w:name w:val="SubHeading1"/>
    <w:basedOn w:val="HeadingBase"/>
    <w:rsid w:val="00FC53B9"/>
    <w:pPr>
      <w:spacing w:before="240" w:after="60"/>
    </w:pPr>
    <w:rPr>
      <w:color w:val="918585"/>
      <w:sz w:val="22"/>
    </w:rPr>
  </w:style>
  <w:style w:type="paragraph" w:customStyle="1" w:styleId="SideHeading">
    <w:name w:val="Side Heading"/>
    <w:basedOn w:val="HeadingBase"/>
    <w:rsid w:val="00FC5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3B9"/>
    <w:pPr>
      <w:numPr>
        <w:numId w:val="12"/>
      </w:numPr>
    </w:pPr>
  </w:style>
  <w:style w:type="paragraph" w:styleId="PlainText">
    <w:name w:val="Plain Text"/>
    <w:basedOn w:val="Normal"/>
    <w:link w:val="PlainTextChar"/>
    <w:rsid w:val="00FC53B9"/>
    <w:rPr>
      <w:sz w:val="20"/>
    </w:rPr>
  </w:style>
  <w:style w:type="character" w:customStyle="1" w:styleId="PlainTextChar">
    <w:name w:val="Plain Text Char"/>
    <w:basedOn w:val="DefaultParagraphFont"/>
    <w:link w:val="PlainText"/>
    <w:rsid w:val="00FC53B9"/>
    <w:rPr>
      <w:rFonts w:ascii="Courier New" w:eastAsia="Times New Roman" w:hAnsi="Courier New" w:cs="Times New Roman"/>
      <w:sz w:val="20"/>
      <w:szCs w:val="20"/>
      <w:lang w:eastAsia="en-US"/>
    </w:rPr>
  </w:style>
  <w:style w:type="character" w:customStyle="1" w:styleId="MenuOption">
    <w:name w:val="Menu Option"/>
    <w:basedOn w:val="DefaultParagraphFont"/>
    <w:rsid w:val="00FC53B9"/>
    <w:rPr>
      <w:b/>
      <w:smallCaps/>
    </w:rPr>
  </w:style>
  <w:style w:type="paragraph" w:customStyle="1" w:styleId="TableListNumber">
    <w:name w:val="Table List Number"/>
    <w:basedOn w:val="ListNumber"/>
    <w:rsid w:val="00FC53B9"/>
    <w:pPr>
      <w:numPr>
        <w:numId w:val="0"/>
      </w:numPr>
    </w:pPr>
  </w:style>
  <w:style w:type="paragraph" w:styleId="TOC4">
    <w:name w:val="toc 4"/>
    <w:basedOn w:val="TOCBase"/>
    <w:next w:val="Normal"/>
    <w:semiHidden/>
    <w:rsid w:val="00FC53B9"/>
    <w:pPr>
      <w:tabs>
        <w:tab w:val="right" w:leader="dot" w:pos="9071"/>
      </w:tabs>
      <w:ind w:left="1701"/>
    </w:pPr>
  </w:style>
  <w:style w:type="paragraph" w:customStyle="1" w:styleId="ListAlpha">
    <w:name w:val="List Alpha"/>
    <w:basedOn w:val="List"/>
    <w:rsid w:val="00FC53B9"/>
    <w:pPr>
      <w:numPr>
        <w:numId w:val="9"/>
      </w:numPr>
    </w:pPr>
  </w:style>
  <w:style w:type="paragraph" w:customStyle="1" w:styleId="ListAlpha2">
    <w:name w:val="List Alpha 2"/>
    <w:basedOn w:val="List2"/>
    <w:rsid w:val="00FC53B9"/>
    <w:pPr>
      <w:numPr>
        <w:numId w:val="8"/>
      </w:numPr>
    </w:pPr>
  </w:style>
  <w:style w:type="paragraph" w:styleId="List2">
    <w:name w:val="List 2"/>
    <w:basedOn w:val="BodyText"/>
    <w:rsid w:val="00FC53B9"/>
    <w:pPr>
      <w:tabs>
        <w:tab w:val="left" w:pos="680"/>
      </w:tabs>
      <w:spacing w:before="60" w:after="60"/>
      <w:ind w:left="680" w:hanging="340"/>
    </w:pPr>
  </w:style>
  <w:style w:type="paragraph" w:styleId="List3">
    <w:name w:val="List 3"/>
    <w:basedOn w:val="BodyText"/>
    <w:rsid w:val="00FC53B9"/>
    <w:pPr>
      <w:tabs>
        <w:tab w:val="left" w:pos="1021"/>
      </w:tabs>
      <w:spacing w:before="60" w:after="60"/>
      <w:ind w:left="1020" w:hanging="340"/>
    </w:pPr>
  </w:style>
  <w:style w:type="paragraph" w:styleId="List4">
    <w:name w:val="List 4"/>
    <w:basedOn w:val="BodyText"/>
    <w:rsid w:val="00FC53B9"/>
    <w:pPr>
      <w:tabs>
        <w:tab w:val="left" w:pos="1361"/>
      </w:tabs>
      <w:spacing w:before="60" w:after="60"/>
      <w:ind w:left="1361" w:hanging="340"/>
    </w:pPr>
  </w:style>
  <w:style w:type="paragraph" w:styleId="List5">
    <w:name w:val="List 5"/>
    <w:basedOn w:val="BodyText"/>
    <w:rsid w:val="00FC53B9"/>
    <w:pPr>
      <w:tabs>
        <w:tab w:val="left" w:pos="1701"/>
      </w:tabs>
      <w:spacing w:before="60" w:after="60"/>
      <w:ind w:left="1701" w:hanging="340"/>
    </w:pPr>
  </w:style>
  <w:style w:type="paragraph" w:styleId="ListBullet3">
    <w:name w:val="List Bullet 3"/>
    <w:basedOn w:val="List3"/>
    <w:rsid w:val="00FC53B9"/>
    <w:pPr>
      <w:numPr>
        <w:numId w:val="15"/>
      </w:numPr>
      <w:tabs>
        <w:tab w:val="clear" w:pos="1021"/>
      </w:tabs>
      <w:ind w:left="1037" w:hanging="357"/>
    </w:pPr>
  </w:style>
  <w:style w:type="paragraph" w:styleId="ListBullet4">
    <w:name w:val="List Bullet 4"/>
    <w:basedOn w:val="List4"/>
    <w:rsid w:val="00FC53B9"/>
    <w:pPr>
      <w:numPr>
        <w:numId w:val="3"/>
      </w:numPr>
    </w:pPr>
  </w:style>
  <w:style w:type="paragraph" w:styleId="ListBullet5">
    <w:name w:val="List Bullet 5"/>
    <w:basedOn w:val="List5"/>
    <w:rsid w:val="00FC53B9"/>
    <w:pPr>
      <w:numPr>
        <w:numId w:val="4"/>
      </w:numPr>
    </w:pPr>
  </w:style>
  <w:style w:type="paragraph" w:styleId="ListContinue2">
    <w:name w:val="List Continue 2"/>
    <w:basedOn w:val="List2"/>
    <w:rsid w:val="00FC53B9"/>
    <w:pPr>
      <w:ind w:firstLine="0"/>
    </w:pPr>
  </w:style>
  <w:style w:type="paragraph" w:styleId="ListContinue3">
    <w:name w:val="List Continue 3"/>
    <w:basedOn w:val="List3"/>
    <w:rsid w:val="00FC53B9"/>
    <w:pPr>
      <w:ind w:left="1021" w:firstLine="0"/>
    </w:pPr>
  </w:style>
  <w:style w:type="paragraph" w:styleId="ListContinue4">
    <w:name w:val="List Continue 4"/>
    <w:basedOn w:val="List4"/>
    <w:rsid w:val="00FC53B9"/>
    <w:pPr>
      <w:ind w:firstLine="0"/>
    </w:pPr>
  </w:style>
  <w:style w:type="paragraph" w:styleId="ListContinue5">
    <w:name w:val="List Continue 5"/>
    <w:basedOn w:val="List5"/>
    <w:rsid w:val="00FC53B9"/>
    <w:pPr>
      <w:ind w:firstLine="0"/>
    </w:pPr>
  </w:style>
  <w:style w:type="paragraph" w:styleId="ListNumber3">
    <w:name w:val="List Number 3"/>
    <w:basedOn w:val="List3"/>
    <w:rsid w:val="00FC53B9"/>
    <w:pPr>
      <w:numPr>
        <w:numId w:val="5"/>
      </w:numPr>
    </w:pPr>
  </w:style>
  <w:style w:type="paragraph" w:styleId="ListNumber4">
    <w:name w:val="List Number 4"/>
    <w:basedOn w:val="List4"/>
    <w:rsid w:val="00FC53B9"/>
    <w:pPr>
      <w:numPr>
        <w:numId w:val="6"/>
      </w:numPr>
    </w:pPr>
  </w:style>
  <w:style w:type="paragraph" w:styleId="ListNumber5">
    <w:name w:val="List Number 5"/>
    <w:basedOn w:val="List5"/>
    <w:rsid w:val="00FC53B9"/>
    <w:pPr>
      <w:numPr>
        <w:numId w:val="7"/>
      </w:numPr>
    </w:pPr>
  </w:style>
  <w:style w:type="paragraph" w:styleId="BlockText">
    <w:name w:val="Block Text"/>
    <w:basedOn w:val="Normal"/>
    <w:rsid w:val="00FC53B9"/>
    <w:pPr>
      <w:spacing w:after="120"/>
      <w:ind w:left="1440" w:right="1440"/>
    </w:pPr>
  </w:style>
  <w:style w:type="character" w:customStyle="1" w:styleId="Subscript">
    <w:name w:val="Subscript"/>
    <w:basedOn w:val="DefaultParagraphFont"/>
    <w:rsid w:val="00FC53B9"/>
    <w:rPr>
      <w:sz w:val="16"/>
      <w:vertAlign w:val="subscript"/>
    </w:rPr>
  </w:style>
  <w:style w:type="character" w:customStyle="1" w:styleId="Superscript">
    <w:name w:val="Superscript"/>
    <w:basedOn w:val="DefaultParagraphFont"/>
    <w:rsid w:val="00FC53B9"/>
    <w:rPr>
      <w:sz w:val="16"/>
      <w:vertAlign w:val="superscript"/>
    </w:rPr>
  </w:style>
  <w:style w:type="character" w:customStyle="1" w:styleId="Symbols">
    <w:name w:val="Symbols"/>
    <w:basedOn w:val="DefaultParagraphFont"/>
    <w:rsid w:val="00FC53B9"/>
    <w:rPr>
      <w:rFonts w:ascii="Symbol" w:hAnsi="Symbol"/>
    </w:rPr>
  </w:style>
  <w:style w:type="character" w:customStyle="1" w:styleId="MenuOptions">
    <w:name w:val="Menu Options"/>
    <w:basedOn w:val="DefaultParagraphFont"/>
    <w:rsid w:val="00FC53B9"/>
    <w:rPr>
      <w:rFonts w:ascii="Arial Narrow" w:hAnsi="Arial Narrow"/>
      <w:smallCaps/>
    </w:rPr>
  </w:style>
  <w:style w:type="character" w:customStyle="1" w:styleId="Buttons">
    <w:name w:val="Buttons"/>
    <w:basedOn w:val="DefaultParagraphFont"/>
    <w:rsid w:val="00FC53B9"/>
    <w:rPr>
      <w:b/>
    </w:rPr>
  </w:style>
  <w:style w:type="character" w:customStyle="1" w:styleId="Underlined">
    <w:name w:val="Underlined"/>
    <w:basedOn w:val="DefaultParagraphFont"/>
    <w:rsid w:val="00FC53B9"/>
    <w:rPr>
      <w:u w:val="single"/>
    </w:rPr>
  </w:style>
  <w:style w:type="paragraph" w:customStyle="1" w:styleId="TableBodyTextRight">
    <w:name w:val="Table Body Text Right"/>
    <w:basedOn w:val="TableBodyText"/>
    <w:rsid w:val="00FC53B9"/>
    <w:pPr>
      <w:widowControl w:val="0"/>
      <w:autoSpaceDE w:val="0"/>
      <w:autoSpaceDN w:val="0"/>
      <w:adjustRightInd w:val="0"/>
      <w:jc w:val="right"/>
    </w:pPr>
    <w:rPr>
      <w:rFonts w:cs="Arial"/>
      <w:szCs w:val="18"/>
    </w:rPr>
  </w:style>
  <w:style w:type="paragraph" w:customStyle="1" w:styleId="CopyrightText">
    <w:name w:val="Copyright Text"/>
    <w:basedOn w:val="BodyText"/>
    <w:rsid w:val="00FC53B9"/>
    <w:rPr>
      <w:sz w:val="18"/>
    </w:rPr>
  </w:style>
  <w:style w:type="paragraph" w:customStyle="1" w:styleId="BodySmallRight">
    <w:name w:val="Body Small Right"/>
    <w:basedOn w:val="BodyTextRight"/>
    <w:rsid w:val="00FC53B9"/>
    <w:rPr>
      <w:sz w:val="18"/>
      <w:szCs w:val="18"/>
    </w:rPr>
  </w:style>
  <w:style w:type="paragraph" w:customStyle="1" w:styleId="MarginEdition">
    <w:name w:val="Margin Edition"/>
    <w:basedOn w:val="MarginNote"/>
    <w:rsid w:val="00FC53B9"/>
    <w:pPr>
      <w:spacing w:before="0" w:after="0"/>
    </w:pPr>
    <w:rPr>
      <w:rFonts w:ascii="Times New Roman" w:hAnsi="Times New Roman"/>
      <w:color w:val="999999"/>
    </w:rPr>
  </w:style>
  <w:style w:type="paragraph" w:customStyle="1" w:styleId="Spacer">
    <w:name w:val="Spacer"/>
    <w:basedOn w:val="Normal"/>
    <w:rsid w:val="00FC53B9"/>
    <w:rPr>
      <w:sz w:val="2"/>
      <w:szCs w:val="2"/>
    </w:rPr>
  </w:style>
  <w:style w:type="character" w:customStyle="1" w:styleId="Small">
    <w:name w:val="Small"/>
    <w:basedOn w:val="DefaultParagraphFont"/>
    <w:rsid w:val="00FC53B9"/>
    <w:rPr>
      <w:sz w:val="16"/>
    </w:rPr>
  </w:style>
  <w:style w:type="paragraph" w:customStyle="1" w:styleId="WideTable">
    <w:name w:val="Wide Table"/>
    <w:basedOn w:val="Normal"/>
    <w:rsid w:val="00FC53B9"/>
    <w:pPr>
      <w:ind w:left="-1418"/>
    </w:pPr>
    <w:rPr>
      <w:sz w:val="2"/>
      <w:szCs w:val="2"/>
    </w:rPr>
  </w:style>
  <w:style w:type="character" w:styleId="PageNumber">
    <w:name w:val="page number"/>
    <w:basedOn w:val="DefaultParagraphFont"/>
    <w:rsid w:val="00FC53B9"/>
  </w:style>
  <w:style w:type="paragraph" w:styleId="Quote">
    <w:name w:val="Quote"/>
    <w:basedOn w:val="Heading1"/>
    <w:link w:val="QuoteChar"/>
    <w:qFormat/>
    <w:rsid w:val="00FC53B9"/>
    <w:rPr>
      <w:b w:val="0"/>
      <w:sz w:val="72"/>
      <w:szCs w:val="72"/>
      <w:lang w:val="en-NZ"/>
    </w:rPr>
  </w:style>
  <w:style w:type="character" w:customStyle="1" w:styleId="QuoteChar">
    <w:name w:val="Quote Char"/>
    <w:basedOn w:val="DefaultParagraphFont"/>
    <w:link w:val="Quote"/>
    <w:rsid w:val="00FC5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3B9"/>
    <w:pPr>
      <w:pageBreakBefore/>
    </w:pPr>
  </w:style>
  <w:style w:type="paragraph" w:customStyle="1" w:styleId="Border">
    <w:name w:val="Border"/>
    <w:basedOn w:val="Normal"/>
    <w:qFormat/>
    <w:rsid w:val="00FC5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3B9"/>
    <w:rPr>
      <w:b/>
      <w:bCs/>
      <w:i/>
      <w:iCs/>
      <w:color w:val="auto"/>
    </w:rPr>
  </w:style>
  <w:style w:type="paragraph" w:styleId="IntenseQuote">
    <w:name w:val="Intense Quote"/>
    <w:basedOn w:val="Normal"/>
    <w:next w:val="Normal"/>
    <w:link w:val="IntenseQuoteChar"/>
    <w:uiPriority w:val="30"/>
    <w:qFormat/>
    <w:rsid w:val="00FC5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3B9"/>
    <w:rPr>
      <w:smallCaps/>
      <w:color w:val="auto"/>
      <w:u w:val="single"/>
    </w:rPr>
  </w:style>
  <w:style w:type="character" w:styleId="IntenseReference">
    <w:name w:val="Intense Reference"/>
    <w:basedOn w:val="DefaultParagraphFont"/>
    <w:uiPriority w:val="32"/>
    <w:qFormat/>
    <w:rsid w:val="00FC53B9"/>
    <w:rPr>
      <w:b/>
      <w:bCs/>
      <w:smallCaps/>
      <w:color w:val="auto"/>
      <w:spacing w:val="5"/>
      <w:u w:val="single"/>
    </w:rPr>
  </w:style>
  <w:style w:type="paragraph" w:customStyle="1" w:styleId="2ColumnHeading">
    <w:name w:val="2Column Heading"/>
    <w:basedOn w:val="BodyText"/>
    <w:qFormat/>
    <w:rsid w:val="00FC53B9"/>
    <w:pPr>
      <w:spacing w:after="60"/>
      <w:ind w:left="-2268"/>
    </w:pPr>
    <w:rPr>
      <w:b/>
    </w:rPr>
  </w:style>
  <w:style w:type="paragraph" w:customStyle="1" w:styleId="Heading1TOC">
    <w:name w:val="Heading1 TOC"/>
    <w:basedOn w:val="Normal"/>
    <w:qFormat/>
    <w:rsid w:val="00FC53B9"/>
    <w:pPr>
      <w:spacing w:before="240" w:after="120"/>
    </w:pPr>
    <w:rPr>
      <w:rFonts w:ascii="Times New Roman" w:hAnsi="Times New Roman"/>
      <w:b/>
      <w:sz w:val="32"/>
    </w:rPr>
  </w:style>
  <w:style w:type="paragraph" w:customStyle="1" w:styleId="Heading2TOC">
    <w:name w:val="Heading2 TOC"/>
    <w:basedOn w:val="Normal"/>
    <w:qFormat/>
    <w:rsid w:val="00FC53B9"/>
    <w:pPr>
      <w:spacing w:before="240" w:after="60"/>
    </w:pPr>
    <w:rPr>
      <w:rFonts w:ascii="Times New Roman" w:hAnsi="Times New Roman"/>
      <w:b/>
      <w:sz w:val="28"/>
    </w:rPr>
  </w:style>
  <w:style w:type="character" w:customStyle="1" w:styleId="Underline">
    <w:name w:val="Underline"/>
    <w:basedOn w:val="DefaultParagraphFont"/>
    <w:qFormat/>
    <w:rsid w:val="00FC53B9"/>
    <w:rPr>
      <w:u w:val="single"/>
    </w:rPr>
  </w:style>
  <w:style w:type="character" w:customStyle="1" w:styleId="BoldandItalics">
    <w:name w:val="Bold and Italics"/>
    <w:qFormat/>
    <w:rsid w:val="00FC53B9"/>
    <w:rPr>
      <w:b/>
      <w:i/>
      <w:u w:val="none"/>
    </w:rPr>
  </w:style>
  <w:style w:type="paragraph" w:styleId="BalloonText">
    <w:name w:val="Balloon Text"/>
    <w:basedOn w:val="Normal"/>
    <w:link w:val="BalloonTextChar"/>
    <w:rsid w:val="00FC53B9"/>
    <w:rPr>
      <w:rFonts w:ascii="Tahoma" w:hAnsi="Tahoma" w:cs="Tahoma"/>
      <w:sz w:val="16"/>
      <w:szCs w:val="16"/>
    </w:rPr>
  </w:style>
  <w:style w:type="character" w:customStyle="1" w:styleId="BalloonTextChar">
    <w:name w:val="Balloon Text Char"/>
    <w:basedOn w:val="DefaultParagraphFont"/>
    <w:link w:val="BalloonText"/>
    <w:rsid w:val="00FC5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3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3B9"/>
    <w:rPr>
      <w:b/>
      <w:color w:val="660033"/>
      <w:spacing w:val="0"/>
    </w:rPr>
  </w:style>
  <w:style w:type="paragraph" w:customStyle="1" w:styleId="Nameditemlist">
    <w:name w:val="Named item list"/>
    <w:basedOn w:val="BodyText"/>
    <w:qFormat/>
    <w:rsid w:val="00FC53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2008</Words>
  <Characters>12030</Characters>
  <Application>Microsoft Office Word</Application>
  <DocSecurity>0</DocSecurity>
  <Lines>472</Lines>
  <Paragraphs>177</Paragraphs>
  <ScaleCrop>false</ScaleCrop>
  <Company>Author-it Software Corporation Ltd.</Company>
  <LinksUpToDate>false</LinksUpToDate>
  <CharactersWithSpaces>13906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UEGNSG324A Follow company procedures to deal with incidents related to the abuse of drugs and alcohol</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2012-10-11T17:27:00Z</dcterms:created>
  <dcterms:modified xsi:type="dcterms:W3CDTF">2012-10-11T17:27:00Z</dcterms:modified>
</cp:coreProperties>
</file>