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139" w:rsidP="00B47139">
      <w:pPr>
        <w:pStyle w:val="Title"/>
      </w:pPr>
      <w:bookmarkStart w:id="0" w:name="_GoBack"/>
      <w:bookmarkEnd w:id="0"/>
      <w:r>
        <w:fldChar w:fldCharType="begin"/>
      </w:r>
      <w:r>
        <w:instrText xml:space="preserve"> TITLE   \* MERGEFORMAT </w:instrText>
      </w:r>
      <w:r>
        <w:fldChar w:fldCharType="separate"/>
      </w:r>
      <w:r>
        <w:t>UEGNSG323A Operate transmission pipeline construction plant and equipment</w:t>
      </w:r>
      <w:r>
        <w:fldChar w:fldCharType="end"/>
      </w:r>
    </w:p>
    <w:p w:rsidR="00B47139" w:rsidP="00B47139">
      <w:pPr>
        <w:pStyle w:val="Version"/>
        <w:sectPr w:rsidSect="00E83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7B8" w:rsidP="00E837B8">
      <w:pPr>
        <w:pStyle w:val="SuperHeading"/>
      </w:pPr>
      <w:r w:rsidRPr="00E837B8">
        <w:t>UEGNSG323A Operate transmission pipeline construction plant and equipment</w:t>
      </w:r>
    </w:p>
    <w:p w:rsidR="00000000" w:rsidRPr="00E837B8" w:rsidP="00E837B8">
      <w:pPr>
        <w:pStyle w:val="Heading1"/>
      </w:pPr>
      <w:bookmarkStart w:id="1" w:name="O_402631"/>
      <w:bookmarkEnd w:id="1"/>
      <w:r w:rsidRPr="00E837B8">
        <w:t>Modification History</w:t>
      </w:r>
    </w:p>
    <w:p w:rsidR="00000000" w:rsidRPr="00E837B8" w:rsidP="00E837B8">
      <w:pPr>
        <w:pStyle w:val="BodyText"/>
      </w:pPr>
      <w:r w:rsidRPr="00E837B8">
        <w:t>Not applicable.</w:t>
      </w:r>
    </w:p>
    <w:p w:rsidR="00000000" w:rsidRPr="00E837B8" w:rsidP="00E837B8">
      <w:pPr>
        <w:pStyle w:val="AllowPageBreak"/>
      </w:pPr>
    </w:p>
    <w:p w:rsidR="00000000" w:rsidRPr="00E837B8" w:rsidP="00E837B8">
      <w:pPr>
        <w:pStyle w:val="Heading1"/>
      </w:pPr>
      <w:bookmarkStart w:id="2" w:name="O_402629"/>
      <w:bookmarkEnd w:id="2"/>
      <w:r w:rsidRPr="00E837B8">
        <w:t>Unit Descriptor</w:t>
      </w:r>
    </w:p>
    <w:tbl>
      <w:tblPr>
        <w:tblW w:w="0" w:type="auto"/>
        <w:tblLayout w:type="fixed"/>
        <w:tblCellMar>
          <w:left w:w="62" w:type="dxa"/>
          <w:right w:w="62" w:type="dxa"/>
        </w:tblCellMar>
        <w:tblLook w:val="0000"/>
      </w:tblPr>
      <w:tblGrid>
        <w:gridCol w:w="2700"/>
        <w:gridCol w:w="5760"/>
      </w:tblGrid>
      <w:tr w:rsidTr="00B471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1) Scope:</w:t>
            </w:r>
            <w:r w:rsidRPr="00E837B8">
              <w:t xml:space="preserve"> </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37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1.1) Descriptor</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This competency standard unit covers the operation of specific plant and equipment dedicated to the construction of transmission pipelines. This competency refers to: Excavator and vacuum lift; Bending machine and mandrels; Internal line up clamp; Tack Rig</w:t>
            </w:r>
            <w:r w:rsidRPr="00E837B8">
              <w:t>; Side Boom; Roller Cradles; Rock Saw Bucket; Wheel trencher; Sand Blasting Unit; Thermal Coil; Over ditch wrapping machine; Padding machines; Mitsu Bucket. The competency standard unit has nine (9) specific outcomes as described in the range statement.</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 xml:space="preserve">Note: </w:t>
            </w:r>
            <w:r w:rsidRPr="00E837B8">
              <w:br/>
              <w:t xml:space="preserve">The outcome of this unit may be used for the purpose of licensing and or registration against one or more of the following plant and equipment: Dozer; Excavator; Grader; Backhoe; Front End Loader; Skid Steer; Heavy Rigid Truck; Rough Terrain Crane. </w:t>
            </w:r>
            <w:r w:rsidRPr="00E837B8">
              <w:t xml:space="preserve">Where a candidate has an existing nationally endorsed competency or state/territory issued license in any of the plant and equipment found in this unit, competency will need to be demonstrated in the relevant endorsement.  </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3" w:name="O_402618"/>
      <w:bookmarkEnd w:id="3"/>
      <w:r w:rsidRPr="00E837B8">
        <w:t>Application o</w:t>
      </w:r>
      <w:r w:rsidRPr="00E837B8">
        <w:t>f the Unit</w:t>
      </w:r>
    </w:p>
    <w:tbl>
      <w:tblPr>
        <w:tblW w:w="0" w:type="auto"/>
        <w:tblLayout w:type="fixed"/>
        <w:tblCellMar>
          <w:left w:w="62" w:type="dxa"/>
          <w:right w:w="62" w:type="dxa"/>
        </w:tblCellMar>
        <w:tblLook w:val="0000"/>
      </w:tblPr>
      <w:tblGrid>
        <w:gridCol w:w="2672"/>
        <w:gridCol w:w="5699"/>
      </w:tblGrid>
      <w:tr w:rsidTr="00B4713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2)</w:t>
            </w:r>
          </w:p>
        </w:tc>
      </w:tr>
      <w:tr w:rsidTr="00B4713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 xml:space="preserve">This competency standard shall apply to any basic and safe work site where Gas Industry operations occur. It could also apply, where applicable </w:t>
            </w:r>
            <w:r w:rsidRPr="00E837B8">
              <w:t xml:space="preserve">to other workplaces in the electricity supply industry (transmission and distribution and generation), the electrotechnology </w:t>
            </w:r>
            <w:r w:rsidRPr="00E837B8">
              <w:t>industry and the water industry, subject to all Occupational Health and Safety and duty of care requirements being met for the work</w:t>
            </w:r>
            <w:r w:rsidRPr="00E837B8">
              <w:t>place.</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4" w:name="O_402625"/>
      <w:bookmarkEnd w:id="4"/>
      <w:r w:rsidRPr="00E837B8">
        <w:t>Licensing/Regulatory Information</w:t>
      </w:r>
    </w:p>
    <w:tbl>
      <w:tblPr>
        <w:tblW w:w="0" w:type="auto"/>
        <w:tblLayout w:type="fixed"/>
        <w:tblCellMar>
          <w:left w:w="62" w:type="dxa"/>
          <w:right w:w="62" w:type="dxa"/>
        </w:tblCellMar>
        <w:tblLook w:val="0000"/>
      </w:tblPr>
      <w:tblGrid>
        <w:gridCol w:w="2700"/>
        <w:gridCol w:w="5760"/>
      </w:tblGrid>
      <w:tr w:rsidTr="00B471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 xml:space="preserve">3) </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The skills and knowledge described in this unit are not subject to licence regulation other than those directly related to Occupational Health and Safety, gas/electricity/</w:t>
            </w:r>
            <w:r w:rsidRPr="00E837B8">
              <w:t xml:space="preserve">water industry safety and compliance, industrial relations, environmental protection, telecommunications, anti discrimination and training. Commonwealth, State/Territory or Local government legislation and regulations may exist that limit the age at which </w:t>
            </w:r>
            <w:r w:rsidRPr="00E837B8">
              <w:t>a person can operate certain equipment.</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 xml:space="preserve">Note: </w:t>
            </w:r>
            <w:r w:rsidRPr="00E837B8">
              <w:br/>
              <w:t xml:space="preserve">The outcome of this unit may be used for the purpose of licensing and or registration against one or more of the following plant </w:t>
            </w:r>
            <w:r w:rsidRPr="00E837B8">
              <w:t>and equipment: Dozer; Excavator; Grader; Backhoe; Front End Loader; Skid Steer; Heavy Rigid Truck; Rough Terrain Crane. Where a candidate has an existing nationally endorsed competency or state/territory issued license in any of the plant and equipment fou</w:t>
            </w:r>
            <w:r w:rsidRPr="00E837B8">
              <w:t xml:space="preserve">nd in this unit, competency will need to be demonstrated in the relevant endorsement.  </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5" w:name="O_402626"/>
      <w:bookmarkEnd w:id="5"/>
      <w:r w:rsidRPr="00E837B8">
        <w:t>Pre-Requisites</w:t>
      </w:r>
    </w:p>
    <w:tbl>
      <w:tblPr>
        <w:tblW w:w="0" w:type="auto"/>
        <w:tblLayout w:type="fixed"/>
        <w:tblCellMar>
          <w:left w:w="62" w:type="dxa"/>
          <w:right w:w="62" w:type="dxa"/>
        </w:tblCellMar>
        <w:tblLook w:val="0000"/>
      </w:tblPr>
      <w:tblGrid>
        <w:gridCol w:w="2700"/>
        <w:gridCol w:w="1800"/>
        <w:gridCol w:w="3960"/>
      </w:tblGrid>
      <w:tr w:rsidTr="00B471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 xml:space="preserve">4) </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4.1)</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Granting of competency in this unit shall be made only after competency in the following unit(s) has/have been confirmed:</w:t>
            </w:r>
          </w:p>
        </w:tc>
      </w:tr>
      <w:tr w:rsidTr="00B4713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UEGNSG125A</w:t>
            </w:r>
          </w:p>
        </w:tc>
        <w:tc>
          <w:tcPr>
            <w:tcW w:w="39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Carry out transmission pipeline construction work activities</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UEGNSG128A</w:t>
            </w:r>
          </w:p>
        </w:tc>
        <w:tc>
          <w:tcPr>
            <w:tcW w:w="39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Establish a transmission pipeline </w:t>
            </w:r>
            <w:r w:rsidRPr="00E837B8">
              <w:t>construction</w:t>
            </w:r>
            <w:r w:rsidRPr="00E837B8">
              <w:t xml:space="preserve"> work site</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UEGNSG104A</w:t>
            </w:r>
          </w:p>
        </w:tc>
        <w:tc>
          <w:tcPr>
            <w:tcW w:w="39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Comply with environmental policies and procedures</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UEENEEE101A </w:t>
            </w:r>
          </w:p>
        </w:tc>
        <w:tc>
          <w:tcPr>
            <w:tcW w:w="39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Apply Occupational Health and Safety regulations, codes and practices in the workplace</w:t>
            </w:r>
          </w:p>
        </w:tc>
      </w:tr>
    </w:tbl>
    <w:p w:rsidR="00000000" w:rsidRPr="00E837B8" w:rsidP="00E837B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 xml:space="preserve">4.2) </w:t>
            </w:r>
          </w:p>
          <w:p w:rsidR="00000000" w:rsidP="00E837B8">
            <w:pPr>
              <w:pStyle w:val="BodyText"/>
              <w:rPr>
                <w:lang w:val="en-NZ"/>
              </w:rPr>
            </w:pPr>
            <w:r w:rsidRPr="00E837B8">
              <w:t>Participants are best equipped to achieve this unit if they have reading, writing and numeracy skills indicated by the following scales. Description of each scale is given in Volume 2, Part 3 ‘Literacy and Numeracy’</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Reading</w:t>
            </w:r>
          </w:p>
        </w:tc>
        <w:tc>
          <w:tcPr>
            <w:tcW w:w="81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w:t>
            </w:r>
          </w:p>
        </w:tc>
        <w:tc>
          <w:tcPr>
            <w:tcW w:w="9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Writing</w:t>
            </w: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w:t>
            </w:r>
          </w:p>
        </w:tc>
        <w:tc>
          <w:tcPr>
            <w:tcW w:w="12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Numeracy</w:t>
            </w:r>
          </w:p>
        </w:tc>
        <w:tc>
          <w:tcPr>
            <w:tcW w:w="72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3</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6" w:name="O_402622"/>
      <w:bookmarkEnd w:id="6"/>
      <w:r w:rsidRPr="00E837B8">
        <w:t>Employability Skills Information</w:t>
      </w:r>
    </w:p>
    <w:tbl>
      <w:tblPr>
        <w:tblW w:w="0" w:type="auto"/>
        <w:tblLayout w:type="fixed"/>
        <w:tblCellMar>
          <w:left w:w="62" w:type="dxa"/>
          <w:right w:w="62" w:type="dxa"/>
        </w:tblCellMar>
        <w:tblLook w:val="0000"/>
      </w:tblPr>
      <w:tblGrid>
        <w:gridCol w:w="2700"/>
        <w:gridCol w:w="5760"/>
      </w:tblGrid>
      <w:tr w:rsidTr="00B471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 xml:space="preserve">5) </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This unit contains Employability Skills</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37B8">
              <w:t>requirements.</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7" w:name="O_402621"/>
      <w:bookmarkEnd w:id="7"/>
      <w:r w:rsidRPr="00E837B8">
        <w:t>Elements and Performance Criteria Pre-Content</w:t>
      </w:r>
    </w:p>
    <w:tbl>
      <w:tblPr>
        <w:tblW w:w="0" w:type="auto"/>
        <w:tblLayout w:type="fixed"/>
        <w:tblCellMar>
          <w:left w:w="62" w:type="dxa"/>
          <w:right w:w="62" w:type="dxa"/>
        </w:tblCellMar>
        <w:tblLook w:val="0000"/>
      </w:tblPr>
      <w:tblGrid>
        <w:gridCol w:w="2700"/>
        <w:gridCol w:w="5760"/>
      </w:tblGrid>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6)</w:t>
            </w:r>
            <w:r w:rsidRPr="00E837B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Performance Criteria describe the required performance needed to demonstrate achievement of the element</w:t>
            </w:r>
            <w:r w:rsidRPr="00E837B8">
              <w:t>. Assessment of performance is to be consistent with the Evidence Guide.</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8" w:name="O_402620"/>
      <w:bookmarkEnd w:id="8"/>
      <w:r w:rsidRPr="00E837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713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PERFORMANCE CRITERIA</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w:t>
            </w:r>
          </w:p>
        </w:tc>
        <w:tc>
          <w:tcPr>
            <w:tcW w:w="2296"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Prepare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1.1</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Work in</w:t>
            </w:r>
            <w:r w:rsidRPr="00E837B8">
              <w:t>structions are received and confirmed</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1.2</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OHS, environmental and sustainable energy policies and procedures to be followed for the work to be performed are received and confirmed</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1.3</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Easement is inspected and assessed using appropriate mediums and civil activities to determine relevant requirements in accordance with standard operating procedures </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1.4</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Discussion occurs with all persons to establish and confirm work schedule </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1.5</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Suggestions to assist with constructing pipeline easements are made to others involved in the work</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1.6</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Hazards are identified, OHS risks assessed and control measures are prioritised, implemented and monitored according to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1.7</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Scope of responsibility under the relevant work permit is received and confirmed according to requirements and established procedures with relevant persons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1.8</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Resources including equipment such as tools and personal protective equipment required for th</w:t>
            </w:r>
            <w:r w:rsidRPr="00E837B8">
              <w:t>e job are obtained and in working order according to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1.9</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Relevant responsibilities associated with first aid and other related work safety procedures at the worksite are confirmed in accordance with requirements and established pr</w:t>
            </w:r>
            <w:r w:rsidRPr="00E837B8">
              <w:t>ocedures to ensure safety measures and followed in the instance of an incident</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1.10</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Third party issues are referred to appropriate persons in accordance with industry and community standards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w:t>
            </w:r>
          </w:p>
        </w:tc>
        <w:tc>
          <w:tcPr>
            <w:tcW w:w="2296"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Maintain relevant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2.1</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OHS policies and procedures and safe work practices are followed to eliminate or minimise incidents and hazards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2.2</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Lifting, climbing, working in confined spaces, excavatio</w:t>
            </w:r>
            <w:r w:rsidRPr="00E837B8">
              <w:t>ns, trenches, or aloft, and use of power tools, techniques and practices are safely followed in accordance with given instructions and according to requirements confirmed to eliminate the prospects of incidents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2.3</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Work area is isolated and made safe an</w:t>
            </w:r>
            <w:r w:rsidRPr="00E837B8">
              <w:t>d civil activities and construction of pipeline easements are carried out in accordance with given instructions and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2.4</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Easement is constructed and confirmed to ensure completion in an agreed timeframe and to quality standards wit</w:t>
            </w:r>
            <w:r w:rsidRPr="00E837B8">
              <w:t>h a minimum of waste according to requirements and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2.5</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Operational knowledge as applied to potential hazards and safety risks are reported to the immediate authorised persons for directions according to established procedures </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2.6</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Non-routine events are referred to the immediate authorised persons for directions according to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2.7</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Remedial action associated with constructing pipeline easements is dealt with using acquired known solutions and skills relate</w:t>
            </w:r>
            <w:r w:rsidRPr="00E837B8">
              <w:t>d to routine procedures to ensure work instructions and established procedures are met</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2.8</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Ongoing checks of quality of the work are undertaken in accordance with given instructions and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w:t>
            </w:r>
          </w:p>
        </w:tc>
        <w:tc>
          <w:tcPr>
            <w:tcW w:w="2296"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Complete work closure, documentation and</w:t>
            </w: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3.1</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Pipeline easement work undertaken is checked against work schedule and anomalies reported to authorised persons in accordance with established procedures </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3.2</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Accidents and</w:t>
            </w:r>
            <w:r w:rsidRPr="00E837B8">
              <w:t xml:space="preserve"> incidents are actioned and reported to authorised persons in accordance with established procedures </w:t>
            </w:r>
          </w:p>
        </w:tc>
      </w:tr>
      <w:tr w:rsidTr="00B4713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3.3</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Work site is rehabilitated, cleaned up and made safe in accordance with given instructions and established procedures </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3.4</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Tools, equipment and </w:t>
            </w:r>
            <w:r w:rsidRPr="00E837B8">
              <w:t>any surplus resources and materials are, where appropriate, cleaned, checked and returned to storage in accordance with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3.5</w:t>
            </w:r>
          </w:p>
        </w:tc>
        <w:tc>
          <w:tcPr>
            <w:tcW w:w="48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Appropriate persons are notified of work completion according to established procedures</w:t>
            </w:r>
          </w:p>
        </w:tc>
      </w:tr>
      <w:tr w:rsidTr="00B471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3.6</w:t>
            </w:r>
          </w:p>
        </w:tc>
        <w:tc>
          <w:tcPr>
            <w:tcW w:w="48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Work completion records, report forms and data sheets are completed accurately in accordance with given instructions and established procedures</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9" w:name="O_402628"/>
      <w:bookmarkEnd w:id="9"/>
      <w:r w:rsidRPr="00E837B8">
        <w:t>Required Skills and Knowledge</w:t>
      </w:r>
    </w:p>
    <w:tbl>
      <w:tblPr>
        <w:tblW w:w="0" w:type="auto"/>
        <w:tblLayout w:type="fixed"/>
        <w:tblCellMar>
          <w:left w:w="62" w:type="dxa"/>
          <w:right w:w="62" w:type="dxa"/>
        </w:tblCellMar>
        <w:tblLook w:val="0000"/>
      </w:tblPr>
      <w:tblGrid>
        <w:gridCol w:w="8460"/>
      </w:tblGrid>
      <w:tr w:rsidTr="00B471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REQUIRED SKILLS AND KNOWLEDGE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8)</w:t>
            </w:r>
            <w:r w:rsidRPr="00E837B8">
              <w:t xml:space="preserve"> This describes the essential skills and knowledge and their level, required for this unit.</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Evidence shall show that knowledge has been acquired of safe working practices for carrying out work in a gas industry environment.</w:t>
            </w:r>
          </w:p>
        </w:tc>
      </w:tr>
      <w:tr w:rsidTr="00B4713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All knowledge and skills detai</w:t>
            </w:r>
            <w:r w:rsidRPr="00E837B8">
              <w:t>led in this unit should be contextualised to current industry practices and technologies.</w:t>
            </w:r>
          </w:p>
        </w:tc>
      </w:tr>
    </w:tbl>
    <w:p w:rsidR="00000000" w:rsidRPr="00E837B8" w:rsidP="00E837B8">
      <w:pPr>
        <w:pStyle w:val="BodyText"/>
      </w:pPr>
    </w:p>
    <w:tbl>
      <w:tblPr>
        <w:tblW w:w="0" w:type="auto"/>
        <w:tblLayout w:type="fixed"/>
        <w:tblCellMar>
          <w:left w:w="62" w:type="dxa"/>
          <w:right w:w="62" w:type="dxa"/>
        </w:tblCellMar>
        <w:tblLook w:val="0000"/>
      </w:tblPr>
      <w:tblGrid>
        <w:gridCol w:w="1440"/>
        <w:gridCol w:w="990"/>
        <w:gridCol w:w="6030"/>
      </w:tblGrid>
      <w:tr w:rsidTr="00B4713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KS01-G323A</w:t>
            </w:r>
          </w:p>
        </w:tc>
        <w:tc>
          <w:tcPr>
            <w:tcW w:w="7020" w:type="dxa"/>
            <w:gridSpan w:val="2"/>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Plant and equipment for transmission pipeline construction</w:t>
            </w:r>
          </w:p>
        </w:tc>
      </w:tr>
      <w:tr w:rsidTr="00B47139">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G 2.3.16 </w:t>
            </w:r>
          </w:p>
        </w:tc>
        <w:tc>
          <w:tcPr>
            <w:tcW w:w="603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Transmission pipeline construction OHS, environmental and cultural legislative and regulatory requirements</w:t>
            </w:r>
          </w:p>
          <w:p w:rsidR="00000000" w:rsidRPr="00E837B8" w:rsidP="00E837B8">
            <w:pPr>
              <w:pStyle w:val="BodyText"/>
            </w:pPr>
            <w:r w:rsidRPr="00E837B8">
              <w:t>Evidence shall show an understanding of the practical work requirements embedded in the OHS, Environmental and Cultural Legislation and Regulations.</w:t>
            </w:r>
          </w:p>
          <w:p w:rsidR="00000000" w:rsidRPr="00E837B8" w:rsidP="00E837B8">
            <w:pPr>
              <w:pStyle w:val="BodyText"/>
            </w:pPr>
            <w:r w:rsidRPr="00E837B8">
              <w:t>For OHS:</w:t>
            </w:r>
          </w:p>
          <w:p w:rsidR="00000000" w:rsidRPr="00E837B8" w:rsidP="00E837B8">
            <w:pPr>
              <w:pStyle w:val="ListBullet"/>
            </w:pPr>
            <w:r w:rsidRPr="00E837B8">
              <w:t>Complete Risk Assessment forms such as Work Permits and JHA’s, JSA’s, JSEA’s, SWM’s etc Hazard Identification</w:t>
            </w:r>
          </w:p>
          <w:p w:rsidR="00000000" w:rsidRPr="00E837B8" w:rsidP="00E837B8">
            <w:pPr>
              <w:pStyle w:val="ListBullet"/>
            </w:pPr>
            <w:r w:rsidRPr="00E837B8">
              <w:t>Manual handling</w:t>
            </w:r>
          </w:p>
          <w:p w:rsidR="00000000" w:rsidRPr="00E837B8" w:rsidP="00E837B8">
            <w:pPr>
              <w:pStyle w:val="ListBullet"/>
            </w:pPr>
            <w:r w:rsidRPr="00E837B8">
              <w:t>Basic First Aid</w:t>
            </w:r>
          </w:p>
          <w:p w:rsidR="00000000" w:rsidRPr="00E837B8" w:rsidP="00E837B8">
            <w:pPr>
              <w:pStyle w:val="ListBullet"/>
            </w:pPr>
            <w:r w:rsidRPr="00E837B8">
              <w:t>MSDS</w:t>
            </w:r>
          </w:p>
          <w:p w:rsidR="00000000" w:rsidRPr="00E837B8" w:rsidP="00E837B8">
            <w:pPr>
              <w:pStyle w:val="ListBullet"/>
            </w:pPr>
            <w:r w:rsidRPr="00E837B8">
              <w:t>Understanding how to apply control measures</w:t>
            </w:r>
          </w:p>
          <w:p w:rsidR="00000000" w:rsidRPr="00E837B8" w:rsidP="00E837B8">
            <w:pPr>
              <w:pStyle w:val="ListBullet"/>
            </w:pPr>
            <w:r w:rsidRPr="00E837B8">
              <w:t xml:space="preserve">Emergency Response </w:t>
            </w:r>
          </w:p>
          <w:p w:rsidR="00000000" w:rsidRPr="00E837B8" w:rsidP="00E837B8">
            <w:pPr>
              <w:pStyle w:val="ListBullet"/>
            </w:pPr>
            <w:r w:rsidRPr="00E837B8">
              <w:t xml:space="preserve">Signage </w:t>
            </w:r>
          </w:p>
          <w:p w:rsidR="00000000" w:rsidRPr="00E837B8" w:rsidP="00E837B8">
            <w:pPr>
              <w:pStyle w:val="ListBullet"/>
            </w:pPr>
            <w:r w:rsidRPr="00E837B8">
              <w:t>Licenses and tickets</w:t>
            </w:r>
          </w:p>
          <w:p w:rsidR="00000000" w:rsidRPr="00E837B8" w:rsidP="00E837B8">
            <w:pPr>
              <w:pStyle w:val="ListBullet"/>
            </w:pPr>
            <w:r w:rsidRPr="00E837B8">
              <w:t>Workin</w:t>
            </w:r>
            <w:r w:rsidRPr="00E837B8">
              <w:t>g at heights</w:t>
            </w:r>
          </w:p>
          <w:p w:rsidR="00000000" w:rsidRPr="00E837B8" w:rsidP="00E837B8">
            <w:pPr>
              <w:pStyle w:val="ListBullet"/>
            </w:pPr>
            <w:r w:rsidRPr="00E837B8">
              <w:t>Awareness of confined spaces</w:t>
            </w:r>
          </w:p>
          <w:p w:rsidR="00000000" w:rsidRPr="00E837B8" w:rsidP="00E837B8">
            <w:pPr>
              <w:pStyle w:val="BodyText"/>
            </w:pPr>
            <w:r w:rsidRPr="00E837B8">
              <w:t>For Environmental:</w:t>
            </w:r>
          </w:p>
          <w:p w:rsidR="00000000" w:rsidRPr="00E837B8" w:rsidP="00E837B8">
            <w:pPr>
              <w:pStyle w:val="ListBullet"/>
            </w:pPr>
            <w:r w:rsidRPr="00E837B8">
              <w:t>Weed mitigation</w:t>
            </w:r>
          </w:p>
          <w:p w:rsidR="00000000" w:rsidRPr="00E837B8" w:rsidP="00E837B8">
            <w:pPr>
              <w:pStyle w:val="ListBullet"/>
            </w:pPr>
            <w:r w:rsidRPr="00E837B8">
              <w:t xml:space="preserve">Erosion control </w:t>
            </w:r>
          </w:p>
          <w:p w:rsidR="00000000" w:rsidRPr="00E837B8" w:rsidP="00E837B8">
            <w:pPr>
              <w:pStyle w:val="ListBullet"/>
            </w:pPr>
            <w:r w:rsidRPr="00E837B8">
              <w:t>Emission laws</w:t>
            </w:r>
          </w:p>
          <w:p w:rsidR="00000000" w:rsidRPr="00E837B8" w:rsidP="00E837B8">
            <w:pPr>
              <w:pStyle w:val="ListBullet"/>
            </w:pPr>
            <w:r w:rsidRPr="00E837B8">
              <w:t>Quarantine laws</w:t>
            </w:r>
          </w:p>
          <w:p w:rsidR="00000000" w:rsidRPr="00E837B8" w:rsidP="00E837B8">
            <w:pPr>
              <w:pStyle w:val="ListBullet"/>
            </w:pPr>
            <w:r w:rsidRPr="00E837B8">
              <w:t>Licenses</w:t>
            </w:r>
          </w:p>
          <w:p w:rsidR="00000000" w:rsidRPr="00E837B8" w:rsidP="00E837B8">
            <w:pPr>
              <w:pStyle w:val="ListBullet"/>
            </w:pPr>
            <w:r w:rsidRPr="00E837B8">
              <w:t xml:space="preserve">Permits  </w:t>
            </w:r>
          </w:p>
          <w:p w:rsidR="00000000" w:rsidRPr="00E837B8" w:rsidP="00E837B8">
            <w:pPr>
              <w:pStyle w:val="BodyText"/>
            </w:pPr>
            <w:r w:rsidRPr="00E837B8">
              <w:t>For Cultural and Heritage Awareness:</w:t>
            </w:r>
          </w:p>
          <w:p w:rsidR="00000000" w:rsidRPr="00E837B8" w:rsidP="00E837B8">
            <w:pPr>
              <w:pStyle w:val="ListBullet"/>
            </w:pPr>
            <w:r w:rsidRPr="00E837B8">
              <w:t>Cultural and heritage awareness tagging</w:t>
            </w:r>
          </w:p>
          <w:p w:rsidR="00000000" w:rsidRPr="00E837B8" w:rsidP="00E837B8">
            <w:pPr>
              <w:pStyle w:val="ListBullet"/>
            </w:pPr>
            <w:r w:rsidRPr="00E837B8">
              <w:t>Understanding the role of</w:t>
            </w:r>
            <w:r w:rsidRPr="00E837B8">
              <w:t xml:space="preserve"> the cultural monitor</w:t>
            </w:r>
          </w:p>
          <w:p w:rsidR="00000000" w:rsidRPr="00E837B8" w:rsidP="00E837B8">
            <w:pPr>
              <w:pStyle w:val="ListBullet"/>
            </w:pPr>
            <w:r w:rsidRPr="00E837B8">
              <w:t>Uncovering of cultural/heritage artefacts</w:t>
            </w:r>
          </w:p>
          <w:p w:rsidR="00000000" w:rsidRPr="00E837B8" w:rsidP="00E837B8">
            <w:pPr>
              <w:pStyle w:val="ListBullet"/>
            </w:pPr>
            <w:r w:rsidRPr="00E837B8">
              <w:t>Understanding heritage and cultural issues</w:t>
            </w:r>
          </w:p>
          <w:p w:rsidR="00000000" w:rsidP="00E837B8">
            <w:pPr>
              <w:pStyle w:val="ListBullet"/>
              <w:rPr>
                <w:lang w:val="en-NZ"/>
              </w:rPr>
            </w:pPr>
            <w:r w:rsidRPr="00E837B8">
              <w:t>Understanding legislative and regulatory requirement applicable in working situations</w:t>
            </w:r>
          </w:p>
        </w:tc>
      </w:tr>
      <w:tr w:rsidTr="00B4713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G 2.3.22</w:t>
            </w:r>
          </w:p>
        </w:tc>
        <w:tc>
          <w:tcPr>
            <w:tcW w:w="603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Effective communication on a gas transmission pipeli</w:t>
            </w:r>
            <w:r w:rsidRPr="00E837B8">
              <w:t>ne construction site (between operators and ground crews)</w:t>
            </w:r>
          </w:p>
          <w:p w:rsidR="00000000" w:rsidRPr="00E837B8" w:rsidP="00E837B8">
            <w:pPr>
              <w:pStyle w:val="BodyText"/>
            </w:pPr>
            <w:r w:rsidRPr="00E837B8">
              <w:t>Evidence shall show an Knowledge of on-site pipeline construction communication strategies including:</w:t>
            </w:r>
          </w:p>
          <w:p w:rsidR="00000000" w:rsidRPr="00E837B8" w:rsidP="00E837B8">
            <w:pPr>
              <w:pStyle w:val="ListBullet"/>
            </w:pPr>
            <w:r w:rsidRPr="00E837B8">
              <w:t>hand signals</w:t>
            </w:r>
          </w:p>
          <w:p w:rsidR="00000000" w:rsidRPr="00E837B8" w:rsidP="00E837B8">
            <w:pPr>
              <w:pStyle w:val="ListBullet"/>
            </w:pPr>
            <w:r w:rsidRPr="00E837B8">
              <w:t xml:space="preserve">satellite phones </w:t>
            </w:r>
          </w:p>
          <w:p w:rsidR="00000000" w:rsidP="00E837B8">
            <w:pPr>
              <w:pStyle w:val="ListBullet"/>
              <w:rPr>
                <w:lang w:val="en-NZ"/>
              </w:rPr>
            </w:pPr>
            <w:r w:rsidRPr="00E837B8">
              <w:t>radios</w:t>
            </w:r>
          </w:p>
        </w:tc>
      </w:tr>
      <w:tr w:rsidTr="00B47139">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G 2.3.24</w:t>
            </w:r>
          </w:p>
        </w:tc>
        <w:tc>
          <w:tcPr>
            <w:tcW w:w="603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Operation of transmission pipeline construction plant and equipment</w:t>
            </w:r>
          </w:p>
          <w:p w:rsidR="00000000" w:rsidRPr="00E837B8" w:rsidP="00E837B8">
            <w:pPr>
              <w:pStyle w:val="BodyText"/>
            </w:pPr>
            <w:r w:rsidRPr="00E837B8">
              <w:t xml:space="preserve">Evidence shall show an understanding the general operating parameters of the following gas industry transmission pipeline plant and equipment:  </w:t>
            </w:r>
          </w:p>
          <w:p w:rsidR="00000000" w:rsidRPr="00E837B8" w:rsidP="00E837B8">
            <w:pPr>
              <w:pStyle w:val="ListBullet"/>
            </w:pPr>
            <w:r w:rsidRPr="00E837B8">
              <w:t>Compressors</w:t>
            </w:r>
          </w:p>
          <w:p w:rsidR="00000000" w:rsidRPr="00E837B8" w:rsidP="00E837B8">
            <w:pPr>
              <w:pStyle w:val="ListBullet"/>
            </w:pPr>
            <w:r w:rsidRPr="00E837B8">
              <w:t>Grader</w:t>
            </w:r>
          </w:p>
          <w:p w:rsidR="00000000" w:rsidRPr="00E837B8" w:rsidP="00E837B8">
            <w:pPr>
              <w:pStyle w:val="ListBullet"/>
            </w:pPr>
            <w:r w:rsidRPr="00E837B8">
              <w:t>Dozer</w:t>
            </w:r>
          </w:p>
          <w:p w:rsidR="00000000" w:rsidRPr="00E837B8" w:rsidP="00E837B8">
            <w:pPr>
              <w:pStyle w:val="ListBullet"/>
            </w:pPr>
            <w:r w:rsidRPr="00E837B8">
              <w:t>Excavator</w:t>
            </w:r>
          </w:p>
          <w:p w:rsidR="00000000" w:rsidRPr="00E837B8" w:rsidP="00E837B8">
            <w:pPr>
              <w:pStyle w:val="ListBullet"/>
            </w:pPr>
            <w:r w:rsidRPr="00E837B8">
              <w:t>Vacuum l</w:t>
            </w:r>
            <w:r w:rsidRPr="00E837B8">
              <w:t>ift</w:t>
            </w:r>
          </w:p>
          <w:p w:rsidR="00000000" w:rsidRPr="00E837B8" w:rsidP="00E837B8">
            <w:pPr>
              <w:pStyle w:val="ListBullet"/>
            </w:pPr>
            <w:r w:rsidRPr="00E837B8">
              <w:t xml:space="preserve">Bending machine </w:t>
            </w:r>
          </w:p>
          <w:p w:rsidR="00000000" w:rsidRPr="00E837B8" w:rsidP="00E837B8">
            <w:pPr>
              <w:pStyle w:val="ListBullet"/>
            </w:pPr>
            <w:r w:rsidRPr="00E837B8">
              <w:t>Bending machine &amp; mandrel</w:t>
            </w:r>
          </w:p>
          <w:p w:rsidR="00000000" w:rsidRPr="00E837B8" w:rsidP="00E837B8">
            <w:pPr>
              <w:pStyle w:val="ListBullet"/>
            </w:pPr>
            <w:r w:rsidRPr="00E837B8">
              <w:t>Internal line up clamp</w:t>
            </w:r>
          </w:p>
          <w:p w:rsidR="00000000" w:rsidRPr="00E837B8" w:rsidP="00E837B8">
            <w:pPr>
              <w:pStyle w:val="ListBullet"/>
            </w:pPr>
            <w:r w:rsidRPr="00E837B8">
              <w:t>Tack Rig</w:t>
            </w:r>
          </w:p>
          <w:p w:rsidR="00000000" w:rsidRPr="00E837B8" w:rsidP="00E837B8">
            <w:pPr>
              <w:pStyle w:val="ListBullet"/>
            </w:pPr>
            <w:r w:rsidRPr="00E837B8">
              <w:t>Side Boom</w:t>
            </w:r>
          </w:p>
          <w:p w:rsidR="00000000" w:rsidRPr="00E837B8" w:rsidP="00E837B8">
            <w:pPr>
              <w:pStyle w:val="ListBullet"/>
            </w:pPr>
            <w:r w:rsidRPr="00E837B8">
              <w:t>Roller Cradles</w:t>
            </w:r>
          </w:p>
          <w:p w:rsidR="00000000" w:rsidRPr="00E837B8" w:rsidP="00E837B8">
            <w:pPr>
              <w:pStyle w:val="ListBullet"/>
            </w:pPr>
            <w:r w:rsidRPr="00E837B8">
              <w:t>Trenching Equipment</w:t>
            </w:r>
          </w:p>
          <w:p w:rsidR="00000000" w:rsidRPr="00E837B8" w:rsidP="00E837B8">
            <w:pPr>
              <w:pStyle w:val="ListBullet"/>
            </w:pPr>
            <w:r w:rsidRPr="00E837B8">
              <w:t>Bucket Wheel trencher</w:t>
            </w:r>
          </w:p>
          <w:p w:rsidR="00000000" w:rsidRPr="00E837B8" w:rsidP="00E837B8">
            <w:pPr>
              <w:pStyle w:val="ListBullet"/>
            </w:pPr>
            <w:r w:rsidRPr="00E837B8">
              <w:t>Grit Blasting Unit</w:t>
            </w:r>
          </w:p>
          <w:p w:rsidR="00000000" w:rsidRPr="00E837B8" w:rsidP="00E837B8">
            <w:pPr>
              <w:pStyle w:val="ListBullet"/>
            </w:pPr>
            <w:r w:rsidRPr="00E837B8">
              <w:t>Thermal Coil</w:t>
            </w:r>
          </w:p>
          <w:p w:rsidR="00000000" w:rsidRPr="00E837B8" w:rsidP="00E837B8">
            <w:pPr>
              <w:pStyle w:val="ListBullet"/>
            </w:pPr>
            <w:r w:rsidRPr="00E837B8">
              <w:t>Padding machines</w:t>
            </w:r>
          </w:p>
          <w:p w:rsidR="00000000" w:rsidRPr="00E837B8" w:rsidP="00E837B8">
            <w:pPr>
              <w:pStyle w:val="ListBullet"/>
            </w:pPr>
            <w:r w:rsidRPr="00E837B8">
              <w:t>Mitsu Bucket</w:t>
            </w:r>
          </w:p>
          <w:p w:rsidR="00000000" w:rsidRPr="00E837B8" w:rsidP="00E837B8">
            <w:pPr>
              <w:pStyle w:val="ListBullet"/>
            </w:pPr>
            <w:r w:rsidRPr="00E837B8">
              <w:t>Crane (Rough Terrain)</w:t>
            </w:r>
          </w:p>
          <w:p w:rsidR="00000000" w:rsidRPr="00E837B8" w:rsidP="00E837B8">
            <w:pPr>
              <w:pStyle w:val="ListBullet"/>
            </w:pPr>
            <w:r w:rsidRPr="00E837B8">
              <w:t xml:space="preserve">Crane Truck </w:t>
            </w:r>
          </w:p>
          <w:p w:rsidR="00000000" w:rsidRPr="00E837B8" w:rsidP="00E837B8">
            <w:pPr>
              <w:pStyle w:val="ListBullet"/>
            </w:pPr>
            <w:r w:rsidRPr="00E837B8">
              <w:t xml:space="preserve">Flood pump </w:t>
            </w:r>
          </w:p>
          <w:p w:rsidR="00000000" w:rsidRPr="00E837B8" w:rsidP="00E837B8">
            <w:pPr>
              <w:pStyle w:val="ListBullet"/>
            </w:pPr>
            <w:r w:rsidRPr="00E837B8">
              <w:t>Squeeze pump</w:t>
            </w:r>
          </w:p>
          <w:p w:rsidR="00000000" w:rsidRPr="00E837B8" w:rsidP="00E837B8">
            <w:pPr>
              <w:pStyle w:val="ListBullet"/>
            </w:pPr>
            <w:r w:rsidRPr="00E837B8">
              <w:t>Drying Plant</w:t>
            </w:r>
          </w:p>
        </w:tc>
      </w:tr>
    </w:tbl>
    <w:p w:rsidR="00B47139" w:rsidP="00E837B8">
      <w:pPr>
        <w:pStyle w:val="BodyText"/>
      </w:pPr>
      <w:r w:rsidRPr="00E837B8">
        <w:t xml:space="preserve"> </w:t>
      </w:r>
    </w:p>
    <w:p w:rsidR="00B47139" w:rsidP="00E837B8">
      <w:pPr>
        <w:pStyle w:val="BodyText"/>
      </w:pPr>
    </w:p>
    <w:p w:rsidR="00000000" w:rsidRPr="00E837B8" w:rsidP="00E837B8">
      <w:pPr>
        <w:pStyle w:val="Heading1"/>
      </w:pPr>
      <w:bookmarkStart w:id="10" w:name="O_402623"/>
      <w:bookmarkEnd w:id="10"/>
      <w:r w:rsidRPr="00E837B8">
        <w:t>Evidence Guide</w:t>
      </w:r>
    </w:p>
    <w:tbl>
      <w:tblPr>
        <w:tblW w:w="0" w:type="auto"/>
        <w:tblLayout w:type="fixed"/>
        <w:tblCellMar>
          <w:left w:w="62" w:type="dxa"/>
          <w:right w:w="62" w:type="dxa"/>
        </w:tblCellMar>
        <w:tblLook w:val="0000"/>
      </w:tblPr>
      <w:tblGrid>
        <w:gridCol w:w="8460"/>
      </w:tblGrid>
      <w:tr w:rsidTr="00B471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EVIDENCE GUIDE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9)</w:t>
            </w:r>
            <w:r w:rsidRPr="00E837B8">
              <w:t xml:space="preserve"> The Evidence Guide forms an integral part of this Unit and shall be used in conjunction with </w:t>
            </w:r>
            <w:r w:rsidRPr="00E837B8">
              <w:t>all components parts of this unit and performed in accordance with the Assessment Guidelines of this Training Package.</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6570"/>
      </w:tblGrid>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9.1)</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Longitudinal competency development approaches to assessment, such as Profiling, require data to be relia</w:t>
            </w:r>
            <w:r w:rsidRPr="00E837B8">
              <w:t>bly gathered in a form that can be consistently interpreted over time. This approach is best utilised in Apprenticeship programs and reduces assessment intervention. It is the Industry’s preferred model for apprenticeships. However, where summative (or fin</w:t>
            </w:r>
            <w:r w:rsidRPr="00E837B8">
              <w:t>al) assessment is used it is to include the application of the competency in the normal work environment or, at a minimum, the application of the competency in a realistically simulated work environment. It is recognised that, in some circumstances, assess</w:t>
            </w:r>
            <w:r w:rsidRPr="00E837B8">
              <w:t>ment in part or full can occur outside the workplace. However, it must be in accord with industry and regulatory policy in this regard.</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Methods chosen for a particular assessment will be influenced by various factors. These include the extent of the asse</w:t>
            </w:r>
            <w:r w:rsidRPr="00E837B8">
              <w:t>ssment, the most effective locations for the assessment activities to take place, access to physical resources, additional safety measures that may be required and the critical nature of the competencies being assessed.</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The critical safety nature of working with electricity, electrical equipment, gas or any other hazardous substance/material carries risk in deeming a person competent. Hence, sources of evidence need to be ‘rich’ in nature so as to minimise error in judgme</w:t>
            </w:r>
            <w:r w:rsidRPr="00E837B8">
              <w:t>nt.</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Activities associated with normal every day work have a bearing on the decision as to how much and how detailed the data gathered will contribute to its ‘richness’. Some skills are more critical to safety and operational requirements while the same s</w:t>
            </w:r>
            <w:r w:rsidRPr="00E837B8">
              <w:t xml:space="preserve">kills may be more or less frequently practised. These points are raised for the assessors to consider when choosing an assessment method and developing assessment instruments. Sample assessment instruments are included in the Assessment Guidelines of this </w:t>
            </w:r>
            <w:r w:rsidRPr="00E837B8">
              <w:t>Training Package.</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6570"/>
      </w:tblGrid>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9.2)</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Before the critical aspects of evidence are considered all prerequisites shall be met.</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Evidence for competence in this unit shall be considered holist</w:t>
            </w:r>
            <w:r w:rsidRPr="00E837B8">
              <w:t>ically. Each element and associated Performance Criteria shall be demonstrated on at least two occasions in accordance with the ‘Assessment Guidelines — UEG11’. Evidence shall also comprise: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A representative body of work performance demonstrated within t</w:t>
            </w:r>
            <w:r w:rsidRPr="00E837B8">
              <w:t>he timeframes typically expected of the discipline, work function and industrial environment. In particular this shall incorporate evidence that shows a candidate is able to:</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2"/>
              <w:rPr>
                <w:lang w:val="en-NZ"/>
              </w:rPr>
            </w:pPr>
            <w:r w:rsidRPr="00E837B8">
              <w:t>Implement Occupational Health and Safety workplace procedures and practices including the use of risk control measures as specified in the Performance Criteria and range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2"/>
              <w:rPr>
                <w:lang w:val="en-NZ"/>
              </w:rPr>
            </w:pPr>
            <w:r w:rsidRPr="00E837B8">
              <w:t>Apply sustainable energy principles and practices as specified in the Performance C</w:t>
            </w:r>
            <w:r w:rsidRPr="00E837B8">
              <w:t>riteria and range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2"/>
              <w:rPr>
                <w:lang w:val="en-NZ"/>
              </w:rPr>
            </w:pPr>
            <w:r w:rsidRPr="00E837B8">
              <w:t>Demonstrate an understanding of the essential knowledge and associated skills as described in this unit to such an extent that the learner’s performance outcome is reported in accordance with the preferred approach; namely a percentile</w:t>
            </w:r>
            <w:r w:rsidRPr="00E837B8">
              <w:t xml:space="preserve"> graded result</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2"/>
              <w:rPr>
                <w:lang w:val="en-NZ"/>
              </w:rPr>
            </w:pPr>
            <w:r w:rsidRPr="00E837B8">
              <w:t>Demonstrate an appropriate level of employability skills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2"/>
              <w:rPr>
                <w:lang w:val="en-NZ"/>
              </w:rPr>
            </w:pPr>
            <w:r w:rsidRPr="00E837B8">
              <w:t>Conduct work observing the relevant Anti discrimination legislation, regulations, polices and workplace procedures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837B8" w:rsidP="00E837B8">
            <w:pPr>
              <w:pStyle w:val="ListBullet"/>
            </w:pPr>
            <w:r w:rsidRPr="00E837B8">
              <w:t xml:space="preserve">Demonstrate performance across a representative range of contexts from the prescribed items below: Group A, and 1 of the following Groups: B, C, D, E, F, G, H, I, J depending on the endorsement. </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B4713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837B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rPr>
                <w:rStyle w:val="SpecialBold"/>
              </w:rPr>
              <w:t>Range of tools/equipment/procedures/workplace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837B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rPr>
                <w:rStyle w:val="SpecialBold"/>
              </w:rPr>
              <w:t>Item List</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Working knowledge of OHS, environmental and cultural legislative and regulatory requirements</w:t>
            </w:r>
          </w:p>
          <w:p w:rsidR="00000000" w:rsidRPr="00E837B8" w:rsidP="00E837B8">
            <w:pPr>
              <w:pStyle w:val="BodyText"/>
            </w:pPr>
            <w:r w:rsidRPr="00E837B8">
              <w:t>Effective communication between operators and ground crew</w:t>
            </w:r>
          </w:p>
          <w:p w:rsidR="00000000" w:rsidP="00E837B8">
            <w:pPr>
              <w:pStyle w:val="BodyText"/>
              <w:rPr>
                <w:lang w:val="en-NZ"/>
              </w:rPr>
            </w:pPr>
            <w:r w:rsidRPr="00E837B8">
              <w:t>Deal at least once with an unplanned event by drawing on essential knowledge and associated skills to provide appropriate solutions incorporated in the holistic assessment with the above listed items.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For Clear &amp; Grade</w:t>
            </w:r>
          </w:p>
          <w:p w:rsidR="00000000" w:rsidRPr="00E837B8" w:rsidP="00E837B8">
            <w:pPr>
              <w:pStyle w:val="BodyText"/>
            </w:pPr>
          </w:p>
          <w:p w:rsidR="00000000" w:rsidP="00E837B8">
            <w:pPr>
              <w:pStyle w:val="BodyText"/>
              <w:rPr>
                <w:lang w:val="en-NZ"/>
              </w:rPr>
            </w:pPr>
            <w:r w:rsidRPr="00E837B8">
              <w:t xml:space="preserve">1 of the following </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Doz</w:t>
            </w:r>
            <w:r w:rsidRPr="00E837B8">
              <w:t>er</w:t>
            </w:r>
          </w:p>
          <w:p w:rsidR="00000000" w:rsidRPr="00E837B8" w:rsidP="00E837B8">
            <w:pPr>
              <w:pStyle w:val="BodyText"/>
            </w:pPr>
            <w:r w:rsidRPr="00E837B8">
              <w:t>Operate Excavator</w:t>
            </w:r>
          </w:p>
          <w:p w:rsidR="00000000" w:rsidRPr="00E837B8" w:rsidP="00E837B8">
            <w:pPr>
              <w:pStyle w:val="BodyText"/>
            </w:pPr>
            <w:r w:rsidRPr="00E837B8">
              <w:t>Operate Grader</w:t>
            </w:r>
          </w:p>
          <w:p w:rsidR="00000000" w:rsidRPr="00E837B8" w:rsidP="00E837B8">
            <w:pPr>
              <w:pStyle w:val="BodyText"/>
            </w:pPr>
            <w:r w:rsidRPr="00E837B8">
              <w:t>Operate Backhoe</w:t>
            </w:r>
          </w:p>
          <w:p w:rsidR="00000000" w:rsidP="00E837B8">
            <w:pPr>
              <w:pStyle w:val="BodyText"/>
              <w:rPr>
                <w:lang w:val="en-NZ"/>
              </w:rPr>
            </w:pPr>
            <w:r w:rsidRPr="00E837B8">
              <w:t>Operate Front End Loader</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 xml:space="preserve">String &amp; Bend </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Excavator with vacuum lift</w:t>
            </w:r>
          </w:p>
          <w:p w:rsidR="00000000" w:rsidRPr="00E837B8" w:rsidP="00E837B8">
            <w:pPr>
              <w:pStyle w:val="BodyText"/>
            </w:pPr>
            <w:r w:rsidRPr="00E837B8">
              <w:t>Operate Bending Machine with Mandrel</w:t>
            </w:r>
          </w:p>
          <w:p w:rsidR="00000000" w:rsidP="00E837B8">
            <w:pPr>
              <w:pStyle w:val="BodyText"/>
              <w:rPr>
                <w:lang w:val="en-NZ"/>
              </w:rPr>
            </w:pPr>
            <w:r w:rsidRPr="00E837B8">
              <w:t>Operate Side Boom</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Ditching Operator</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Excavator</w:t>
            </w:r>
          </w:p>
          <w:p w:rsidR="00000000" w:rsidRPr="00E837B8" w:rsidP="00E837B8">
            <w:pPr>
              <w:pStyle w:val="BodyText"/>
            </w:pPr>
            <w:r w:rsidRPr="00E837B8">
              <w:t>Operate a Rock Saw</w:t>
            </w:r>
          </w:p>
          <w:p w:rsidR="00000000" w:rsidP="00E837B8">
            <w:pPr>
              <w:pStyle w:val="BodyText"/>
              <w:rPr>
                <w:lang w:val="en-NZ"/>
              </w:rPr>
            </w:pPr>
            <w:r w:rsidRPr="00E837B8">
              <w:t>Operate a Bucket Wheel Trencher</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 xml:space="preserve">Welding/Side Boom </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a Side Boom</w:t>
            </w:r>
          </w:p>
          <w:p w:rsidR="00000000" w:rsidRPr="00E837B8" w:rsidP="00E837B8">
            <w:pPr>
              <w:pStyle w:val="BodyText"/>
            </w:pPr>
            <w:r w:rsidRPr="00E837B8">
              <w:t>Operate an Internal Line Up Clamp</w:t>
            </w:r>
          </w:p>
          <w:p w:rsidR="00000000" w:rsidP="00E837B8">
            <w:pPr>
              <w:pStyle w:val="BodyText"/>
              <w:rPr>
                <w:lang w:val="en-NZ"/>
              </w:rPr>
            </w:pPr>
            <w:r w:rsidRPr="00E837B8">
              <w:t>Tack Rig: Operate a Dozer or Skid Steer</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 xml:space="preserve">Joint Coating </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Sand Blasting Rig: Operate a Skid Steer</w:t>
            </w:r>
          </w:p>
          <w:p w:rsidR="00000000" w:rsidRPr="00E837B8" w:rsidP="00E837B8">
            <w:pPr>
              <w:pStyle w:val="BodyText"/>
            </w:pPr>
            <w:r w:rsidRPr="00E837B8">
              <w:t>Operate an Over ditch Wrapping Machine</w:t>
            </w:r>
          </w:p>
          <w:p w:rsidR="00000000" w:rsidP="00E837B8">
            <w:pPr>
              <w:pStyle w:val="BodyText"/>
              <w:rPr>
                <w:lang w:val="en-NZ"/>
              </w:rPr>
            </w:pPr>
            <w:r w:rsidRPr="00E837B8">
              <w:t>Operate a Thermal Coil</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 xml:space="preserve">Lower and Lay </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Side Booms with Roller Cradles</w:t>
            </w:r>
          </w:p>
          <w:p w:rsidR="00000000" w:rsidP="00E837B8">
            <w:pPr>
              <w:pStyle w:val="BodyText"/>
              <w:rPr>
                <w:lang w:val="en-NZ"/>
              </w:rPr>
            </w:pPr>
            <w:r w:rsidRPr="00E837B8">
              <w:t>Operate Excavator</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 xml:space="preserve">Backfill </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Padding Machines</w:t>
            </w:r>
          </w:p>
          <w:p w:rsidR="00000000" w:rsidRPr="00E837B8" w:rsidP="00E837B8">
            <w:pPr>
              <w:pStyle w:val="BodyText"/>
            </w:pPr>
            <w:r w:rsidRPr="00E837B8">
              <w:t>Operate Excavator</w:t>
            </w:r>
          </w:p>
          <w:p w:rsidR="00000000" w:rsidRPr="00E837B8" w:rsidP="00E837B8">
            <w:pPr>
              <w:pStyle w:val="BodyText"/>
            </w:pPr>
            <w:r w:rsidRPr="00E837B8">
              <w:t>Operate Grader</w:t>
            </w:r>
          </w:p>
          <w:p w:rsidR="00000000" w:rsidRPr="00E837B8" w:rsidP="00E837B8">
            <w:pPr>
              <w:pStyle w:val="BodyText"/>
            </w:pPr>
            <w:r w:rsidRPr="00E837B8">
              <w:t>Operate Dozer</w:t>
            </w:r>
          </w:p>
          <w:p w:rsidR="00000000" w:rsidP="00E837B8">
            <w:pPr>
              <w:pStyle w:val="BodyText"/>
              <w:rPr>
                <w:lang w:val="en-NZ"/>
              </w:rPr>
            </w:pPr>
            <w:r w:rsidRPr="00E837B8">
              <w:t>Operate Front End Loader</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Hydro Testing Operator</w:t>
            </w:r>
          </w:p>
          <w:p w:rsidR="00000000" w:rsidRPr="00E837B8" w:rsidP="00E837B8">
            <w:pPr>
              <w:pStyle w:val="BodyText"/>
            </w:pPr>
          </w:p>
          <w:p w:rsidR="00000000" w:rsidP="00E837B8">
            <w:pPr>
              <w:pStyle w:val="BodyText"/>
              <w:rPr>
                <w:lang w:val="en-NZ"/>
              </w:rPr>
            </w:pPr>
            <w:r w:rsidRPr="00E837B8">
              <w:t xml:space="preserve">        1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Operate Crane Truck: Heavy Rigid Truck</w:t>
            </w:r>
          </w:p>
          <w:p w:rsidR="00000000" w:rsidRPr="00E837B8" w:rsidP="00E837B8">
            <w:pPr>
              <w:pStyle w:val="BodyText"/>
            </w:pPr>
            <w:r w:rsidRPr="00E837B8">
              <w:t>Operate Side Boom</w:t>
            </w:r>
          </w:p>
          <w:p w:rsidR="00000000" w:rsidP="00E837B8">
            <w:pPr>
              <w:pStyle w:val="BodyText"/>
              <w:rPr>
                <w:lang w:val="en-NZ"/>
              </w:rPr>
            </w:pPr>
            <w:r w:rsidRPr="00E837B8">
              <w:t>Operate Rough Terrain Crane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7B8">
            <w:pPr>
              <w:pStyle w:val="BodyText"/>
              <w:rPr>
                <w:lang w:val="en-NZ"/>
              </w:rPr>
            </w:pPr>
            <w:r w:rsidRPr="00E837B8">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Mechanical (minor maintenance)</w:t>
            </w:r>
          </w:p>
          <w:p w:rsidR="00000000" w:rsidRPr="00E837B8" w:rsidP="00E837B8">
            <w:pPr>
              <w:pStyle w:val="BodyText"/>
            </w:pPr>
          </w:p>
          <w:p w:rsidR="00000000" w:rsidP="00E837B8">
            <w:pPr>
              <w:pStyle w:val="BodyText"/>
              <w:rPr>
                <w:lang w:val="en-NZ"/>
              </w:rPr>
            </w:pPr>
            <w:r w:rsidRPr="00E837B8">
              <w:t xml:space="preserve">        4 of the following</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7B8" w:rsidP="00E837B8">
            <w:pPr>
              <w:pStyle w:val="BodyText"/>
            </w:pPr>
            <w:r w:rsidRPr="00E837B8">
              <w:t>Carry out mechanical repairs to:</w:t>
            </w:r>
          </w:p>
          <w:p w:rsidR="00000000" w:rsidRPr="00E837B8" w:rsidP="00E837B8">
            <w:pPr>
              <w:pStyle w:val="BodyText"/>
            </w:pPr>
            <w:r w:rsidRPr="00E837B8">
              <w:t>Excavator and vacuum lift</w:t>
            </w:r>
          </w:p>
          <w:p w:rsidR="00000000" w:rsidRPr="00E837B8" w:rsidP="00E837B8">
            <w:pPr>
              <w:pStyle w:val="BodyText"/>
            </w:pPr>
            <w:r w:rsidRPr="00E837B8">
              <w:t>Bending machine and mandrels</w:t>
            </w:r>
          </w:p>
          <w:p w:rsidR="00000000" w:rsidRPr="00E837B8" w:rsidP="00E837B8">
            <w:pPr>
              <w:pStyle w:val="BodyText"/>
            </w:pPr>
            <w:r w:rsidRPr="00E837B8">
              <w:t>Internal line up clamp</w:t>
            </w:r>
          </w:p>
          <w:p w:rsidR="00000000" w:rsidRPr="00E837B8" w:rsidP="00E837B8">
            <w:pPr>
              <w:pStyle w:val="BodyText"/>
            </w:pPr>
            <w:r w:rsidRPr="00E837B8">
              <w:t>Tack Rig</w:t>
            </w:r>
          </w:p>
          <w:p w:rsidR="00000000" w:rsidRPr="00E837B8" w:rsidP="00E837B8">
            <w:pPr>
              <w:pStyle w:val="BodyText"/>
            </w:pPr>
            <w:r w:rsidRPr="00E837B8">
              <w:t>Side Boom</w:t>
            </w:r>
          </w:p>
          <w:p w:rsidR="00000000" w:rsidRPr="00E837B8" w:rsidP="00E837B8">
            <w:pPr>
              <w:pStyle w:val="BodyText"/>
            </w:pPr>
            <w:r w:rsidRPr="00E837B8">
              <w:t>Roller Cradles</w:t>
            </w:r>
          </w:p>
          <w:p w:rsidR="00000000" w:rsidRPr="00E837B8" w:rsidP="00E837B8">
            <w:pPr>
              <w:pStyle w:val="BodyText"/>
            </w:pPr>
            <w:r w:rsidRPr="00E837B8">
              <w:t>Rock Saw</w:t>
            </w:r>
          </w:p>
          <w:p w:rsidR="00000000" w:rsidRPr="00E837B8" w:rsidP="00E837B8">
            <w:pPr>
              <w:pStyle w:val="BodyText"/>
            </w:pPr>
            <w:r w:rsidRPr="00E837B8">
              <w:t>Bucket Wheel trencher</w:t>
            </w:r>
          </w:p>
          <w:p w:rsidR="00000000" w:rsidRPr="00E837B8" w:rsidP="00E837B8">
            <w:pPr>
              <w:pStyle w:val="BodyText"/>
            </w:pPr>
            <w:r w:rsidRPr="00E837B8">
              <w:t>Thermal Coil</w:t>
            </w:r>
          </w:p>
          <w:p w:rsidR="00000000" w:rsidRPr="00E837B8" w:rsidP="00E837B8">
            <w:pPr>
              <w:pStyle w:val="BodyText"/>
            </w:pPr>
            <w:r w:rsidRPr="00E837B8">
              <w:t>Over ditch wrapping machine</w:t>
            </w:r>
          </w:p>
          <w:p w:rsidR="00000000" w:rsidRPr="00E837B8" w:rsidP="00E837B8">
            <w:pPr>
              <w:pStyle w:val="BodyText"/>
            </w:pPr>
            <w:r w:rsidRPr="00E837B8">
              <w:t>Padding machines</w:t>
            </w:r>
          </w:p>
          <w:p w:rsidR="00000000" w:rsidRPr="00E837B8" w:rsidP="00E837B8">
            <w:pPr>
              <w:pStyle w:val="BodyText"/>
            </w:pPr>
            <w:r w:rsidRPr="00E837B8">
              <w:t>Mitsu Bucket</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6570"/>
      </w:tblGrid>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9.3)</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This unit should be assessed as it relates to normal work practice using procedures, information and resources typical of a workplace. This should include:</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OHS policy and work procedures and instructions.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Suitable work environment, facilities, equipmen</w:t>
            </w:r>
            <w:r w:rsidRPr="00E837B8">
              <w:t>t and materials to undertake actual work as prescribed by this Unit.</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Appropriate environmental regulation and work practices.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Appropriate organisational requirements.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ListBullet"/>
              <w:rPr>
                <w:lang w:val="en-NZ"/>
              </w:rPr>
            </w:pPr>
            <w:r w:rsidRPr="00E837B8">
              <w:t>Appropriate work environment, equipment and tools.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In addition to the resources listed above in context of and specific resources for assessment, evidence should show demonstrated competency in maintaining pipeline easements.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Assessment of this competency must also be undertaken in either an actual workp</w:t>
            </w:r>
            <w:r w:rsidRPr="00E837B8">
              <w:t>lace or under a simulated work environment. Assessment must also integrate the employability skills.</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6570"/>
      </w:tblGrid>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9.4)</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This Unit shall be assessed by methods given in Volume 1, Part 3 ‘Assessment Guidelines’.</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 xml:space="preserve">Note: Competent performance with </w:t>
            </w:r>
            <w:r w:rsidRPr="00E837B8">
              <w:t xml:space="preserve">inherent safe working practices is expected in the Industry to which this Unit applies. This requires that the specified Essential Knowledge and Associated Skills are assessed in a structured environment which is primarily intended for learning/assessment </w:t>
            </w:r>
            <w:r w:rsidRPr="00E837B8">
              <w:t>and incorporates all necessary equipment and facilities for learners to develop and demonstrate the Essential Knowledge and Associated Skills described in this unit.</w:t>
            </w:r>
          </w:p>
        </w:tc>
      </w:tr>
    </w:tbl>
    <w:p w:rsidR="00000000" w:rsidRPr="00E837B8" w:rsidP="00E837B8">
      <w:pPr>
        <w:pStyle w:val="BodyText"/>
      </w:pPr>
    </w:p>
    <w:tbl>
      <w:tblPr>
        <w:tblW w:w="0" w:type="auto"/>
        <w:tblLayout w:type="fixed"/>
        <w:tblCellMar>
          <w:left w:w="62" w:type="dxa"/>
          <w:right w:w="62" w:type="dxa"/>
        </w:tblCellMar>
        <w:tblLook w:val="0000"/>
      </w:tblPr>
      <w:tblGrid>
        <w:gridCol w:w="1890"/>
        <w:gridCol w:w="6570"/>
      </w:tblGrid>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9.5)</w:t>
            </w:r>
          </w:p>
        </w:tc>
      </w:tr>
      <w:tr w:rsidTr="00B4713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There are no recommended concurrent assessments with this unit.</w:t>
            </w:r>
          </w:p>
        </w:tc>
      </w:tr>
    </w:tbl>
    <w:p w:rsidR="00B47139" w:rsidP="00E837B8">
      <w:pPr>
        <w:pStyle w:val="BodyText"/>
      </w:pPr>
    </w:p>
    <w:p w:rsidR="00B47139" w:rsidP="00E837B8">
      <w:pPr>
        <w:pStyle w:val="BodyText"/>
      </w:pPr>
    </w:p>
    <w:p w:rsidR="00000000" w:rsidRPr="00E837B8" w:rsidP="00E837B8">
      <w:pPr>
        <w:pStyle w:val="Heading1"/>
      </w:pPr>
      <w:bookmarkStart w:id="11" w:name="O_402627"/>
      <w:bookmarkEnd w:id="11"/>
      <w:r w:rsidRPr="00E837B8">
        <w:t>Range Statement</w:t>
      </w:r>
    </w:p>
    <w:tbl>
      <w:tblPr>
        <w:tblW w:w="0" w:type="auto"/>
        <w:tblLayout w:type="fixed"/>
        <w:tblCellMar>
          <w:left w:w="62" w:type="dxa"/>
          <w:right w:w="62" w:type="dxa"/>
        </w:tblCellMar>
        <w:tblLook w:val="0000"/>
      </w:tblPr>
      <w:tblGrid>
        <w:gridCol w:w="8460"/>
      </w:tblGrid>
      <w:tr w:rsidTr="00B471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RANGE STATEMENT</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10)</w:t>
            </w:r>
            <w:r w:rsidRPr="00E837B8">
              <w:t xml:space="preserve"> This relates to the competency standard unit as a whole providing the range of contexts and </w:t>
            </w:r>
            <w:r w:rsidRPr="00E837B8">
              <w:t>conditions to which the Performance Criteria apply. It allows for different work environments and situations that will affect performance.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Specific unit endorsement outcomes</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This competency standard unit is presented </w:t>
            </w:r>
            <w:r w:rsidRPr="00E837B8">
              <w:t>as a composite unit that has nine (9) specific outcomes. There are nine (9) distinct endorsable outcomes in which competence can be achieved and which is to be reported. This is done because of the high degree of commonality in knowledge, process or functi</w:t>
            </w:r>
            <w:r w:rsidRPr="00E837B8">
              <w:t>on. Reporting the unit with the inclusion of an endorsement allows for the formal identification of the necessary applied skills related to workplace outcomes and at the same time reflects the work classification(s) generally understood by industry. The sp</w:t>
            </w:r>
            <w:r w:rsidRPr="00E837B8">
              <w:t>ecific unit outcomes are: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1.</w:t>
            </w:r>
            <w:r w:rsidRPr="00E837B8">
              <w:tab/>
              <w:t>Backfill</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2.</w:t>
            </w:r>
            <w:r w:rsidRPr="00E837B8">
              <w:tab/>
              <w:t>Clear and Grade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3.</w:t>
            </w:r>
            <w:r w:rsidRPr="00E837B8">
              <w:tab/>
              <w:t>Ditching</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4.</w:t>
            </w:r>
            <w:r w:rsidRPr="00E837B8">
              <w:tab/>
              <w:t>Hydro Testing</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5.</w:t>
            </w:r>
            <w:r w:rsidRPr="00E837B8">
              <w:tab/>
              <w:t>Joint Coating</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6.</w:t>
            </w:r>
            <w:r w:rsidRPr="00E837B8">
              <w:tab/>
              <w:t>Lower and Lay</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7.</w:t>
            </w:r>
            <w:r w:rsidRPr="00E837B8">
              <w:tab/>
              <w:t>Mechanical (minor maintenance)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8.</w:t>
            </w:r>
            <w:r w:rsidRPr="00E837B8">
              <w:tab/>
              <w:t>String and bend</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9.</w:t>
            </w:r>
            <w:r w:rsidRPr="00E837B8">
              <w:tab/>
              <w:t>Welding</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Note:</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The outcome of this unit may be used for the purpose of licensing and or registration against one or more of the following plant and equipment: Dozer; Excavator; Grader; Backhoe; Front End Loader; Skid Steer; Heavy Rigid Truck; Rough Terrain Crane. Where a</w:t>
            </w:r>
            <w:r w:rsidRPr="00E837B8">
              <w:t xml:space="preserve"> candidate has an existing nationally endorsed competency or state/territory issued license in any of the plant and equipment found in this unit, competency will need to be demonstrated in the relevant endorsement.</w:t>
            </w:r>
          </w:p>
        </w:tc>
      </w:tr>
      <w:tr w:rsidTr="00B471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This Unit shall be demonstrated in relat</w:t>
            </w:r>
            <w:r w:rsidRPr="00E837B8">
              <w:t>ion an area of endorsement designated against certain items of plant and equipment. The areas of endorsement and related plant and equipment are as follows:</w:t>
            </w:r>
          </w:p>
        </w:tc>
      </w:tr>
    </w:tbl>
    <w:p w:rsidR="00000000" w:rsidRPr="00E837B8" w:rsidP="00E837B8">
      <w:pPr>
        <w:pStyle w:val="BodyText"/>
      </w:pPr>
    </w:p>
    <w:tbl>
      <w:tblPr>
        <w:tblW w:w="0" w:type="auto"/>
        <w:tblLayout w:type="fixed"/>
        <w:tblCellMar>
          <w:left w:w="62" w:type="dxa"/>
          <w:right w:w="62" w:type="dxa"/>
        </w:tblCellMar>
        <w:tblLook w:val="0000"/>
      </w:tblPr>
      <w:tblGrid>
        <w:gridCol w:w="2820"/>
        <w:gridCol w:w="2820"/>
        <w:gridCol w:w="2820"/>
      </w:tblGrid>
      <w:tr w:rsidTr="00E837B8">
        <w:tblPrEx>
          <w:tblW w:w="0" w:type="auto"/>
          <w:tblLayout w:type="fixed"/>
          <w:tblCellMar>
            <w:left w:w="62" w:type="dxa"/>
            <w:right w:w="62" w:type="dxa"/>
          </w:tblCellMar>
          <w:tblLook w:val="0000"/>
        </w:tblPrEx>
        <w:trPr>
          <w:trHeight w:val="366"/>
        </w:trPr>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Backfill</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Padding Machine</w:t>
            </w:r>
            <w:r w:rsidRPr="00E837B8">
              <w:br/>
              <w:t>Excavator</w:t>
            </w:r>
            <w:r w:rsidRPr="00E837B8">
              <w:br/>
              <w:t>Grader</w:t>
            </w:r>
            <w:r w:rsidRPr="00E837B8">
              <w:br/>
              <w:t>D</w:t>
            </w:r>
            <w:r w:rsidRPr="00E837B8">
              <w:t>ozer</w:t>
            </w:r>
            <w:r w:rsidRPr="00E837B8">
              <w:br/>
              <w:t>Front End Loader</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Clear and Grade </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Dozer</w:t>
            </w:r>
            <w:r w:rsidRPr="00E837B8">
              <w:br/>
              <w:t>Excavator</w:t>
            </w:r>
            <w:r w:rsidRPr="00E837B8">
              <w:br/>
              <w:t>Grader</w:t>
            </w:r>
            <w:r w:rsidRPr="00E837B8">
              <w:br/>
            </w:r>
            <w:r w:rsidRPr="00E837B8">
              <w:t>Backhoe</w:t>
            </w:r>
            <w:r w:rsidRPr="00E837B8">
              <w:br/>
              <w:t>Front End Loader</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Ditching</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Excavator</w:t>
            </w:r>
            <w:r w:rsidRPr="00E837B8">
              <w:br/>
              <w:t>Rock Saw</w:t>
            </w:r>
            <w:r w:rsidRPr="00E837B8">
              <w:br/>
              <w:t>Bucket Wheel Trencher</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Hydro Testing</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Crane Truck</w:t>
            </w:r>
            <w:r w:rsidRPr="00E837B8">
              <w:br/>
              <w:t>Side Boom</w:t>
            </w:r>
            <w:r w:rsidRPr="00E837B8">
              <w:br/>
              <w:t>Rough Terrain Crane</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Joint Coating</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Sand Blasting Rig (Skid Steer)</w:t>
            </w:r>
            <w:r w:rsidRPr="00E837B8">
              <w:br/>
              <w:t>Over Ditch Wrapping Machine</w:t>
            </w:r>
            <w:r w:rsidRPr="00E837B8">
              <w:br/>
              <w:t>Thermal Coil</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Lowe</w:t>
            </w:r>
            <w:r w:rsidRPr="00E837B8">
              <w:t>r and Lay</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Side Boom with Roller Cradles</w:t>
            </w:r>
            <w:r w:rsidRPr="00E837B8">
              <w:br/>
              <w:t>Excavator</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Mechanical (minor maintenance)</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4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Excavator and Vacuum Lift</w:t>
            </w:r>
            <w:r w:rsidRPr="00E837B8">
              <w:br/>
              <w:t>Bending Machine and Mandrels</w:t>
            </w:r>
            <w:r w:rsidRPr="00E837B8">
              <w:br/>
              <w:t>Internal Li</w:t>
            </w:r>
            <w:r w:rsidRPr="00E837B8">
              <w:t>ne up Clamp</w:t>
            </w:r>
            <w:r w:rsidRPr="00E837B8">
              <w:br/>
              <w:t>Tack Rig</w:t>
            </w:r>
            <w:r w:rsidRPr="00E837B8">
              <w:br/>
              <w:t>Side Boom</w:t>
            </w:r>
            <w:r w:rsidRPr="00E837B8">
              <w:br/>
              <w:t>Roller Cradles</w:t>
            </w:r>
            <w:r w:rsidRPr="00E837B8">
              <w:br/>
              <w:t>Rock Saw</w:t>
            </w:r>
            <w:r w:rsidRPr="00E837B8">
              <w:br/>
              <w:t>Bucket Wheel Trencher</w:t>
            </w:r>
            <w:r w:rsidRPr="00E837B8">
              <w:br/>
              <w:t>Thermal Coil</w:t>
            </w:r>
            <w:r w:rsidRPr="00E837B8">
              <w:br/>
              <w:t>Over Ditch Wrapping Machine</w:t>
            </w:r>
            <w:r w:rsidRPr="00E837B8">
              <w:br/>
              <w:t>Padding Machines</w:t>
            </w:r>
            <w:r w:rsidRPr="00E837B8">
              <w:br/>
              <w:t>Mitsu Bucket</w:t>
            </w:r>
          </w:p>
        </w:tc>
      </w:tr>
      <w:tr w:rsidTr="00E837B8">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String and bend</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Excavator</w:t>
            </w:r>
            <w:r w:rsidRPr="00E837B8">
              <w:br/>
              <w:t>Bending Machine with Mandre</w:t>
            </w:r>
            <w:r w:rsidRPr="00E837B8">
              <w:t>ls</w:t>
            </w:r>
            <w:r w:rsidRPr="00E837B8">
              <w:br/>
              <w:t>Side Boom</w:t>
            </w:r>
          </w:p>
        </w:tc>
      </w:tr>
      <w:tr w:rsidTr="00E837B8">
        <w:tblPrEx>
          <w:tblW w:w="0" w:type="auto"/>
          <w:tblLayout w:type="fixed"/>
          <w:tblCellMar>
            <w:left w:w="62" w:type="dxa"/>
            <w:right w:w="62" w:type="dxa"/>
          </w:tblCellMar>
          <w:tblLook w:val="0000"/>
        </w:tblPrEx>
        <w:trPr>
          <w:trHeight w:val="366"/>
        </w:trPr>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 xml:space="preserve">Welding </w:t>
            </w:r>
          </w:p>
        </w:tc>
        <w:tc>
          <w:tcPr>
            <w:tcW w:w="282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t>At least 1 of the listed items of plant and equipment</w:t>
            </w:r>
          </w:p>
        </w:tc>
        <w:tc>
          <w:tcPr>
            <w:tcW w:w="282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Side Boom</w:t>
            </w:r>
            <w:r w:rsidRPr="00E837B8">
              <w:br/>
              <w:t>Internal Line up Clamp</w:t>
            </w:r>
            <w:r w:rsidRPr="00E837B8">
              <w:br/>
              <w:t>Tack Rig</w:t>
            </w:r>
          </w:p>
        </w:tc>
      </w:tr>
    </w:tbl>
    <w:p w:rsidR="00000000" w:rsidRPr="00E837B8" w:rsidP="00E837B8">
      <w:pPr>
        <w:pStyle w:val="BodyText"/>
      </w:pPr>
    </w:p>
    <w:tbl>
      <w:tblPr>
        <w:tblW w:w="0" w:type="auto"/>
        <w:tblLayout w:type="fixed"/>
        <w:tblCellMar>
          <w:left w:w="62" w:type="dxa"/>
          <w:right w:w="62" w:type="dxa"/>
        </w:tblCellMar>
        <w:tblLook w:val="0000"/>
      </w:tblPr>
      <w:tblGrid>
        <w:gridCol w:w="8460"/>
      </w:tblGrid>
      <w:tr w:rsidTr="00E837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Endorsement</w:t>
            </w:r>
          </w:p>
          <w:p w:rsidR="00000000" w:rsidP="00E837B8">
            <w:pPr>
              <w:pStyle w:val="BodyText"/>
              <w:rPr>
                <w:lang w:val="en-NZ"/>
              </w:rPr>
            </w:pPr>
            <w:r w:rsidRPr="00E837B8">
              <w:t>Endorsement in the unit shall be separate for each item of plant and equipment listed in the Range Statement of the unit above, for which competency is attributed. More than one endorsement may be demonstrated.</w:t>
            </w:r>
          </w:p>
        </w:tc>
      </w:tr>
      <w:tr w:rsidTr="00E837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In addition to the above range of items, the</w:t>
            </w:r>
            <w:r w:rsidRPr="00E837B8">
              <w:t xml:space="preserve"> following constants and variables included in the element/Performance Criteria in this unit are fully described in the Definitions Section of this volume and form an integral part of the Range Statement of this unit:</w:t>
            </w:r>
          </w:p>
          <w:p w:rsidR="00000000" w:rsidRPr="00E837B8" w:rsidP="00E837B8">
            <w:pPr>
              <w:pStyle w:val="BodyText"/>
            </w:pPr>
            <w:r w:rsidRPr="00E837B8">
              <w:t>Effective communication on a transmiss</w:t>
            </w:r>
            <w:r w:rsidRPr="00E837B8">
              <w:t>ion pipeline construction site between operators and ground crew (eg hand signals etc)</w:t>
            </w:r>
          </w:p>
        </w:tc>
      </w:tr>
    </w:tbl>
    <w:p w:rsidR="00000000" w:rsidRPr="00E837B8" w:rsidP="00E837B8">
      <w:pPr>
        <w:pStyle w:val="BodyText"/>
      </w:pPr>
    </w:p>
    <w:p w:rsidR="00000000" w:rsidRPr="00E837B8" w:rsidP="00E837B8">
      <w:pPr>
        <w:pStyle w:val="AllowPageBreak"/>
      </w:pPr>
    </w:p>
    <w:p w:rsidR="00000000" w:rsidRPr="00E837B8" w:rsidP="00E837B8">
      <w:pPr>
        <w:pStyle w:val="Heading1"/>
      </w:pPr>
      <w:bookmarkStart w:id="12" w:name="O_402630"/>
      <w:bookmarkEnd w:id="12"/>
      <w:r w:rsidRPr="00E837B8">
        <w:t>Unit Sector(s)</w:t>
      </w:r>
    </w:p>
    <w:p w:rsidR="00000000" w:rsidRPr="00E837B8" w:rsidP="00E837B8">
      <w:pPr>
        <w:pStyle w:val="BodyText"/>
      </w:pPr>
      <w:r w:rsidRPr="00E837B8">
        <w:t>Not applicable.</w:t>
      </w:r>
    </w:p>
    <w:p w:rsidR="00000000" w:rsidRPr="00E837B8" w:rsidP="00E837B8">
      <w:pPr>
        <w:pStyle w:val="AllowPageBreak"/>
      </w:pPr>
    </w:p>
    <w:p w:rsidR="00000000" w:rsidRPr="00E837B8" w:rsidP="00E837B8">
      <w:pPr>
        <w:pStyle w:val="Heading1"/>
      </w:pPr>
      <w:bookmarkStart w:id="13" w:name="O_402619"/>
      <w:bookmarkEnd w:id="13"/>
      <w:r w:rsidRPr="00E837B8">
        <w:t>Competency Field</w:t>
      </w:r>
    </w:p>
    <w:tbl>
      <w:tblPr>
        <w:tblW w:w="0" w:type="auto"/>
        <w:tblLayout w:type="fixed"/>
        <w:tblCellMar>
          <w:left w:w="62" w:type="dxa"/>
          <w:right w:w="62" w:type="dxa"/>
        </w:tblCellMar>
        <w:tblLook w:val="0000"/>
      </w:tblPr>
      <w:tblGrid>
        <w:gridCol w:w="2700"/>
        <w:gridCol w:w="5760"/>
      </w:tblGrid>
      <w:tr w:rsidTr="00B471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37B8">
            <w:pPr>
              <w:pStyle w:val="BodyText"/>
              <w:rPr>
                <w:lang w:val="en-NZ"/>
              </w:rPr>
            </w:pPr>
            <w:r w:rsidRPr="00E837B8">
              <w:rPr>
                <w:rStyle w:val="SpecialBold"/>
              </w:rPr>
              <w:t xml:space="preserve">11) </w:t>
            </w:r>
          </w:p>
        </w:tc>
      </w:tr>
      <w:tr w:rsidTr="00B471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37B8" w:rsidP="00E837B8">
            <w:pPr>
              <w:pStyle w:val="BodyText"/>
            </w:pPr>
            <w:r w:rsidRPr="00E837B8">
              <w:t>Transmission discipline.</w:t>
            </w:r>
          </w:p>
        </w:tc>
      </w:tr>
    </w:tbl>
    <w:p w:rsidR="00000000" w:rsidRPr="00E837B8" w:rsidP="00E837B8">
      <w:pPr>
        <w:pStyle w:val="BodyText"/>
      </w:pPr>
    </w:p>
    <w:p w:rsidR="00000000" w:rsidRPr="00E837B8" w:rsidP="00E837B8"/>
    <w:sectPr w:rsidSect="00E83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139" w:rsidP="00B471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39" w:rsidP="00E837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47139" w:rsidP="00E837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7139" w:rsidP="00E837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B8" w:rsidRPr="00B47139" w:rsidP="00B471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39" w:rsidRPr="002D2AF8" w:rsidP="00E837B8">
    <w:pPr>
      <w:pStyle w:val="Header"/>
      <w:framePr w:wrap="around"/>
    </w:pPr>
    <w:r>
      <w:fldChar w:fldCharType="begin"/>
    </w:r>
    <w:r>
      <w:instrText xml:space="preserve"> TITLE   \* MERGEFORMAT </w:instrText>
    </w:r>
    <w:r>
      <w:fldChar w:fldCharType="separate"/>
    </w:r>
    <w:r>
      <w:t>UEGNSG323A Operate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47139" w:rsidP="00E83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C9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A9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84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7B8"/>
    <w:pPr>
      <w:spacing w:before="360" w:after="60"/>
      <w:outlineLvl w:val="0"/>
    </w:pPr>
    <w:rPr>
      <w:sz w:val="32"/>
    </w:rPr>
  </w:style>
  <w:style w:type="paragraph" w:styleId="Heading2">
    <w:name w:val="heading 2"/>
    <w:basedOn w:val="HeadingBase"/>
    <w:next w:val="BodyText"/>
    <w:link w:val="Heading2Char"/>
    <w:qFormat/>
    <w:rsid w:val="00E837B8"/>
    <w:pPr>
      <w:keepLines/>
      <w:spacing w:before="240" w:after="120"/>
      <w:outlineLvl w:val="1"/>
    </w:pPr>
    <w:rPr>
      <w:sz w:val="28"/>
      <w:szCs w:val="40"/>
    </w:rPr>
  </w:style>
  <w:style w:type="paragraph" w:styleId="Heading3">
    <w:name w:val="heading 3"/>
    <w:basedOn w:val="HeadingBase"/>
    <w:next w:val="BodyText"/>
    <w:link w:val="Heading3Char"/>
    <w:qFormat/>
    <w:rsid w:val="00E837B8"/>
    <w:pPr>
      <w:spacing w:before="180" w:after="120"/>
      <w:outlineLvl w:val="2"/>
    </w:pPr>
    <w:rPr>
      <w:spacing w:val="-10"/>
      <w:kern w:val="32"/>
    </w:rPr>
  </w:style>
  <w:style w:type="paragraph" w:styleId="Heading4">
    <w:name w:val="heading 4"/>
    <w:basedOn w:val="HeadingBase"/>
    <w:next w:val="BodyText"/>
    <w:link w:val="Heading4Char"/>
    <w:qFormat/>
    <w:rsid w:val="00E837B8"/>
    <w:pPr>
      <w:spacing w:before="160" w:after="120"/>
      <w:outlineLvl w:val="3"/>
    </w:pPr>
    <w:rPr>
      <w:sz w:val="22"/>
    </w:rPr>
  </w:style>
  <w:style w:type="paragraph" w:styleId="Heading5">
    <w:name w:val="heading 5"/>
    <w:basedOn w:val="HeadingBase"/>
    <w:next w:val="Normal"/>
    <w:link w:val="Heading5Char"/>
    <w:qFormat/>
    <w:rsid w:val="00E837B8"/>
    <w:pPr>
      <w:spacing w:before="80"/>
      <w:outlineLvl w:val="4"/>
    </w:pPr>
    <w:rPr>
      <w:color w:val="918585"/>
      <w:sz w:val="20"/>
    </w:rPr>
  </w:style>
  <w:style w:type="paragraph" w:styleId="Heading6">
    <w:name w:val="heading 6"/>
    <w:basedOn w:val="HeadingBase"/>
    <w:next w:val="Normal"/>
    <w:link w:val="Heading6Char"/>
    <w:qFormat/>
    <w:rsid w:val="00E837B8"/>
    <w:pPr>
      <w:spacing w:before="60"/>
      <w:outlineLvl w:val="5"/>
    </w:pPr>
    <w:rPr>
      <w:color w:val="918585"/>
      <w:sz w:val="20"/>
    </w:rPr>
  </w:style>
  <w:style w:type="paragraph" w:styleId="Heading7">
    <w:name w:val="heading 7"/>
    <w:basedOn w:val="Normal"/>
    <w:next w:val="Normal"/>
    <w:link w:val="Heading7Char"/>
    <w:qFormat/>
    <w:rsid w:val="00E837B8"/>
    <w:pPr>
      <w:ind w:left="720"/>
      <w:outlineLvl w:val="6"/>
    </w:pPr>
    <w:rPr>
      <w:i/>
    </w:rPr>
  </w:style>
  <w:style w:type="paragraph" w:styleId="Heading8">
    <w:name w:val="heading 8"/>
    <w:basedOn w:val="Normal"/>
    <w:next w:val="Normal"/>
    <w:link w:val="Heading8Char"/>
    <w:qFormat/>
    <w:rsid w:val="00E837B8"/>
    <w:pPr>
      <w:ind w:left="720"/>
      <w:outlineLvl w:val="7"/>
    </w:pPr>
    <w:rPr>
      <w:i/>
    </w:rPr>
  </w:style>
  <w:style w:type="paragraph" w:styleId="Heading9">
    <w:name w:val="heading 9"/>
    <w:basedOn w:val="Normal"/>
    <w:next w:val="Normal"/>
    <w:link w:val="Heading9Char"/>
    <w:qFormat/>
    <w:rsid w:val="00E837B8"/>
    <w:pPr>
      <w:ind w:left="720"/>
      <w:outlineLvl w:val="8"/>
    </w:pPr>
    <w:rPr>
      <w:i/>
    </w:rPr>
  </w:style>
  <w:style w:type="character" w:default="1" w:styleId="DefaultParagraphFont">
    <w:name w:val="Default Paragraph Font"/>
    <w:uiPriority w:val="1"/>
    <w:unhideWhenUsed/>
    <w:rsid w:val="00E83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7B8"/>
  </w:style>
  <w:style w:type="character" w:customStyle="1" w:styleId="Heading1Char">
    <w:name w:val="Heading 1 Char"/>
    <w:basedOn w:val="DefaultParagraphFont"/>
    <w:link w:val="Heading1"/>
    <w:rsid w:val="00E837B8"/>
    <w:rPr>
      <w:rFonts w:ascii="Times New Roman" w:eastAsia="Times New Roman" w:hAnsi="Times New Roman" w:cs="Times New Roman"/>
      <w:b/>
      <w:sz w:val="32"/>
      <w:szCs w:val="20"/>
      <w:lang w:eastAsia="en-US"/>
    </w:rPr>
  </w:style>
  <w:style w:type="paragraph" w:styleId="BodyText">
    <w:name w:val="Body Text"/>
    <w:basedOn w:val="Normal"/>
    <w:link w:val="BodyTextChar"/>
    <w:rsid w:val="00E837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7B8"/>
    <w:rPr>
      <w:rFonts w:ascii="Times New Roman" w:eastAsia="Times New Roman" w:hAnsi="Times New Roman" w:cs="Times New Roman"/>
      <w:sz w:val="24"/>
      <w:lang w:eastAsia="en-US"/>
    </w:rPr>
  </w:style>
  <w:style w:type="paragraph" w:styleId="Footer">
    <w:name w:val="footer"/>
    <w:basedOn w:val="Normal"/>
    <w:link w:val="FooterChar"/>
    <w:rsid w:val="00E83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7B8"/>
    <w:rPr>
      <w:rFonts w:ascii="Times New Roman" w:eastAsia="Times New Roman" w:hAnsi="Times New Roman" w:cs="Times New Roman"/>
      <w:sz w:val="16"/>
      <w:lang w:eastAsia="en-US"/>
    </w:rPr>
  </w:style>
  <w:style w:type="paragraph" w:styleId="ListBullet">
    <w:name w:val="List Bullet"/>
    <w:basedOn w:val="List"/>
    <w:rsid w:val="00E837B8"/>
    <w:pPr>
      <w:numPr>
        <w:numId w:val="13"/>
      </w:numPr>
      <w:tabs>
        <w:tab w:val="clear" w:pos="340"/>
      </w:tabs>
      <w:spacing w:before="40" w:after="40"/>
    </w:pPr>
  </w:style>
  <w:style w:type="character" w:customStyle="1" w:styleId="SpecialBold">
    <w:name w:val="Special Bold"/>
    <w:basedOn w:val="DefaultParagraphFont"/>
    <w:rsid w:val="00E837B8"/>
    <w:rPr>
      <w:b/>
      <w:spacing w:val="0"/>
    </w:rPr>
  </w:style>
  <w:style w:type="paragraph" w:styleId="ListBullet2">
    <w:name w:val="List Bullet 2"/>
    <w:basedOn w:val="List2"/>
    <w:rsid w:val="00E837B8"/>
    <w:pPr>
      <w:numPr>
        <w:numId w:val="14"/>
      </w:numPr>
      <w:tabs>
        <w:tab w:val="clear" w:pos="680"/>
      </w:tabs>
    </w:pPr>
  </w:style>
  <w:style w:type="paragraph" w:customStyle="1" w:styleId="SuperHeading">
    <w:name w:val="SuperHeading"/>
    <w:basedOn w:val="Normal"/>
    <w:rsid w:val="00E837B8"/>
    <w:pPr>
      <w:spacing w:before="240" w:after="120"/>
      <w:outlineLvl w:val="0"/>
    </w:pPr>
    <w:rPr>
      <w:rFonts w:ascii="Times New Roman" w:hAnsi="Times New Roman"/>
      <w:b/>
      <w:sz w:val="28"/>
    </w:rPr>
  </w:style>
  <w:style w:type="paragraph" w:customStyle="1" w:styleId="AllowPageBreak">
    <w:name w:val="AllowPageBreak"/>
    <w:rsid w:val="00E83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7B8"/>
    <w:rPr>
      <w:rFonts w:ascii="Courier New" w:eastAsia="Times New Roman" w:hAnsi="Courier New" w:cs="Times New Roman"/>
      <w:i/>
      <w:szCs w:val="20"/>
      <w:lang w:eastAsia="en-US"/>
    </w:rPr>
  </w:style>
  <w:style w:type="paragraph" w:customStyle="1" w:styleId="HeadingBase">
    <w:name w:val="Heading Base"/>
    <w:rsid w:val="00E83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7B8"/>
    <w:pPr>
      <w:tabs>
        <w:tab w:val="right" w:leader="dot" w:pos="9072"/>
      </w:tabs>
      <w:ind w:left="567"/>
    </w:pPr>
    <w:rPr>
      <w:szCs w:val="22"/>
    </w:rPr>
  </w:style>
  <w:style w:type="paragraph" w:customStyle="1" w:styleId="TOCBase">
    <w:name w:val="TOC Base"/>
    <w:rsid w:val="00E83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7B8"/>
    <w:pPr>
      <w:tabs>
        <w:tab w:val="right" w:leader="dot" w:pos="9072"/>
      </w:tabs>
      <w:spacing w:before="40" w:after="40"/>
      <w:ind w:left="284"/>
    </w:pPr>
    <w:rPr>
      <w:rFonts w:ascii="Times New Roman" w:hAnsi="Times New Roman"/>
    </w:rPr>
  </w:style>
  <w:style w:type="paragraph" w:styleId="TOC1">
    <w:name w:val="toc 1"/>
    <w:basedOn w:val="TOCBase"/>
    <w:next w:val="Normal"/>
    <w:rsid w:val="00E837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7B8"/>
    <w:pPr>
      <w:spacing w:before="5040"/>
      <w:jc w:val="center"/>
    </w:pPr>
    <w:rPr>
      <w:sz w:val="48"/>
      <w:szCs w:val="72"/>
      <w:lang w:val="en-US"/>
    </w:rPr>
  </w:style>
  <w:style w:type="character" w:customStyle="1" w:styleId="TitleChar">
    <w:name w:val="Title Char"/>
    <w:basedOn w:val="DefaultParagraphFont"/>
    <w:link w:val="Title"/>
    <w:rsid w:val="00E83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7B8"/>
    <w:pPr>
      <w:tabs>
        <w:tab w:val="left" w:pos="3600"/>
        <w:tab w:val="left" w:pos="3958"/>
      </w:tabs>
    </w:pPr>
  </w:style>
  <w:style w:type="paragraph" w:styleId="List">
    <w:name w:val="List"/>
    <w:basedOn w:val="BodyText"/>
    <w:next w:val="BodyText"/>
    <w:rsid w:val="00E837B8"/>
    <w:pPr>
      <w:tabs>
        <w:tab w:val="left" w:pos="340"/>
      </w:tabs>
      <w:spacing w:before="60" w:after="60"/>
      <w:ind w:left="340" w:hanging="340"/>
    </w:pPr>
  </w:style>
  <w:style w:type="paragraph" w:customStyle="1" w:styleId="Note">
    <w:name w:val="Note"/>
    <w:basedOn w:val="BodyText"/>
    <w:rsid w:val="00E83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7B8"/>
    <w:pPr>
      <w:framePr w:wrap="auto" w:hAnchor="text" w:y="6049"/>
    </w:pPr>
    <w:rPr>
      <w:color w:val="000000"/>
      <w:sz w:val="40"/>
    </w:rPr>
  </w:style>
  <w:style w:type="paragraph" w:customStyle="1" w:styleId="TOCTitle">
    <w:name w:val="TOCTitle"/>
    <w:basedOn w:val="Heading1"/>
    <w:rsid w:val="00E837B8"/>
    <w:pPr>
      <w:spacing w:after="240"/>
      <w:jc w:val="center"/>
      <w:outlineLvl w:val="9"/>
    </w:pPr>
    <w:rPr>
      <w:caps/>
    </w:rPr>
  </w:style>
  <w:style w:type="paragraph" w:customStyle="1" w:styleId="Version">
    <w:name w:val="Version"/>
    <w:rsid w:val="00E83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7B8"/>
    <w:pPr>
      <w:keepNext w:val="0"/>
      <w:tabs>
        <w:tab w:val="right" w:pos="4176"/>
      </w:tabs>
      <w:ind w:left="198" w:hanging="198"/>
    </w:pPr>
    <w:rPr>
      <w:rFonts w:ascii="Garamond" w:hAnsi="Garamond"/>
    </w:rPr>
  </w:style>
  <w:style w:type="paragraph" w:styleId="IndexHeading">
    <w:name w:val="index heading"/>
    <w:basedOn w:val="Normal"/>
    <w:next w:val="Index1"/>
    <w:semiHidden/>
    <w:rsid w:val="00E837B8"/>
    <w:pPr>
      <w:spacing w:before="120" w:after="120"/>
    </w:pPr>
    <w:rPr>
      <w:rFonts w:ascii="Arial" w:hAnsi="Arial"/>
      <w:b/>
      <w:color w:val="918585"/>
      <w:sz w:val="24"/>
    </w:rPr>
  </w:style>
  <w:style w:type="paragraph" w:styleId="Header">
    <w:name w:val="header"/>
    <w:basedOn w:val="Normal"/>
    <w:link w:val="HeaderChar"/>
    <w:rsid w:val="00E83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7B8"/>
    <w:rPr>
      <w:rFonts w:ascii="Times New Roman" w:eastAsia="Times New Roman" w:hAnsi="Times New Roman" w:cs="Times New Roman"/>
      <w:sz w:val="16"/>
      <w:szCs w:val="20"/>
      <w:lang w:val="en-GB" w:eastAsia="en-US"/>
    </w:rPr>
  </w:style>
  <w:style w:type="paragraph" w:customStyle="1" w:styleId="Chapter">
    <w:name w:val="Chapter"/>
    <w:basedOn w:val="Normal"/>
    <w:rsid w:val="00E837B8"/>
    <w:pPr>
      <w:spacing w:before="240"/>
    </w:pPr>
    <w:rPr>
      <w:rFonts w:ascii="Times New Roman" w:hAnsi="Times New Roman"/>
      <w:smallCaps/>
      <w:spacing w:val="80"/>
      <w:sz w:val="28"/>
    </w:rPr>
  </w:style>
  <w:style w:type="paragraph" w:customStyle="1" w:styleId="InChapter">
    <w:name w:val="InChapter"/>
    <w:basedOn w:val="Heading3"/>
    <w:rsid w:val="00E837B8"/>
    <w:pPr>
      <w:spacing w:after="240"/>
      <w:outlineLvl w:val="9"/>
    </w:pPr>
    <w:rPr>
      <w:noProof/>
    </w:rPr>
  </w:style>
  <w:style w:type="paragraph" w:styleId="Index2">
    <w:name w:val="index 2"/>
    <w:basedOn w:val="Normal"/>
    <w:next w:val="Normal"/>
    <w:semiHidden/>
    <w:rsid w:val="00E837B8"/>
    <w:pPr>
      <w:tabs>
        <w:tab w:val="right" w:pos="4176"/>
      </w:tabs>
      <w:ind w:left="568" w:hanging="284"/>
    </w:pPr>
    <w:rPr>
      <w:rFonts w:ascii="Garamond" w:hAnsi="Garamond"/>
    </w:rPr>
  </w:style>
  <w:style w:type="paragraph" w:customStyle="1" w:styleId="Byline">
    <w:name w:val="Byline"/>
    <w:rsid w:val="00E83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7B8"/>
    <w:pPr>
      <w:tabs>
        <w:tab w:val="clear" w:pos="3600"/>
        <w:tab w:val="clear" w:pos="3958"/>
      </w:tabs>
      <w:jc w:val="right"/>
    </w:pPr>
  </w:style>
  <w:style w:type="character" w:styleId="Emphasis">
    <w:name w:val="Emphasis"/>
    <w:basedOn w:val="DefaultParagraphFont"/>
    <w:qFormat/>
    <w:rsid w:val="00E837B8"/>
    <w:rPr>
      <w:i/>
    </w:rPr>
  </w:style>
  <w:style w:type="paragraph" w:styleId="Caption">
    <w:name w:val="caption"/>
    <w:basedOn w:val="BodyText"/>
    <w:next w:val="Normal"/>
    <w:qFormat/>
    <w:rsid w:val="00E837B8"/>
    <w:pPr>
      <w:framePr w:w="2268" w:hSpace="181" w:vSpace="181" w:wrap="around" w:vAnchor="text" w:hAnchor="page" w:x="1135" w:y="285" w:anchorLock="1"/>
    </w:pPr>
    <w:rPr>
      <w:i/>
    </w:rPr>
  </w:style>
  <w:style w:type="paragraph" w:customStyle="1" w:styleId="MiniTOCTitle">
    <w:name w:val="MiniTOCTitle"/>
    <w:basedOn w:val="Heading4"/>
    <w:rsid w:val="00E837B8"/>
    <w:pPr>
      <w:spacing w:before="240"/>
      <w:outlineLvl w:val="9"/>
    </w:pPr>
    <w:rPr>
      <w:noProof/>
      <w:sz w:val="24"/>
    </w:rPr>
  </w:style>
  <w:style w:type="paragraph" w:customStyle="1" w:styleId="MiniTOCItem">
    <w:name w:val="MiniTOCItem"/>
    <w:basedOn w:val="ListBullet"/>
    <w:rsid w:val="00E837B8"/>
    <w:pPr>
      <w:numPr>
        <w:numId w:val="0"/>
      </w:numPr>
      <w:tabs>
        <w:tab w:val="right" w:leader="dot" w:pos="6521"/>
      </w:tabs>
      <w:spacing w:before="0" w:after="0"/>
    </w:pPr>
  </w:style>
  <w:style w:type="paragraph" w:customStyle="1" w:styleId="TOFTitle">
    <w:name w:val="TOFTitle"/>
    <w:basedOn w:val="TOCTitle"/>
    <w:rsid w:val="00E837B8"/>
  </w:style>
  <w:style w:type="paragraph" w:styleId="TableofFigures">
    <w:name w:val="table of figures"/>
    <w:basedOn w:val="Normal"/>
    <w:next w:val="Normal"/>
    <w:semiHidden/>
    <w:rsid w:val="00E837B8"/>
    <w:pPr>
      <w:tabs>
        <w:tab w:val="right" w:leader="dot" w:pos="9072"/>
      </w:tabs>
      <w:ind w:left="970" w:hanging="403"/>
    </w:pPr>
    <w:rPr>
      <w:rFonts w:ascii="Times New Roman" w:hAnsi="Times New Roman"/>
      <w:b/>
    </w:rPr>
  </w:style>
  <w:style w:type="paragraph" w:styleId="ListNumber">
    <w:name w:val="List Number"/>
    <w:basedOn w:val="List"/>
    <w:rsid w:val="00E837B8"/>
    <w:pPr>
      <w:numPr>
        <w:numId w:val="11"/>
      </w:numPr>
    </w:pPr>
  </w:style>
  <w:style w:type="character" w:customStyle="1" w:styleId="WingdingSymbols">
    <w:name w:val="Wingding Symbols"/>
    <w:rsid w:val="00E837B8"/>
    <w:rPr>
      <w:rFonts w:ascii="Wingdings" w:hAnsi="Wingdings"/>
    </w:rPr>
  </w:style>
  <w:style w:type="paragraph" w:customStyle="1" w:styleId="TableHeading">
    <w:name w:val="Table Heading"/>
    <w:basedOn w:val="HeadingBase"/>
    <w:rsid w:val="00E837B8"/>
    <w:pPr>
      <w:keepLines/>
      <w:pBdr>
        <w:bottom w:val="single" w:sz="6" w:space="1" w:color="918585"/>
      </w:pBdr>
      <w:spacing w:before="240"/>
    </w:pPr>
  </w:style>
  <w:style w:type="character" w:customStyle="1" w:styleId="HotSpot">
    <w:name w:val="HotSpot"/>
    <w:rsid w:val="00E837B8"/>
    <w:rPr>
      <w:color w:val="0033CC"/>
      <w:u w:val="none"/>
    </w:rPr>
  </w:style>
  <w:style w:type="paragraph" w:customStyle="1" w:styleId="BodyTextRight">
    <w:name w:val="Body Text Right"/>
    <w:basedOn w:val="BodyText"/>
    <w:rsid w:val="00E837B8"/>
    <w:pPr>
      <w:spacing w:before="0" w:after="0"/>
      <w:jc w:val="right"/>
    </w:pPr>
  </w:style>
  <w:style w:type="paragraph" w:styleId="Index3">
    <w:name w:val="index 3"/>
    <w:basedOn w:val="ListNumber2"/>
    <w:next w:val="Normal"/>
    <w:semiHidden/>
    <w:rsid w:val="00E837B8"/>
    <w:pPr>
      <w:numPr>
        <w:numId w:val="0"/>
      </w:numPr>
      <w:tabs>
        <w:tab w:val="right" w:leader="dot" w:pos="4176"/>
      </w:tabs>
    </w:pPr>
  </w:style>
  <w:style w:type="paragraph" w:styleId="ListNumber2">
    <w:name w:val="List Number 2"/>
    <w:basedOn w:val="List2"/>
    <w:rsid w:val="00E837B8"/>
    <w:pPr>
      <w:numPr>
        <w:numId w:val="10"/>
      </w:numPr>
      <w:tabs>
        <w:tab w:val="clear" w:pos="1060"/>
      </w:tabs>
    </w:pPr>
  </w:style>
  <w:style w:type="paragraph" w:customStyle="1" w:styleId="MarginNote">
    <w:name w:val="Margin Note"/>
    <w:basedOn w:val="BodyText"/>
    <w:rsid w:val="00E83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7B8"/>
    <w:rPr>
      <w:sz w:val="32"/>
    </w:rPr>
  </w:style>
  <w:style w:type="paragraph" w:customStyle="1" w:styleId="HeadingProcedure">
    <w:name w:val="Heading Procedure"/>
    <w:basedOn w:val="HeadingBase"/>
    <w:next w:val="Normal"/>
    <w:rsid w:val="00E837B8"/>
    <w:pPr>
      <w:tabs>
        <w:tab w:val="left" w:pos="0"/>
      </w:tabs>
      <w:spacing w:before="120" w:after="60"/>
    </w:pPr>
    <w:rPr>
      <w:i/>
      <w:color w:val="918585"/>
      <w:sz w:val="22"/>
    </w:rPr>
  </w:style>
  <w:style w:type="paragraph" w:customStyle="1" w:styleId="TableBodyText">
    <w:name w:val="Table Body Text"/>
    <w:basedOn w:val="BodyText"/>
    <w:rsid w:val="00E837B8"/>
    <w:pPr>
      <w:spacing w:before="60" w:after="60"/>
    </w:pPr>
  </w:style>
  <w:style w:type="paragraph" w:styleId="ListContinue">
    <w:name w:val="List Continue"/>
    <w:basedOn w:val="List"/>
    <w:rsid w:val="00E837B8"/>
    <w:pPr>
      <w:ind w:firstLine="0"/>
    </w:pPr>
  </w:style>
  <w:style w:type="paragraph" w:customStyle="1" w:styleId="ListNote">
    <w:name w:val="List Note"/>
    <w:basedOn w:val="List"/>
    <w:rsid w:val="00E837B8"/>
    <w:pPr>
      <w:pBdr>
        <w:top w:val="single" w:sz="6" w:space="2" w:color="918585"/>
        <w:bottom w:val="single" w:sz="6" w:space="2" w:color="918585"/>
      </w:pBdr>
      <w:tabs>
        <w:tab w:val="left" w:pos="1021"/>
      </w:tabs>
      <w:ind w:firstLine="0"/>
    </w:pPr>
  </w:style>
  <w:style w:type="paragraph" w:customStyle="1" w:styleId="Warning">
    <w:name w:val="Warning"/>
    <w:basedOn w:val="BodyText"/>
    <w:rsid w:val="00E837B8"/>
    <w:pPr>
      <w:shd w:val="clear" w:color="auto" w:fill="D9D9D9"/>
      <w:tabs>
        <w:tab w:val="left" w:pos="992"/>
      </w:tabs>
      <w:ind w:left="119" w:right="119"/>
    </w:pPr>
    <w:rPr>
      <w:sz w:val="20"/>
    </w:rPr>
  </w:style>
  <w:style w:type="paragraph" w:customStyle="1" w:styleId="MarginIcons">
    <w:name w:val="Margin Icons"/>
    <w:basedOn w:val="BodyText"/>
    <w:rsid w:val="00E83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7B8"/>
    <w:rPr>
      <w:rFonts w:ascii="Courier New" w:hAnsi="Courier New"/>
    </w:rPr>
  </w:style>
  <w:style w:type="paragraph" w:customStyle="1" w:styleId="NoteBullet">
    <w:name w:val="Note Bullet"/>
    <w:basedOn w:val="Note"/>
    <w:rsid w:val="00E837B8"/>
    <w:pPr>
      <w:tabs>
        <w:tab w:val="clear" w:pos="680"/>
      </w:tabs>
      <w:spacing w:before="60" w:after="60"/>
    </w:pPr>
  </w:style>
  <w:style w:type="paragraph" w:customStyle="1" w:styleId="SubHeading2">
    <w:name w:val="SubHeading2"/>
    <w:basedOn w:val="HeadingBase"/>
    <w:rsid w:val="00E837B8"/>
    <w:pPr>
      <w:spacing w:before="240" w:after="60"/>
    </w:pPr>
    <w:rPr>
      <w:sz w:val="20"/>
    </w:rPr>
  </w:style>
  <w:style w:type="paragraph" w:customStyle="1" w:styleId="SubHeading1">
    <w:name w:val="SubHeading1"/>
    <w:basedOn w:val="HeadingBase"/>
    <w:rsid w:val="00E837B8"/>
    <w:pPr>
      <w:spacing w:before="240" w:after="60"/>
    </w:pPr>
    <w:rPr>
      <w:color w:val="918585"/>
      <w:sz w:val="22"/>
    </w:rPr>
  </w:style>
  <w:style w:type="paragraph" w:customStyle="1" w:styleId="SideHeading">
    <w:name w:val="Side Heading"/>
    <w:basedOn w:val="HeadingBase"/>
    <w:rsid w:val="00E83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7B8"/>
    <w:pPr>
      <w:numPr>
        <w:numId w:val="12"/>
      </w:numPr>
    </w:pPr>
  </w:style>
  <w:style w:type="paragraph" w:styleId="PlainText">
    <w:name w:val="Plain Text"/>
    <w:basedOn w:val="Normal"/>
    <w:link w:val="PlainTextChar"/>
    <w:rsid w:val="00E837B8"/>
    <w:rPr>
      <w:sz w:val="20"/>
    </w:rPr>
  </w:style>
  <w:style w:type="character" w:customStyle="1" w:styleId="PlainTextChar">
    <w:name w:val="Plain Text Char"/>
    <w:basedOn w:val="DefaultParagraphFont"/>
    <w:link w:val="PlainText"/>
    <w:rsid w:val="00E837B8"/>
    <w:rPr>
      <w:rFonts w:ascii="Courier New" w:eastAsia="Times New Roman" w:hAnsi="Courier New" w:cs="Times New Roman"/>
      <w:sz w:val="20"/>
      <w:szCs w:val="20"/>
      <w:lang w:eastAsia="en-US"/>
    </w:rPr>
  </w:style>
  <w:style w:type="character" w:customStyle="1" w:styleId="MenuOption">
    <w:name w:val="Menu Option"/>
    <w:basedOn w:val="DefaultParagraphFont"/>
    <w:rsid w:val="00E837B8"/>
    <w:rPr>
      <w:b/>
      <w:smallCaps/>
    </w:rPr>
  </w:style>
  <w:style w:type="paragraph" w:customStyle="1" w:styleId="TableListNumber">
    <w:name w:val="Table List Number"/>
    <w:basedOn w:val="ListNumber"/>
    <w:rsid w:val="00E837B8"/>
    <w:pPr>
      <w:numPr>
        <w:numId w:val="0"/>
      </w:numPr>
    </w:pPr>
  </w:style>
  <w:style w:type="paragraph" w:styleId="TOC4">
    <w:name w:val="toc 4"/>
    <w:basedOn w:val="TOCBase"/>
    <w:next w:val="Normal"/>
    <w:semiHidden/>
    <w:rsid w:val="00E837B8"/>
    <w:pPr>
      <w:tabs>
        <w:tab w:val="right" w:leader="dot" w:pos="9071"/>
      </w:tabs>
      <w:ind w:left="1701"/>
    </w:pPr>
  </w:style>
  <w:style w:type="paragraph" w:customStyle="1" w:styleId="ListAlpha">
    <w:name w:val="List Alpha"/>
    <w:basedOn w:val="List"/>
    <w:rsid w:val="00E837B8"/>
    <w:pPr>
      <w:numPr>
        <w:numId w:val="9"/>
      </w:numPr>
    </w:pPr>
  </w:style>
  <w:style w:type="paragraph" w:customStyle="1" w:styleId="ListAlpha2">
    <w:name w:val="List Alpha 2"/>
    <w:basedOn w:val="List2"/>
    <w:rsid w:val="00E837B8"/>
    <w:pPr>
      <w:numPr>
        <w:numId w:val="8"/>
      </w:numPr>
    </w:pPr>
  </w:style>
  <w:style w:type="paragraph" w:styleId="List2">
    <w:name w:val="List 2"/>
    <w:basedOn w:val="BodyText"/>
    <w:rsid w:val="00E837B8"/>
    <w:pPr>
      <w:tabs>
        <w:tab w:val="left" w:pos="680"/>
      </w:tabs>
      <w:spacing w:before="60" w:after="60"/>
      <w:ind w:left="680" w:hanging="340"/>
    </w:pPr>
  </w:style>
  <w:style w:type="paragraph" w:styleId="List3">
    <w:name w:val="List 3"/>
    <w:basedOn w:val="BodyText"/>
    <w:rsid w:val="00E837B8"/>
    <w:pPr>
      <w:tabs>
        <w:tab w:val="left" w:pos="1021"/>
      </w:tabs>
      <w:spacing w:before="60" w:after="60"/>
      <w:ind w:left="1020" w:hanging="340"/>
    </w:pPr>
  </w:style>
  <w:style w:type="paragraph" w:styleId="List4">
    <w:name w:val="List 4"/>
    <w:basedOn w:val="BodyText"/>
    <w:rsid w:val="00E837B8"/>
    <w:pPr>
      <w:tabs>
        <w:tab w:val="left" w:pos="1361"/>
      </w:tabs>
      <w:spacing w:before="60" w:after="60"/>
      <w:ind w:left="1361" w:hanging="340"/>
    </w:pPr>
  </w:style>
  <w:style w:type="paragraph" w:styleId="List5">
    <w:name w:val="List 5"/>
    <w:basedOn w:val="BodyText"/>
    <w:rsid w:val="00E837B8"/>
    <w:pPr>
      <w:tabs>
        <w:tab w:val="left" w:pos="1701"/>
      </w:tabs>
      <w:spacing w:before="60" w:after="60"/>
      <w:ind w:left="1701" w:hanging="340"/>
    </w:pPr>
  </w:style>
  <w:style w:type="paragraph" w:styleId="ListBullet3">
    <w:name w:val="List Bullet 3"/>
    <w:basedOn w:val="List3"/>
    <w:rsid w:val="00E837B8"/>
    <w:pPr>
      <w:numPr>
        <w:numId w:val="15"/>
      </w:numPr>
      <w:tabs>
        <w:tab w:val="clear" w:pos="1021"/>
      </w:tabs>
      <w:ind w:left="1037" w:hanging="357"/>
    </w:pPr>
  </w:style>
  <w:style w:type="paragraph" w:styleId="ListBullet4">
    <w:name w:val="List Bullet 4"/>
    <w:basedOn w:val="List4"/>
    <w:rsid w:val="00E837B8"/>
    <w:pPr>
      <w:numPr>
        <w:numId w:val="3"/>
      </w:numPr>
    </w:pPr>
  </w:style>
  <w:style w:type="paragraph" w:styleId="ListBullet5">
    <w:name w:val="List Bullet 5"/>
    <w:basedOn w:val="List5"/>
    <w:rsid w:val="00E837B8"/>
    <w:pPr>
      <w:numPr>
        <w:numId w:val="4"/>
      </w:numPr>
    </w:pPr>
  </w:style>
  <w:style w:type="paragraph" w:styleId="ListContinue2">
    <w:name w:val="List Continue 2"/>
    <w:basedOn w:val="List2"/>
    <w:rsid w:val="00E837B8"/>
    <w:pPr>
      <w:ind w:firstLine="0"/>
    </w:pPr>
  </w:style>
  <w:style w:type="paragraph" w:styleId="ListContinue3">
    <w:name w:val="List Continue 3"/>
    <w:basedOn w:val="List3"/>
    <w:rsid w:val="00E837B8"/>
    <w:pPr>
      <w:ind w:left="1021" w:firstLine="0"/>
    </w:pPr>
  </w:style>
  <w:style w:type="paragraph" w:styleId="ListContinue4">
    <w:name w:val="List Continue 4"/>
    <w:basedOn w:val="List4"/>
    <w:rsid w:val="00E837B8"/>
    <w:pPr>
      <w:ind w:firstLine="0"/>
    </w:pPr>
  </w:style>
  <w:style w:type="paragraph" w:styleId="ListContinue5">
    <w:name w:val="List Continue 5"/>
    <w:basedOn w:val="List5"/>
    <w:rsid w:val="00E837B8"/>
    <w:pPr>
      <w:ind w:firstLine="0"/>
    </w:pPr>
  </w:style>
  <w:style w:type="paragraph" w:styleId="ListNumber3">
    <w:name w:val="List Number 3"/>
    <w:basedOn w:val="List3"/>
    <w:rsid w:val="00E837B8"/>
    <w:pPr>
      <w:numPr>
        <w:numId w:val="5"/>
      </w:numPr>
    </w:pPr>
  </w:style>
  <w:style w:type="paragraph" w:styleId="ListNumber4">
    <w:name w:val="List Number 4"/>
    <w:basedOn w:val="List4"/>
    <w:rsid w:val="00E837B8"/>
    <w:pPr>
      <w:numPr>
        <w:numId w:val="6"/>
      </w:numPr>
    </w:pPr>
  </w:style>
  <w:style w:type="paragraph" w:styleId="ListNumber5">
    <w:name w:val="List Number 5"/>
    <w:basedOn w:val="List5"/>
    <w:rsid w:val="00E837B8"/>
    <w:pPr>
      <w:numPr>
        <w:numId w:val="7"/>
      </w:numPr>
    </w:pPr>
  </w:style>
  <w:style w:type="paragraph" w:styleId="BlockText">
    <w:name w:val="Block Text"/>
    <w:basedOn w:val="Normal"/>
    <w:rsid w:val="00E837B8"/>
    <w:pPr>
      <w:spacing w:after="120"/>
      <w:ind w:left="1440" w:right="1440"/>
    </w:pPr>
  </w:style>
  <w:style w:type="character" w:customStyle="1" w:styleId="Subscript">
    <w:name w:val="Subscript"/>
    <w:basedOn w:val="DefaultParagraphFont"/>
    <w:rsid w:val="00E837B8"/>
    <w:rPr>
      <w:sz w:val="16"/>
      <w:vertAlign w:val="subscript"/>
    </w:rPr>
  </w:style>
  <w:style w:type="character" w:customStyle="1" w:styleId="Superscript">
    <w:name w:val="Superscript"/>
    <w:basedOn w:val="DefaultParagraphFont"/>
    <w:rsid w:val="00E837B8"/>
    <w:rPr>
      <w:sz w:val="16"/>
      <w:vertAlign w:val="superscript"/>
    </w:rPr>
  </w:style>
  <w:style w:type="character" w:customStyle="1" w:styleId="Symbols">
    <w:name w:val="Symbols"/>
    <w:basedOn w:val="DefaultParagraphFont"/>
    <w:rsid w:val="00E837B8"/>
    <w:rPr>
      <w:rFonts w:ascii="Symbol" w:hAnsi="Symbol"/>
    </w:rPr>
  </w:style>
  <w:style w:type="character" w:customStyle="1" w:styleId="MenuOptions">
    <w:name w:val="Menu Options"/>
    <w:basedOn w:val="DefaultParagraphFont"/>
    <w:rsid w:val="00E837B8"/>
    <w:rPr>
      <w:rFonts w:ascii="Arial Narrow" w:hAnsi="Arial Narrow"/>
      <w:smallCaps/>
    </w:rPr>
  </w:style>
  <w:style w:type="character" w:customStyle="1" w:styleId="Buttons">
    <w:name w:val="Buttons"/>
    <w:basedOn w:val="DefaultParagraphFont"/>
    <w:rsid w:val="00E837B8"/>
    <w:rPr>
      <w:b/>
    </w:rPr>
  </w:style>
  <w:style w:type="character" w:customStyle="1" w:styleId="Underlined">
    <w:name w:val="Underlined"/>
    <w:basedOn w:val="DefaultParagraphFont"/>
    <w:rsid w:val="00E837B8"/>
    <w:rPr>
      <w:u w:val="single"/>
    </w:rPr>
  </w:style>
  <w:style w:type="paragraph" w:customStyle="1" w:styleId="TableBodyTextRight">
    <w:name w:val="Table Body Text Right"/>
    <w:basedOn w:val="TableBodyText"/>
    <w:rsid w:val="00E837B8"/>
    <w:pPr>
      <w:widowControl w:val="0"/>
      <w:autoSpaceDE w:val="0"/>
      <w:autoSpaceDN w:val="0"/>
      <w:adjustRightInd w:val="0"/>
      <w:jc w:val="right"/>
    </w:pPr>
    <w:rPr>
      <w:rFonts w:cs="Arial"/>
      <w:szCs w:val="18"/>
    </w:rPr>
  </w:style>
  <w:style w:type="paragraph" w:customStyle="1" w:styleId="CopyrightText">
    <w:name w:val="Copyright Text"/>
    <w:basedOn w:val="BodyText"/>
    <w:rsid w:val="00E837B8"/>
    <w:rPr>
      <w:sz w:val="18"/>
    </w:rPr>
  </w:style>
  <w:style w:type="paragraph" w:customStyle="1" w:styleId="BodySmallRight">
    <w:name w:val="Body Small Right"/>
    <w:basedOn w:val="BodyTextRight"/>
    <w:rsid w:val="00E837B8"/>
    <w:rPr>
      <w:sz w:val="18"/>
      <w:szCs w:val="18"/>
    </w:rPr>
  </w:style>
  <w:style w:type="paragraph" w:customStyle="1" w:styleId="MarginEdition">
    <w:name w:val="Margin Edition"/>
    <w:basedOn w:val="MarginNote"/>
    <w:rsid w:val="00E837B8"/>
    <w:pPr>
      <w:spacing w:before="0" w:after="0"/>
    </w:pPr>
    <w:rPr>
      <w:rFonts w:ascii="Times New Roman" w:hAnsi="Times New Roman"/>
      <w:color w:val="999999"/>
    </w:rPr>
  </w:style>
  <w:style w:type="paragraph" w:customStyle="1" w:styleId="Spacer">
    <w:name w:val="Spacer"/>
    <w:basedOn w:val="Normal"/>
    <w:rsid w:val="00E837B8"/>
    <w:rPr>
      <w:sz w:val="2"/>
      <w:szCs w:val="2"/>
    </w:rPr>
  </w:style>
  <w:style w:type="character" w:customStyle="1" w:styleId="Small">
    <w:name w:val="Small"/>
    <w:basedOn w:val="DefaultParagraphFont"/>
    <w:rsid w:val="00E837B8"/>
    <w:rPr>
      <w:sz w:val="16"/>
    </w:rPr>
  </w:style>
  <w:style w:type="paragraph" w:customStyle="1" w:styleId="WideTable">
    <w:name w:val="Wide Table"/>
    <w:basedOn w:val="Normal"/>
    <w:rsid w:val="00E837B8"/>
    <w:pPr>
      <w:ind w:left="-1418"/>
    </w:pPr>
    <w:rPr>
      <w:sz w:val="2"/>
      <w:szCs w:val="2"/>
    </w:rPr>
  </w:style>
  <w:style w:type="character" w:styleId="PageNumber">
    <w:name w:val="page number"/>
    <w:basedOn w:val="DefaultParagraphFont"/>
    <w:rsid w:val="00E837B8"/>
  </w:style>
  <w:style w:type="paragraph" w:styleId="Quote">
    <w:name w:val="Quote"/>
    <w:basedOn w:val="Heading1"/>
    <w:link w:val="QuoteChar"/>
    <w:qFormat/>
    <w:rsid w:val="00E837B8"/>
    <w:rPr>
      <w:b w:val="0"/>
      <w:sz w:val="72"/>
      <w:szCs w:val="72"/>
      <w:lang w:val="en-NZ"/>
    </w:rPr>
  </w:style>
  <w:style w:type="character" w:customStyle="1" w:styleId="QuoteChar">
    <w:name w:val="Quote Char"/>
    <w:basedOn w:val="DefaultParagraphFont"/>
    <w:link w:val="Quote"/>
    <w:rsid w:val="00E83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7B8"/>
    <w:pPr>
      <w:pageBreakBefore/>
    </w:pPr>
  </w:style>
  <w:style w:type="paragraph" w:customStyle="1" w:styleId="Border">
    <w:name w:val="Border"/>
    <w:basedOn w:val="Normal"/>
    <w:qFormat/>
    <w:rsid w:val="00E83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7B8"/>
    <w:rPr>
      <w:b/>
      <w:bCs/>
      <w:i/>
      <w:iCs/>
      <w:color w:val="auto"/>
    </w:rPr>
  </w:style>
  <w:style w:type="paragraph" w:styleId="IntenseQuote">
    <w:name w:val="Intense Quote"/>
    <w:basedOn w:val="Normal"/>
    <w:next w:val="Normal"/>
    <w:link w:val="IntenseQuoteChar"/>
    <w:uiPriority w:val="30"/>
    <w:qFormat/>
    <w:rsid w:val="00E83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7B8"/>
    <w:rPr>
      <w:smallCaps/>
      <w:color w:val="auto"/>
      <w:u w:val="single"/>
    </w:rPr>
  </w:style>
  <w:style w:type="character" w:styleId="IntenseReference">
    <w:name w:val="Intense Reference"/>
    <w:basedOn w:val="DefaultParagraphFont"/>
    <w:uiPriority w:val="32"/>
    <w:qFormat/>
    <w:rsid w:val="00E837B8"/>
    <w:rPr>
      <w:b/>
      <w:bCs/>
      <w:smallCaps/>
      <w:color w:val="auto"/>
      <w:spacing w:val="5"/>
      <w:u w:val="single"/>
    </w:rPr>
  </w:style>
  <w:style w:type="paragraph" w:customStyle="1" w:styleId="2ColumnHeading">
    <w:name w:val="2Column Heading"/>
    <w:basedOn w:val="BodyText"/>
    <w:qFormat/>
    <w:rsid w:val="00E837B8"/>
    <w:pPr>
      <w:spacing w:after="60"/>
      <w:ind w:left="-2268"/>
    </w:pPr>
    <w:rPr>
      <w:b/>
    </w:rPr>
  </w:style>
  <w:style w:type="paragraph" w:customStyle="1" w:styleId="Heading1TOC">
    <w:name w:val="Heading1 TOC"/>
    <w:basedOn w:val="Normal"/>
    <w:qFormat/>
    <w:rsid w:val="00E837B8"/>
    <w:pPr>
      <w:spacing w:before="240" w:after="120"/>
    </w:pPr>
    <w:rPr>
      <w:rFonts w:ascii="Times New Roman" w:hAnsi="Times New Roman"/>
      <w:b/>
      <w:sz w:val="32"/>
    </w:rPr>
  </w:style>
  <w:style w:type="paragraph" w:customStyle="1" w:styleId="Heading2TOC">
    <w:name w:val="Heading2 TOC"/>
    <w:basedOn w:val="Normal"/>
    <w:qFormat/>
    <w:rsid w:val="00E837B8"/>
    <w:pPr>
      <w:spacing w:before="240" w:after="60"/>
    </w:pPr>
    <w:rPr>
      <w:rFonts w:ascii="Times New Roman" w:hAnsi="Times New Roman"/>
      <w:b/>
      <w:sz w:val="28"/>
    </w:rPr>
  </w:style>
  <w:style w:type="character" w:customStyle="1" w:styleId="Underline">
    <w:name w:val="Underline"/>
    <w:basedOn w:val="DefaultParagraphFont"/>
    <w:qFormat/>
    <w:rsid w:val="00E837B8"/>
    <w:rPr>
      <w:u w:val="single"/>
    </w:rPr>
  </w:style>
  <w:style w:type="character" w:customStyle="1" w:styleId="BoldandItalics">
    <w:name w:val="Bold and Italics"/>
    <w:qFormat/>
    <w:rsid w:val="00E837B8"/>
    <w:rPr>
      <w:b/>
      <w:i/>
      <w:u w:val="none"/>
    </w:rPr>
  </w:style>
  <w:style w:type="paragraph" w:styleId="BalloonText">
    <w:name w:val="Balloon Text"/>
    <w:basedOn w:val="Normal"/>
    <w:link w:val="BalloonTextChar"/>
    <w:rsid w:val="00E837B8"/>
    <w:rPr>
      <w:rFonts w:ascii="Tahoma" w:hAnsi="Tahoma" w:cs="Tahoma"/>
      <w:sz w:val="16"/>
      <w:szCs w:val="16"/>
    </w:rPr>
  </w:style>
  <w:style w:type="character" w:customStyle="1" w:styleId="BalloonTextChar">
    <w:name w:val="Balloon Text Char"/>
    <w:basedOn w:val="DefaultParagraphFont"/>
    <w:link w:val="BalloonText"/>
    <w:rsid w:val="00E83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7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7B8"/>
    <w:rPr>
      <w:b/>
      <w:color w:val="660033"/>
      <w:spacing w:val="0"/>
    </w:rPr>
  </w:style>
  <w:style w:type="paragraph" w:customStyle="1" w:styleId="Nameditemlist">
    <w:name w:val="Named item list"/>
    <w:basedOn w:val="BodyText"/>
    <w:qFormat/>
    <w:rsid w:val="00E837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3062</Words>
  <Characters>17866</Characters>
  <Application>Microsoft Office Word</Application>
  <DocSecurity>0</DocSecurity>
  <Lines>824</Lines>
  <Paragraphs>340</Paragraphs>
  <ScaleCrop>false</ScaleCrop>
  <Company>Author-it Software Corporation Ltd.</Company>
  <LinksUpToDate>false</LinksUpToDate>
  <CharactersWithSpaces>20752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UEGNSG323A Operate transmission pipeline construction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2012-10-10T07:07:00Z</dcterms:created>
  <dcterms:modified xsi:type="dcterms:W3CDTF">2012-10-10T07:07:00Z</dcterms:modified>
</cp:coreProperties>
</file>