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8D" w:rsidP="0076578D">
      <w:pPr>
        <w:pStyle w:val="Title"/>
      </w:pPr>
      <w:bookmarkStart w:id="0" w:name="_GoBack"/>
      <w:bookmarkEnd w:id="0"/>
      <w:r>
        <w:fldChar w:fldCharType="begin"/>
      </w:r>
      <w:r>
        <w:instrText xml:space="preserve"> TITLE   \* MERGEFORMAT </w:instrText>
      </w:r>
      <w:r>
        <w:fldChar w:fldCharType="separate"/>
      </w:r>
      <w:r>
        <w:t>UEGNSG320A Establish right of way access for transmission pipeline construction</w:t>
      </w:r>
      <w:r>
        <w:fldChar w:fldCharType="end"/>
      </w:r>
    </w:p>
    <w:p w:rsidR="0076578D" w:rsidP="0076578D">
      <w:pPr>
        <w:pStyle w:val="Version"/>
        <w:sectPr w:rsidSect="00A73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610" w:rsidP="00A73610">
      <w:pPr>
        <w:pStyle w:val="SuperHeading"/>
      </w:pPr>
      <w:r w:rsidRPr="00A73610">
        <w:t>UEGNSG320A Establish right of way access for transmission pipeline construction</w:t>
      </w:r>
    </w:p>
    <w:p w:rsidR="00000000" w:rsidRPr="00A73610" w:rsidP="00A73610">
      <w:pPr>
        <w:pStyle w:val="Heading1"/>
      </w:pPr>
      <w:bookmarkStart w:id="1" w:name="O_402569"/>
      <w:bookmarkEnd w:id="1"/>
      <w:r w:rsidRPr="00A73610">
        <w:t>Modification History</w:t>
      </w:r>
    </w:p>
    <w:p w:rsidR="00000000" w:rsidRPr="00A73610" w:rsidP="00A73610">
      <w:pPr>
        <w:pStyle w:val="BodyText"/>
      </w:pPr>
      <w:r w:rsidRPr="00A73610">
        <w:t>Not applicable.</w:t>
      </w:r>
    </w:p>
    <w:p w:rsidR="00000000" w:rsidRPr="00A73610" w:rsidP="00A73610">
      <w:pPr>
        <w:pStyle w:val="AllowPageBreak"/>
      </w:pPr>
    </w:p>
    <w:p w:rsidR="00000000" w:rsidRPr="00A73610" w:rsidP="00A73610">
      <w:pPr>
        <w:pStyle w:val="Heading1"/>
      </w:pPr>
      <w:bookmarkStart w:id="2" w:name="O_402567"/>
      <w:bookmarkEnd w:id="2"/>
      <w:r w:rsidRPr="00A73610">
        <w:t>Unit Descriptor</w:t>
      </w:r>
    </w:p>
    <w:tbl>
      <w:tblPr>
        <w:tblW w:w="0" w:type="auto"/>
        <w:tblLayout w:type="fixed"/>
        <w:tblCellMar>
          <w:left w:w="62" w:type="dxa"/>
          <w:right w:w="62" w:type="dxa"/>
        </w:tblCellMar>
        <w:tblLook w:val="0000"/>
      </w:tblPr>
      <w:tblGrid>
        <w:gridCol w:w="2700"/>
        <w:gridCol w:w="5760"/>
      </w:tblGrid>
      <w:tr w:rsidTr="00765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1) Scope:</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36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1.1) Descriptor</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Right of Way access preparation refers to the provision of access of operators to survey, clear, ditch, lower in, backfill and reinstate the pipeline easement. This competency refers to: Access preparation; Permits; Approval for construction; Stakeholder a</w:t>
            </w:r>
            <w:r w:rsidRPr="00A73610">
              <w:t>pprovals; Verification and identification of 3rd party assets; Environmental and cultural heritage controls.</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3" w:name="O_402556"/>
      <w:bookmarkEnd w:id="3"/>
      <w:r w:rsidRPr="00A73610">
        <w:t>Application of the Unit</w:t>
      </w:r>
    </w:p>
    <w:tbl>
      <w:tblPr>
        <w:tblW w:w="0" w:type="auto"/>
        <w:tblLayout w:type="fixed"/>
        <w:tblCellMar>
          <w:left w:w="62" w:type="dxa"/>
          <w:right w:w="62" w:type="dxa"/>
        </w:tblCellMar>
        <w:tblLook w:val="0000"/>
      </w:tblPr>
      <w:tblGrid>
        <w:gridCol w:w="2672"/>
        <w:gridCol w:w="5699"/>
      </w:tblGrid>
      <w:tr w:rsidTr="0076578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2)</w:t>
            </w:r>
          </w:p>
        </w:tc>
      </w:tr>
      <w:tr w:rsidTr="0076578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This competency standard shall apply to any basic and safe work site where Gas Industry operations occur. It could also apply, where applicable to other workplaces in the electricity supply industry (transmission and distribution and generation), the elect</w:t>
            </w:r>
            <w:r w:rsidRPr="00A73610">
              <w:t>rotechnology industry and the water industry, subject to all Occupational Health and Safety and duty of care requirements being met for the workplace.</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4" w:name="O_402563"/>
      <w:bookmarkEnd w:id="4"/>
      <w:r w:rsidRPr="00A73610">
        <w:t>Licensing/Regulatory Information</w:t>
      </w:r>
    </w:p>
    <w:tbl>
      <w:tblPr>
        <w:tblW w:w="0" w:type="auto"/>
        <w:tblLayout w:type="fixed"/>
        <w:tblCellMar>
          <w:left w:w="62" w:type="dxa"/>
          <w:right w:w="62" w:type="dxa"/>
        </w:tblCellMar>
        <w:tblLook w:val="0000"/>
      </w:tblPr>
      <w:tblGrid>
        <w:gridCol w:w="2700"/>
        <w:gridCol w:w="5760"/>
      </w:tblGrid>
      <w:tr w:rsidTr="00765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 xml:space="preserve">3) </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The skills and knowledge de</w:t>
            </w:r>
            <w:r w:rsidRPr="00A73610">
              <w:t xml:space="preserve">scribed in this unit are not subject to licence regulation other than those directly related to Occupational Health and Safety, gas/electricity/water industry safety and compliance, </w:t>
            </w:r>
            <w:r w:rsidRPr="00A73610">
              <w:t>industrial relations, environmental protection, telecommunications, anti d</w:t>
            </w:r>
            <w:r w:rsidRPr="00A73610">
              <w:t>iscrimination and training. Commonwealth, State/Territory or Local government legislation and regulations may exist that limit the age at which a person can operate certain equipment.</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5" w:name="O_402564"/>
      <w:bookmarkEnd w:id="5"/>
      <w:r w:rsidRPr="00A73610">
        <w:t>Pre-Requisites</w:t>
      </w:r>
    </w:p>
    <w:tbl>
      <w:tblPr>
        <w:tblW w:w="0" w:type="auto"/>
        <w:tblLayout w:type="fixed"/>
        <w:tblCellMar>
          <w:left w:w="62" w:type="dxa"/>
          <w:right w:w="62" w:type="dxa"/>
        </w:tblCellMar>
        <w:tblLook w:val="0000"/>
      </w:tblPr>
      <w:tblGrid>
        <w:gridCol w:w="2700"/>
        <w:gridCol w:w="1800"/>
        <w:gridCol w:w="3960"/>
      </w:tblGrid>
      <w:tr w:rsidTr="00765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 xml:space="preserve">4) </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4.1)</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Granting of competency in this unit shall be made only after competency in the following unit(s) has/have been confirmed:</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Nil</w:t>
            </w:r>
          </w:p>
        </w:tc>
        <w:tc>
          <w:tcPr>
            <w:tcW w:w="3960" w:type="dxa"/>
            <w:tcBorders>
              <w:top w:val="nil"/>
              <w:left w:val="nil"/>
              <w:bottom w:val="nil"/>
              <w:right w:val="nil"/>
            </w:tcBorders>
            <w:tcMar>
              <w:top w:w="0" w:type="dxa"/>
              <w:left w:w="62" w:type="dxa"/>
              <w:bottom w:w="0" w:type="dxa"/>
              <w:right w:w="62" w:type="dxa"/>
            </w:tcMar>
          </w:tcPr>
          <w:p w:rsidR="00000000" w:rsidRPr="00A73610" w:rsidP="00A73610">
            <w:pPr>
              <w:pStyle w:val="BodyText"/>
            </w:pPr>
          </w:p>
        </w:tc>
      </w:tr>
    </w:tbl>
    <w:p w:rsidR="00000000" w:rsidRPr="00A73610" w:rsidP="00A736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 xml:space="preserve">4.2) </w:t>
            </w:r>
          </w:p>
          <w:p w:rsidR="00000000" w:rsidP="00A73610">
            <w:pPr>
              <w:pStyle w:val="BodyText"/>
              <w:rPr>
                <w:lang w:val="en-NZ"/>
              </w:rPr>
            </w:pPr>
            <w:r w:rsidRPr="00A73610">
              <w:t>Participants are best equipped to achieve this unit if they have reading, writing and numeracy skills indicated by the following scales. Description of each scale is given in Volume 2, Part 3 ‘Literacy and Numeracy’</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Reading</w:t>
            </w:r>
          </w:p>
        </w:tc>
        <w:tc>
          <w:tcPr>
            <w:tcW w:w="81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w:t>
            </w:r>
          </w:p>
        </w:tc>
        <w:tc>
          <w:tcPr>
            <w:tcW w:w="9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Writing</w:t>
            </w: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w:t>
            </w:r>
          </w:p>
        </w:tc>
        <w:tc>
          <w:tcPr>
            <w:tcW w:w="12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Numeracy</w:t>
            </w:r>
          </w:p>
        </w:tc>
        <w:tc>
          <w:tcPr>
            <w:tcW w:w="72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3</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6" w:name="O_402560"/>
      <w:bookmarkEnd w:id="6"/>
      <w:r w:rsidRPr="00A73610">
        <w:t>Employability Skills Information</w:t>
      </w:r>
    </w:p>
    <w:tbl>
      <w:tblPr>
        <w:tblW w:w="0" w:type="auto"/>
        <w:tblLayout w:type="fixed"/>
        <w:tblCellMar>
          <w:left w:w="62" w:type="dxa"/>
          <w:right w:w="62" w:type="dxa"/>
        </w:tblCellMar>
        <w:tblLook w:val="0000"/>
      </w:tblPr>
      <w:tblGrid>
        <w:gridCol w:w="2700"/>
        <w:gridCol w:w="5760"/>
      </w:tblGrid>
      <w:tr w:rsidTr="00765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 xml:space="preserve">5) </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This unit contains Employability Skills</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The required outcomes described i</w:t>
            </w:r>
            <w:r w:rsidRPr="00A73610">
              <w:t>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7" w:name="O_402559"/>
      <w:bookmarkEnd w:id="7"/>
      <w:r w:rsidRPr="00A73610">
        <w:t>Elements and Performance Criteria Pre-Content</w:t>
      </w:r>
    </w:p>
    <w:tbl>
      <w:tblPr>
        <w:tblW w:w="0" w:type="auto"/>
        <w:tblLayout w:type="fixed"/>
        <w:tblCellMar>
          <w:left w:w="62" w:type="dxa"/>
          <w:right w:w="62" w:type="dxa"/>
        </w:tblCellMar>
        <w:tblLook w:val="0000"/>
      </w:tblPr>
      <w:tblGrid>
        <w:gridCol w:w="2700"/>
        <w:gridCol w:w="5760"/>
      </w:tblGrid>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6)</w:t>
            </w:r>
            <w:r w:rsidRPr="00A7361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Performance Criteria describe the required performance needed to demonstrate achievement of the element. Assessment of performance is to</w:t>
            </w:r>
            <w:r w:rsidRPr="00A73610">
              <w:t xml:space="preserve"> be consistent with the Evidence Guide.</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8" w:name="O_402558"/>
      <w:bookmarkEnd w:id="8"/>
      <w:r w:rsidRPr="00A736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578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PERFORMANCE CRITERIA</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w:t>
            </w:r>
          </w:p>
        </w:tc>
        <w:tc>
          <w:tcPr>
            <w:tcW w:w="2296"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Prepare for the construction of right of way easement.</w:t>
            </w: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1.1</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Work instructions are received and confirmed.</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1.2</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Topographical and geographical maps are confirmed with authorised person to follow the selected pipeline route and the work schedule is checked for a quality outcome and to minimise risk and damage to property, commerce and individuals in accordance with e</w:t>
            </w:r>
            <w:r w:rsidRPr="00A73610">
              <w:t>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1.3</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OHS, environmental and sustainable energy policies and procedures to be followed for the work to be performed are received and confirmed.</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1.4</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Discussion occurs with all persons to establish and confirm work schedule.</w:t>
            </w:r>
          </w:p>
        </w:tc>
      </w:tr>
      <w:tr w:rsidTr="0076578D">
        <w:tblPrEx>
          <w:tblW w:w="0" w:type="auto"/>
          <w:tblLayout w:type="fixed"/>
          <w:tblCellMar>
            <w:left w:w="62" w:type="dxa"/>
            <w:right w:w="62" w:type="dxa"/>
          </w:tblCellMar>
          <w:tblLook w:val="0000"/>
        </w:tblPrEx>
        <w:trPr>
          <w:trHeight w:val="52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1.5</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Suggestions to assist with construction of Right Of Way for easements are made to others involved in the work.</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1.6</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Hazards are identified, OHS risks assessed and control measures are prioritised, implemented and monitored, according to established procedures.</w:t>
            </w:r>
          </w:p>
        </w:tc>
      </w:tr>
      <w:tr w:rsidTr="0076578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1.7</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Scope of responsibility under the relevant work permit are received and confirmed according to requireme</w:t>
            </w:r>
            <w:r w:rsidRPr="00A73610">
              <w:t>nts and established procedures with relevant persons.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1.8</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Resources including equipment, tools and personal protective equipment required for the job are obtained and in working order according to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1.9</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Relevant responsibilities associated with first aid and other related work safety procedures at the worksite are confirmed in accordance with requirements and established procedures to ensure safety measures are followed in the instance of an incident.</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1.10</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Third party issues are referred to appropriate persons in accordance with industry and community standards.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w:t>
            </w:r>
          </w:p>
        </w:tc>
        <w:tc>
          <w:tcPr>
            <w:tcW w:w="2296"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Carry out access provisions for the construction of right of way easement</w:t>
            </w: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2.1</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OHS policies and procedures and safe work practices are followed to eliminate or minimise incidents and hazards.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2.2</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Lifting, climbing, working in confined spaces, excavations, trenches, or aloft, and use of power tools, techniques and practices are saf</w:t>
            </w:r>
            <w:r w:rsidRPr="00A73610">
              <w:t>ely followed in accordance with given instructions and according to requirements confirmed to eliminate the prospects of incidents.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2.3</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Work area is cordoned off and made safe for the construction of pipeline easements in accordance with given instructi</w:t>
            </w:r>
            <w:r w:rsidRPr="00A73610">
              <w:t>ons and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2.4</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Access for the construction of a pipeline easement is confirmed to ensure completion in an agreed timeframe and to quality standards with a minimum of waste according to requirements and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2.5</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Operational knowledge as applied to potential hazards and safety risks are reported to the immediate authorised persons for directions according to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2.6</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Non-routine events are referred to the immediate authorised persons for dire</w:t>
            </w:r>
            <w:r w:rsidRPr="00A73610">
              <w:t>ctions according to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2.7</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Remedial action associated with the access for pipeline construction is dealt with using acquired known solutions and skills related to routine procedures to ensure work instructions and established proced</w:t>
            </w:r>
            <w:r w:rsidRPr="00A73610">
              <w:t>ures are met</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2.8</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Ongoing checks of quality of the work are undertaken in accordance with given instructions and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w:t>
            </w:r>
          </w:p>
        </w:tc>
        <w:tc>
          <w:tcPr>
            <w:tcW w:w="2296"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Complete procedures for access provisions for construction of right of way easement</w:t>
            </w: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3.1</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Accidents and incidents ar</w:t>
            </w:r>
            <w:r w:rsidRPr="00A73610">
              <w:t xml:space="preserve">e actioned and reported to authorised persons in accordance with established procedures </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3.2</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 xml:space="preserve">Work site is rehabilitated, cleaned up and made safe in accordance with given instructions and established procedures </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3.3</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Tools, equipment and any surplus resources and materials are, where appropriate, cleaned, checked and returned to storage in accordance with established procedures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3.4</w:t>
            </w:r>
          </w:p>
        </w:tc>
        <w:tc>
          <w:tcPr>
            <w:tcW w:w="48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Appropriate persons are notified of work completion according to established procedur</w:t>
            </w:r>
            <w:r w:rsidRPr="00A73610">
              <w:t>es</w:t>
            </w:r>
          </w:p>
        </w:tc>
      </w:tr>
      <w:tr w:rsidTr="00765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3.5</w:t>
            </w:r>
          </w:p>
        </w:tc>
        <w:tc>
          <w:tcPr>
            <w:tcW w:w="48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Work completion records, report forms and data sheets are completed accurately in accordance with given instructions and established procedures</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9" w:name="O_402566"/>
      <w:bookmarkEnd w:id="9"/>
      <w:r w:rsidRPr="00A73610">
        <w:t>Required Skills and Knowledge</w:t>
      </w:r>
    </w:p>
    <w:tbl>
      <w:tblPr>
        <w:tblW w:w="0" w:type="auto"/>
        <w:tblLayout w:type="fixed"/>
        <w:tblCellMar>
          <w:left w:w="62" w:type="dxa"/>
          <w:right w:w="62" w:type="dxa"/>
        </w:tblCellMar>
        <w:tblLook w:val="0000"/>
      </w:tblPr>
      <w:tblGrid>
        <w:gridCol w:w="8460"/>
      </w:tblGrid>
      <w:tr w:rsidTr="007657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REQUIRED SKILLS AND KNOWLEDGE</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8)</w:t>
            </w:r>
            <w:r w:rsidRPr="00A73610">
              <w:t xml:space="preserve"> This describes the essential skills and knowledge and their level, required for this unit.</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Evidence shall show that knowledge has been acquired of safe working practices for using of equipment and tools to perform work in a transmission pipeline construc</w:t>
            </w:r>
            <w:r w:rsidRPr="00A73610">
              <w:t>tion industry work environment.</w:t>
            </w:r>
          </w:p>
        </w:tc>
      </w:tr>
      <w:tr w:rsidTr="0076578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All knowledge and skills detailed in this unit should be contextualised to current industry practices and technologies.</w:t>
            </w:r>
          </w:p>
        </w:tc>
      </w:tr>
    </w:tbl>
    <w:p w:rsidR="00000000" w:rsidRPr="00A73610" w:rsidP="00A73610">
      <w:pPr>
        <w:pStyle w:val="BodyText"/>
      </w:pPr>
    </w:p>
    <w:tbl>
      <w:tblPr>
        <w:tblW w:w="0" w:type="auto"/>
        <w:tblLayout w:type="fixed"/>
        <w:tblCellMar>
          <w:left w:w="62" w:type="dxa"/>
          <w:right w:w="62" w:type="dxa"/>
        </w:tblCellMar>
        <w:tblLook w:val="0000"/>
      </w:tblPr>
      <w:tblGrid>
        <w:gridCol w:w="1440"/>
        <w:gridCol w:w="990"/>
        <w:gridCol w:w="6030"/>
      </w:tblGrid>
      <w:tr w:rsidTr="0076578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KS01-G320A</w:t>
            </w:r>
          </w:p>
        </w:tc>
        <w:tc>
          <w:tcPr>
            <w:tcW w:w="702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Right of way access for transmission pipeline construction</w:t>
            </w:r>
          </w:p>
        </w:tc>
      </w:tr>
      <w:tr w:rsidTr="0076578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 xml:space="preserve">G 2.3.16 </w:t>
            </w:r>
          </w:p>
        </w:tc>
        <w:tc>
          <w:tcPr>
            <w:tcW w:w="603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Transmission pipeline construction OHS, environmental and cultural legislative and regulatory requirements</w:t>
            </w:r>
          </w:p>
          <w:p w:rsidR="00000000" w:rsidRPr="00A73610" w:rsidP="00A73610">
            <w:pPr>
              <w:pStyle w:val="BodyText"/>
            </w:pPr>
            <w:r w:rsidRPr="00A73610">
              <w:t xml:space="preserve">Evidence shall show an understanding of the practical work requirements embedded in the OHS, Environmental and Cultural Legislation and Regulations. </w:t>
            </w:r>
          </w:p>
          <w:p w:rsidR="00000000" w:rsidRPr="00A73610" w:rsidP="00A73610">
            <w:pPr>
              <w:pStyle w:val="BodyText"/>
            </w:pPr>
            <w:r w:rsidRPr="00A73610">
              <w:t>For OHS:</w:t>
            </w:r>
          </w:p>
          <w:p w:rsidR="00000000" w:rsidRPr="00A73610" w:rsidP="00A73610">
            <w:pPr>
              <w:pStyle w:val="ListBullet"/>
            </w:pPr>
            <w:r w:rsidRPr="00A73610">
              <w:t>Complete Risk Assessment forms such as Work Permits and JHA’s, JSA’s, JSEA’s, SWM’s etc Hazard Identification</w:t>
            </w:r>
          </w:p>
          <w:p w:rsidR="00000000" w:rsidRPr="00A73610" w:rsidP="00A73610">
            <w:pPr>
              <w:pStyle w:val="ListBullet"/>
            </w:pPr>
            <w:r w:rsidRPr="00A73610">
              <w:t>Manual handling</w:t>
            </w:r>
          </w:p>
          <w:p w:rsidR="00000000" w:rsidRPr="00A73610" w:rsidP="00A73610">
            <w:pPr>
              <w:pStyle w:val="ListBullet"/>
            </w:pPr>
            <w:r w:rsidRPr="00A73610">
              <w:t>Basic First Aid</w:t>
            </w:r>
          </w:p>
          <w:p w:rsidR="00000000" w:rsidRPr="00A73610" w:rsidP="00A73610">
            <w:pPr>
              <w:pStyle w:val="ListBullet"/>
            </w:pPr>
            <w:r w:rsidRPr="00A73610">
              <w:t>MSDS</w:t>
            </w:r>
          </w:p>
          <w:p w:rsidR="00000000" w:rsidRPr="00A73610" w:rsidP="00A73610">
            <w:pPr>
              <w:pStyle w:val="ListBullet"/>
            </w:pPr>
            <w:r w:rsidRPr="00A73610">
              <w:t>Understanding how to apply control measures</w:t>
            </w:r>
          </w:p>
          <w:p w:rsidR="00000000" w:rsidRPr="00A73610" w:rsidP="00A73610">
            <w:pPr>
              <w:pStyle w:val="ListBullet"/>
            </w:pPr>
            <w:r w:rsidRPr="00A73610">
              <w:t xml:space="preserve">Emergency Response </w:t>
            </w:r>
          </w:p>
          <w:p w:rsidR="00000000" w:rsidRPr="00A73610" w:rsidP="00A73610">
            <w:pPr>
              <w:pStyle w:val="ListBullet"/>
            </w:pPr>
            <w:r w:rsidRPr="00A73610">
              <w:t xml:space="preserve">Signage </w:t>
            </w:r>
          </w:p>
          <w:p w:rsidR="00000000" w:rsidRPr="00A73610" w:rsidP="00A73610">
            <w:pPr>
              <w:pStyle w:val="ListBullet"/>
            </w:pPr>
            <w:r w:rsidRPr="00A73610">
              <w:t>Licenses and tickets</w:t>
            </w:r>
          </w:p>
          <w:p w:rsidR="00000000" w:rsidRPr="00A73610" w:rsidP="00A73610">
            <w:pPr>
              <w:pStyle w:val="ListBullet"/>
            </w:pPr>
            <w:r w:rsidRPr="00A73610">
              <w:t>Worki</w:t>
            </w:r>
            <w:r w:rsidRPr="00A73610">
              <w:t>ng at heights</w:t>
            </w:r>
          </w:p>
          <w:p w:rsidR="00000000" w:rsidRPr="00A73610" w:rsidP="00A73610">
            <w:pPr>
              <w:pStyle w:val="ListBullet"/>
            </w:pPr>
            <w:r w:rsidRPr="00A73610">
              <w:t>Awareness of confined spaces</w:t>
            </w:r>
          </w:p>
          <w:p w:rsidR="00000000" w:rsidRPr="00A73610" w:rsidP="00A73610">
            <w:pPr>
              <w:pStyle w:val="BodyText"/>
            </w:pPr>
            <w:r w:rsidRPr="00A73610">
              <w:t>For Environmental:</w:t>
            </w:r>
          </w:p>
          <w:p w:rsidR="00000000" w:rsidRPr="00A73610" w:rsidP="00A73610">
            <w:pPr>
              <w:pStyle w:val="ListBullet"/>
            </w:pPr>
            <w:r w:rsidRPr="00A73610">
              <w:t>Weed mitigation</w:t>
            </w:r>
          </w:p>
          <w:p w:rsidR="00000000" w:rsidRPr="00A73610" w:rsidP="00A73610">
            <w:pPr>
              <w:pStyle w:val="ListBullet"/>
            </w:pPr>
            <w:r w:rsidRPr="00A73610">
              <w:t xml:space="preserve">Erosion control </w:t>
            </w:r>
          </w:p>
          <w:p w:rsidR="00000000" w:rsidRPr="00A73610" w:rsidP="00A73610">
            <w:pPr>
              <w:pStyle w:val="ListBullet"/>
            </w:pPr>
            <w:r w:rsidRPr="00A73610">
              <w:t>Emission laws</w:t>
            </w:r>
          </w:p>
          <w:p w:rsidR="00000000" w:rsidRPr="00A73610" w:rsidP="00A73610">
            <w:pPr>
              <w:pStyle w:val="ListBullet"/>
            </w:pPr>
            <w:r w:rsidRPr="00A73610">
              <w:t>Quarantine laws</w:t>
            </w:r>
          </w:p>
          <w:p w:rsidR="00000000" w:rsidRPr="00A73610" w:rsidP="00A73610">
            <w:pPr>
              <w:pStyle w:val="ListBullet"/>
            </w:pPr>
            <w:r w:rsidRPr="00A73610">
              <w:t>Licenses</w:t>
            </w:r>
          </w:p>
          <w:p w:rsidR="00000000" w:rsidRPr="00A73610" w:rsidP="00A73610">
            <w:pPr>
              <w:pStyle w:val="ListBullet"/>
            </w:pPr>
            <w:r w:rsidRPr="00A73610">
              <w:t xml:space="preserve">Permits  </w:t>
            </w:r>
          </w:p>
          <w:p w:rsidR="00000000" w:rsidRPr="00A73610" w:rsidP="00A73610">
            <w:pPr>
              <w:pStyle w:val="BodyText"/>
            </w:pPr>
            <w:r w:rsidRPr="00A73610">
              <w:t>For Cultural and Heritage Awareness:</w:t>
            </w:r>
          </w:p>
          <w:p w:rsidR="00000000" w:rsidRPr="00A73610" w:rsidP="00A73610">
            <w:pPr>
              <w:pStyle w:val="ListBullet"/>
            </w:pPr>
            <w:r w:rsidRPr="00A73610">
              <w:t>Cultural and heritage awareness tagging</w:t>
            </w:r>
          </w:p>
          <w:p w:rsidR="00000000" w:rsidRPr="00A73610" w:rsidP="00A73610">
            <w:pPr>
              <w:pStyle w:val="ListBullet"/>
            </w:pPr>
            <w:r w:rsidRPr="00A73610">
              <w:t>Understanding the role of the cultural monitor</w:t>
            </w:r>
          </w:p>
          <w:p w:rsidR="00000000" w:rsidRPr="00A73610" w:rsidP="00A73610">
            <w:pPr>
              <w:pStyle w:val="ListBullet"/>
            </w:pPr>
            <w:r w:rsidRPr="00A73610">
              <w:t>Uncovering of cultural/heritage artefacts</w:t>
            </w:r>
          </w:p>
          <w:p w:rsidR="00000000" w:rsidRPr="00A73610" w:rsidP="00A73610">
            <w:pPr>
              <w:pStyle w:val="ListBullet"/>
            </w:pPr>
            <w:r w:rsidRPr="00A73610">
              <w:t>Understanding heritage and cultural issues</w:t>
            </w:r>
          </w:p>
          <w:p w:rsidR="00000000" w:rsidP="00A73610">
            <w:pPr>
              <w:pStyle w:val="ListBullet"/>
              <w:rPr>
                <w:lang w:val="en-NZ"/>
              </w:rPr>
            </w:pPr>
            <w:r w:rsidRPr="00A73610">
              <w:t>Understanding legislative and regulatory requirement applicable in working situations</w:t>
            </w:r>
          </w:p>
        </w:tc>
      </w:tr>
      <w:tr w:rsidTr="0076578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G 2.3.17</w:t>
            </w:r>
          </w:p>
        </w:tc>
        <w:tc>
          <w:tcPr>
            <w:tcW w:w="603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Knowledge of right of way s</w:t>
            </w:r>
            <w:r w:rsidRPr="00A73610">
              <w:t>et out and ditch line</w:t>
            </w:r>
          </w:p>
          <w:p w:rsidR="00000000" w:rsidRPr="00A73610" w:rsidP="00A73610">
            <w:pPr>
              <w:pStyle w:val="BodyText"/>
            </w:pPr>
            <w:r w:rsidRPr="00A73610">
              <w:t xml:space="preserve">Evidence shall show an understanding of translation of survey techniques into the right of way environment such as: </w:t>
            </w:r>
          </w:p>
          <w:p w:rsidR="00000000" w:rsidP="00A73610">
            <w:pPr>
              <w:pStyle w:val="ListBullet"/>
              <w:rPr>
                <w:lang w:val="en-NZ"/>
              </w:rPr>
            </w:pPr>
            <w:r w:rsidRPr="00A73610">
              <w:t>Survey markers and off set markers, their meaning and relevant work applications.</w:t>
            </w:r>
          </w:p>
        </w:tc>
      </w:tr>
      <w:tr w:rsidTr="0076578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G 2.3.18</w:t>
            </w:r>
          </w:p>
        </w:tc>
        <w:tc>
          <w:tcPr>
            <w:tcW w:w="603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Effective communication with third party asset owners in exposing, surveying and reinstating their assets safely</w:t>
            </w:r>
          </w:p>
          <w:p w:rsidR="00000000" w:rsidRPr="00A73610" w:rsidP="00A73610">
            <w:pPr>
              <w:pStyle w:val="BodyText"/>
            </w:pPr>
            <w:r w:rsidRPr="00A73610">
              <w:t xml:space="preserve">Evidence shall show an understanding of how to effectively communicate with third party asset owners about: </w:t>
            </w:r>
          </w:p>
          <w:p w:rsidR="00000000" w:rsidP="00A73610">
            <w:pPr>
              <w:pStyle w:val="ListBullet"/>
              <w:rPr>
                <w:lang w:val="en-NZ"/>
              </w:rPr>
            </w:pPr>
            <w:r w:rsidRPr="00A73610">
              <w:t>exposing, surveying and re-instati</w:t>
            </w:r>
            <w:r w:rsidRPr="00A73610">
              <w:t>ng their assets safely and effectively</w:t>
            </w:r>
          </w:p>
        </w:tc>
      </w:tr>
      <w:tr w:rsidTr="0076578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 xml:space="preserve">G 2.3.19 </w:t>
            </w:r>
          </w:p>
        </w:tc>
        <w:tc>
          <w:tcPr>
            <w:tcW w:w="603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Knowledge of pipeline protective systems including bedding and padding materials</w:t>
            </w:r>
          </w:p>
          <w:p w:rsidR="00000000" w:rsidRPr="00A73610" w:rsidP="00A73610">
            <w:pPr>
              <w:pStyle w:val="BodyText"/>
            </w:pPr>
            <w:r w:rsidRPr="00A73610">
              <w:t>Evidence shall show an understanding of the methods of protecting the pipeline from third party interaction:</w:t>
            </w:r>
          </w:p>
          <w:p w:rsidR="00000000" w:rsidRPr="00A73610" w:rsidP="00A73610">
            <w:pPr>
              <w:pStyle w:val="ListBullet"/>
            </w:pPr>
            <w:r w:rsidRPr="00A73610">
              <w:t>use of marker t</w:t>
            </w:r>
            <w:r w:rsidRPr="00A73610">
              <w:t>ape, bedding materials, marker post signage.</w:t>
            </w:r>
          </w:p>
        </w:tc>
      </w:tr>
    </w:tbl>
    <w:p w:rsidR="0076578D" w:rsidP="00A73610">
      <w:pPr>
        <w:pStyle w:val="BodyText"/>
      </w:pPr>
    </w:p>
    <w:p w:rsidR="0076578D" w:rsidP="00A73610">
      <w:pPr>
        <w:pStyle w:val="BodyText"/>
      </w:pPr>
    </w:p>
    <w:p w:rsidR="00000000" w:rsidRPr="00A73610" w:rsidP="00A73610">
      <w:pPr>
        <w:pStyle w:val="Heading1"/>
      </w:pPr>
      <w:bookmarkStart w:id="10" w:name="O_402561"/>
      <w:bookmarkEnd w:id="10"/>
      <w:r w:rsidRPr="00A73610">
        <w:t>Evidence Guide</w:t>
      </w:r>
    </w:p>
    <w:tbl>
      <w:tblPr>
        <w:tblW w:w="0" w:type="auto"/>
        <w:tblLayout w:type="fixed"/>
        <w:tblCellMar>
          <w:left w:w="62" w:type="dxa"/>
          <w:right w:w="62" w:type="dxa"/>
        </w:tblCellMar>
        <w:tblLook w:val="0000"/>
      </w:tblPr>
      <w:tblGrid>
        <w:gridCol w:w="8460"/>
      </w:tblGrid>
      <w:tr w:rsidTr="007657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EVIDENCE GUIDE</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9)</w:t>
            </w:r>
            <w:r w:rsidRPr="00A73610">
              <w:t xml:space="preserve"> The Evidence Guide forms an integral part of this Unit and shall be used in conjunction with all components parts of this unit </w:t>
            </w:r>
            <w:r w:rsidRPr="00A73610">
              <w:t>and performed in accordance with the Assessment Guidelines of this Training Package.</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6570"/>
      </w:tblGrid>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9.1)</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Longitudinal competency development approaches to assessment, such as Profiling, require data to be reliably gathered in a form that can be consistently interpreted over time. This approach is best utilised in Apprenticeship programs and reduces assessment</w:t>
            </w:r>
            <w:r w:rsidRPr="00A7361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73610">
              <w:t>tency in a realistically simulated work environment. It is recognised that, in some circumstances, assessment in part or full can occur outside the workplace. However, it must be in accord with industry and regulatory policy in this regard.</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Methods chose</w:t>
            </w:r>
            <w:r w:rsidRPr="00A73610">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A73610">
              <w:t>required and the critical nature of the competencies being assessed.</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The critical safety nature of working with electricity, electrical equipment, gas or any other hazardous substance/material carries risk in deeming a person competent. Hence, sources of</w:t>
            </w:r>
            <w:r w:rsidRPr="00A73610">
              <w:t xml:space="preserve"> evidence need to be ‘rich’ in nature so as to minimise error in judgment.</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Activities associated with normal every day work have a bearing on the decision as to how much and how detailed the data gathered will contribute to its ‘richness’. Some skills ar</w:t>
            </w:r>
            <w:r w:rsidRPr="00A73610">
              <w:t>e more critical to safety and operational requirements while the same skills may be more or less frequently practised. These points are raised for the assessors to consider when choosing an assessment method and developing assessment instruments. Sample as</w:t>
            </w:r>
            <w:r w:rsidRPr="00A73610">
              <w:t>sessment instruments are included in the Assessment Guidelines of this Training Package.</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6570"/>
      </w:tblGrid>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9.2)</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Before the critical aspects of evidence are considered all prerequisites shall be</w:t>
            </w:r>
            <w:r w:rsidRPr="00A73610">
              <w:t xml:space="preserve"> met.</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Evidence for competence in this unit shall be considered holistically. Each element and associated Performance Criteria shall be demonstrated on at least two occasions in accordance with the ‘Assessment Guidelines — UEG11’. Evidence shall also comp</w:t>
            </w:r>
            <w:r w:rsidRPr="00A73610">
              <w:t>rise:</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A representative body of work performance demonstrated within the timeframes typically expected of the discipline, work function and industrial environment. In particular this shall incorporate evidence that shows a candidate is able to:</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2"/>
              <w:rPr>
                <w:lang w:val="en-NZ"/>
              </w:rPr>
            </w:pPr>
            <w:r w:rsidRPr="00A73610">
              <w:t>Implement Occupational Health and Safety workplace procedures and practices including the use of risk control measures as specified in the Performance Criteria and range</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2"/>
              <w:rPr>
                <w:lang w:val="en-NZ"/>
              </w:rPr>
            </w:pPr>
            <w:r w:rsidRPr="00A73610">
              <w:t>Apply sustainable energy principles and practices as specified in the Performance C</w:t>
            </w:r>
            <w:r w:rsidRPr="00A73610">
              <w:t>riteria and range</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2"/>
              <w:rPr>
                <w:lang w:val="en-NZ"/>
              </w:rPr>
            </w:pPr>
            <w:r w:rsidRPr="00A73610">
              <w:t>Demonstrate an understanding of the essential knowledge and associated skills as described in this unit to such an extent that the learner’s performance outcome is reported in accordance with the preferred approach; namely a percentile</w:t>
            </w:r>
            <w:r w:rsidRPr="00A73610">
              <w:t xml:space="preserve"> graded result</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2"/>
              <w:rPr>
                <w:lang w:val="en-NZ"/>
              </w:rPr>
            </w:pPr>
            <w:r w:rsidRPr="00A73610">
              <w:t>Demonstrate an appropriate level of employability skills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2"/>
              <w:rPr>
                <w:lang w:val="en-NZ"/>
              </w:rPr>
            </w:pPr>
            <w:r w:rsidRPr="00A73610">
              <w:t>Conduct work observing the relevant Anti discrimination legislation, regulations, polices and workplace procedures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73610" w:rsidP="00A73610">
            <w:pPr>
              <w:pStyle w:val="ListBullet"/>
            </w:pPr>
            <w:r w:rsidRPr="00A73610">
              <w:t>Demonstrate performance across a representative range of contexts from the prescribed items below:</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6578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7361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rPr>
                <w:rStyle w:val="SpecialBold"/>
              </w:rPr>
              <w:t>Range of tools/equipment/procedures/workplace</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7361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10" w:rsidP="00A73610">
            <w:pPr>
              <w:pStyle w:val="BodyText"/>
            </w:pPr>
            <w:r w:rsidRPr="00A7361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10" w:rsidP="00A73610">
            <w:pPr>
              <w:pStyle w:val="BodyText"/>
            </w:pPr>
            <w:r w:rsidRPr="00A7361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rPr>
                <w:rStyle w:val="SpecialBold"/>
              </w:rPr>
              <w:t>Item List</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10" w:rsidP="00A73610">
            <w:pPr>
              <w:pStyle w:val="BodyText"/>
            </w:pPr>
            <w:r w:rsidRPr="00A73610">
              <w:t>OHS, environmental and cultural legislative and regulatory requirements.</w:t>
            </w:r>
          </w:p>
          <w:p w:rsidR="00000000" w:rsidRPr="00A73610" w:rsidP="00A73610">
            <w:pPr>
              <w:pStyle w:val="BodyText"/>
            </w:pPr>
            <w:r w:rsidRPr="00A73610">
              <w:t>Interpret survey set out.</w:t>
            </w:r>
          </w:p>
          <w:p w:rsidR="00000000" w:rsidRPr="00A73610" w:rsidP="00A73610">
            <w:pPr>
              <w:pStyle w:val="BodyText"/>
            </w:pPr>
            <w:r w:rsidRPr="00A73610">
              <w:t>Follow third party procedures for verification and identification of assets to ensure their preservation.</w:t>
            </w:r>
          </w:p>
          <w:p w:rsidR="00000000" w:rsidRPr="00A73610" w:rsidP="00A73610">
            <w:pPr>
              <w:pStyle w:val="BodyText"/>
            </w:pPr>
            <w:r w:rsidRPr="00A73610">
              <w:t>Abiding by restrictions of the Right of Way and acc</w:t>
            </w:r>
            <w:r w:rsidRPr="00A73610">
              <w:t>ess.</w:t>
            </w:r>
          </w:p>
          <w:p w:rsidR="00000000" w:rsidRPr="00A73610" w:rsidP="00A73610">
            <w:pPr>
              <w:pStyle w:val="BodyText"/>
            </w:pPr>
            <w:r w:rsidRPr="00A73610">
              <w:t>Erosion control processes.</w:t>
            </w:r>
          </w:p>
          <w:p w:rsidR="00000000" w:rsidP="00A73610">
            <w:pPr>
              <w:pStyle w:val="BodyText"/>
              <w:rPr>
                <w:lang w:val="en-NZ"/>
              </w:rPr>
            </w:pPr>
            <w:r w:rsidRPr="00A73610">
              <w:t>Choose and operate appropriate plant for ground conditions (separation of top soil, sub soils etc).</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10">
            <w:pPr>
              <w:pStyle w:val="BodyText"/>
              <w:rPr>
                <w:lang w:val="en-NZ"/>
              </w:rPr>
            </w:pPr>
            <w:r w:rsidRPr="00A7361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10" w:rsidP="00A73610">
            <w:pPr>
              <w:pStyle w:val="BodyText"/>
            </w:pPr>
            <w:r w:rsidRPr="00A73610">
              <w:t>Deal with an unplanned event by drawing on essential knowledge and associated skills to provide a</w:t>
            </w:r>
            <w:r w:rsidRPr="00A73610">
              <w:t>ppropriate solutions incorporated in the holistic assessment with the above listed items</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6570"/>
      </w:tblGrid>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9.3)</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This unit should be assessed as it relates to normal work practice using procedures, information and resources typical of a workplace. This should include:</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OHS policy and work procedures and instructions.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Suitable work environment, facilities, equipmen</w:t>
            </w:r>
            <w:r w:rsidRPr="00A73610">
              <w:t>t and materials to undertake actual work as prescribed by this Unit.</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Appropriate environmental regulation and work practices.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Appropriate organisational requirements.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ListBullet"/>
              <w:rPr>
                <w:lang w:val="en-NZ"/>
              </w:rPr>
            </w:pPr>
            <w:r w:rsidRPr="00A73610">
              <w:t>Appropriate work environment, equipment and tools.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In addition to the resources listed above in context of and specific resources for assessment, evidence should show demonstrated competency in maintaining pipeline easements.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Assessment of this competency must also be undertaken in either an actual workp</w:t>
            </w:r>
            <w:r w:rsidRPr="00A73610">
              <w:t>lace or under a simulated work environment. Assessment must also integrate the employability skills.</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6570"/>
      </w:tblGrid>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9.4)</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This Unit shall be assessed by methods given in Volume 1, Part 3 ‘Assessment Guidelines’.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 xml:space="preserve">Note: Competent performance with </w:t>
            </w:r>
            <w:r w:rsidRPr="00A73610">
              <w:t xml:space="preserve">inherent safe working practices is expected in the Industry to which this Unit applies. This requires that the specified Essential Knowledge and Associated Skills are assessed in a structured environment which is primarily intended for learning/assessment </w:t>
            </w:r>
            <w:r w:rsidRPr="00A73610">
              <w:t>and incorporates all necessary equipment and facilities for learners to develop and demonstrate the Essential Knowledge and Associated Skills described in this unit.</w:t>
            </w:r>
          </w:p>
        </w:tc>
      </w:tr>
    </w:tbl>
    <w:p w:rsidR="00000000" w:rsidRPr="00A73610" w:rsidP="00A73610">
      <w:pPr>
        <w:pStyle w:val="BodyText"/>
      </w:pPr>
    </w:p>
    <w:tbl>
      <w:tblPr>
        <w:tblW w:w="0" w:type="auto"/>
        <w:tblLayout w:type="fixed"/>
        <w:tblCellMar>
          <w:left w:w="62" w:type="dxa"/>
          <w:right w:w="62" w:type="dxa"/>
        </w:tblCellMar>
        <w:tblLook w:val="0000"/>
      </w:tblPr>
      <w:tblGrid>
        <w:gridCol w:w="1890"/>
        <w:gridCol w:w="1620"/>
        <w:gridCol w:w="4950"/>
      </w:tblGrid>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9.5)</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There are no recommended concurrent assessments with this unit, however in some cases efficiencies may be gained in terms of learning and assessment effort being concurrently managed with allied Units where listed.</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UEGNSG125A</w:t>
            </w:r>
          </w:p>
        </w:tc>
        <w:tc>
          <w:tcPr>
            <w:tcW w:w="495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Carry out transmission pipe</w:t>
            </w:r>
            <w:r w:rsidRPr="00A73610">
              <w:t>line construction work activities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UEGNSG127A</w:t>
            </w:r>
          </w:p>
        </w:tc>
        <w:tc>
          <w:tcPr>
            <w:tcW w:w="495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Comply with transmission pipeline construction environmental and cultural policies and procedures</w:t>
            </w:r>
          </w:p>
        </w:tc>
      </w:tr>
      <w:tr w:rsidTr="0076578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UEGNSG128A</w:t>
            </w:r>
          </w:p>
        </w:tc>
        <w:tc>
          <w:tcPr>
            <w:tcW w:w="495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Establish a transmission pipeline construction work site</w:t>
            </w:r>
          </w:p>
        </w:tc>
      </w:tr>
    </w:tbl>
    <w:p w:rsidR="0076578D" w:rsidP="00A73610">
      <w:pPr>
        <w:pStyle w:val="BodyText"/>
      </w:pPr>
    </w:p>
    <w:p w:rsidR="0076578D" w:rsidP="00A73610">
      <w:pPr>
        <w:pStyle w:val="BodyText"/>
      </w:pPr>
    </w:p>
    <w:p w:rsidR="00000000" w:rsidRPr="00A73610" w:rsidP="00A73610">
      <w:pPr>
        <w:pStyle w:val="Heading1"/>
      </w:pPr>
      <w:bookmarkStart w:id="11" w:name="O_402565"/>
      <w:bookmarkEnd w:id="11"/>
      <w:r w:rsidRPr="00A73610">
        <w:t>Range Statement</w:t>
      </w:r>
    </w:p>
    <w:tbl>
      <w:tblPr>
        <w:tblW w:w="0" w:type="auto"/>
        <w:tblLayout w:type="fixed"/>
        <w:tblCellMar>
          <w:left w:w="62" w:type="dxa"/>
          <w:right w:w="62" w:type="dxa"/>
        </w:tblCellMar>
        <w:tblLook w:val="0000"/>
      </w:tblPr>
      <w:tblGrid>
        <w:gridCol w:w="8460"/>
      </w:tblGrid>
      <w:tr w:rsidTr="007657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RANGE STATEMENT</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10)</w:t>
            </w:r>
            <w:r w:rsidRPr="00A73610">
              <w:t xml:space="preserve"> This relates to the competency standard unit as a whole providing the range of contexts and conditions to which the Performance Criteria apply. It allows for different work environments and situations that will affect performance.</w:t>
            </w:r>
          </w:p>
        </w:tc>
      </w:tr>
      <w:tr w:rsidTr="0076578D">
        <w:tblPrEx>
          <w:tblW w:w="0" w:type="auto"/>
          <w:tblLayout w:type="fixed"/>
          <w:tblCellMar>
            <w:left w:w="62" w:type="dxa"/>
            <w:right w:w="62" w:type="dxa"/>
          </w:tblCellMar>
          <w:tblLook w:val="0000"/>
        </w:tblPrEx>
        <w:trPr>
          <w:trHeight w:val="253"/>
        </w:trPr>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This Unit shall be demonstrated in relation to maintaining pipeline easements</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The following constants and variables included in the element/Performance Criteria in this unit are fully described in the Definitions Section of this volume and form an integra</w:t>
            </w:r>
            <w:r w:rsidRPr="00A73610">
              <w:t>l part of the Range Statement of this unit:</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Access preparation</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Permit to Work</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Permit to Access Land</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Approval for construction</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Stake holder approvals</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t>Verification and identification of third party assets</w:t>
            </w:r>
          </w:p>
        </w:tc>
      </w:tr>
      <w:tr w:rsidTr="00765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Environmental and cultural heritage controls</w:t>
            </w:r>
          </w:p>
        </w:tc>
      </w:tr>
    </w:tbl>
    <w:p w:rsidR="00000000" w:rsidRPr="00A73610" w:rsidP="00A73610">
      <w:pPr>
        <w:pStyle w:val="BodyText"/>
      </w:pPr>
    </w:p>
    <w:p w:rsidR="00000000" w:rsidRPr="00A73610" w:rsidP="00A73610">
      <w:pPr>
        <w:pStyle w:val="AllowPageBreak"/>
      </w:pPr>
    </w:p>
    <w:p w:rsidR="00000000" w:rsidRPr="00A73610" w:rsidP="00A73610">
      <w:pPr>
        <w:pStyle w:val="Heading1"/>
      </w:pPr>
      <w:bookmarkStart w:id="12" w:name="O_402568"/>
      <w:bookmarkEnd w:id="12"/>
      <w:r w:rsidRPr="00A73610">
        <w:t>Unit Sector(s)</w:t>
      </w:r>
    </w:p>
    <w:p w:rsidR="00000000" w:rsidRPr="00A73610" w:rsidP="00A73610">
      <w:pPr>
        <w:pStyle w:val="BodyText"/>
      </w:pPr>
      <w:r w:rsidRPr="00A73610">
        <w:t>Not applicable.</w:t>
      </w:r>
    </w:p>
    <w:p w:rsidR="00000000" w:rsidRPr="00A73610" w:rsidP="00A73610">
      <w:pPr>
        <w:pStyle w:val="AllowPageBreak"/>
      </w:pPr>
    </w:p>
    <w:p w:rsidR="00000000" w:rsidRPr="00A73610" w:rsidP="00A73610">
      <w:pPr>
        <w:pStyle w:val="Heading1"/>
      </w:pPr>
      <w:bookmarkStart w:id="13" w:name="O_402557"/>
      <w:bookmarkEnd w:id="13"/>
      <w:r w:rsidRPr="00A73610">
        <w:t>Competency Field</w:t>
      </w:r>
    </w:p>
    <w:tbl>
      <w:tblPr>
        <w:tblW w:w="0" w:type="auto"/>
        <w:tblLayout w:type="fixed"/>
        <w:tblCellMar>
          <w:left w:w="62" w:type="dxa"/>
          <w:right w:w="62" w:type="dxa"/>
        </w:tblCellMar>
        <w:tblLook w:val="0000"/>
      </w:tblPr>
      <w:tblGrid>
        <w:gridCol w:w="2700"/>
        <w:gridCol w:w="5760"/>
      </w:tblGrid>
      <w:tr w:rsidTr="00765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3610">
            <w:pPr>
              <w:pStyle w:val="BodyText"/>
              <w:rPr>
                <w:lang w:val="en-NZ"/>
              </w:rPr>
            </w:pPr>
            <w:r w:rsidRPr="00A73610">
              <w:rPr>
                <w:rStyle w:val="SpecialBold"/>
              </w:rPr>
              <w:t xml:space="preserve">11) </w:t>
            </w:r>
          </w:p>
        </w:tc>
      </w:tr>
      <w:tr w:rsidTr="00765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610" w:rsidP="00A73610">
            <w:pPr>
              <w:pStyle w:val="BodyText"/>
            </w:pPr>
            <w:r w:rsidRPr="00A73610">
              <w:t>Transmission discipline.</w:t>
            </w:r>
          </w:p>
        </w:tc>
      </w:tr>
    </w:tbl>
    <w:p w:rsidR="00000000" w:rsidRPr="00A73610" w:rsidP="00A73610">
      <w:pPr>
        <w:pStyle w:val="BodyText"/>
      </w:pPr>
    </w:p>
    <w:p w:rsidR="00000000" w:rsidRPr="00A73610" w:rsidP="00A73610"/>
    <w:sectPr w:rsidSect="00A73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78D" w:rsidP="007657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8D" w:rsidP="00A736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6578D" w:rsidP="00A736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578D" w:rsidP="00A736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10" w:rsidRPr="0076578D" w:rsidP="007657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8D" w:rsidRPr="002D2AF8" w:rsidP="00A73610">
    <w:pPr>
      <w:pStyle w:val="Header"/>
      <w:framePr w:wrap="around"/>
    </w:pPr>
    <w:r>
      <w:fldChar w:fldCharType="begin"/>
    </w:r>
    <w:r>
      <w:instrText xml:space="preserve"> TITLE   \* MERGEFORMAT </w:instrText>
    </w:r>
    <w:r>
      <w:fldChar w:fldCharType="separate"/>
    </w:r>
    <w:r>
      <w:t>UEGNSG320A Establish right of way access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6578D" w:rsidP="00A73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C0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81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C9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610"/>
    <w:pPr>
      <w:spacing w:before="360" w:after="60"/>
      <w:outlineLvl w:val="0"/>
    </w:pPr>
    <w:rPr>
      <w:sz w:val="32"/>
    </w:rPr>
  </w:style>
  <w:style w:type="paragraph" w:styleId="Heading2">
    <w:name w:val="heading 2"/>
    <w:basedOn w:val="HeadingBase"/>
    <w:next w:val="BodyText"/>
    <w:link w:val="Heading2Char"/>
    <w:qFormat/>
    <w:rsid w:val="00A73610"/>
    <w:pPr>
      <w:keepLines/>
      <w:spacing w:before="240" w:after="120"/>
      <w:outlineLvl w:val="1"/>
    </w:pPr>
    <w:rPr>
      <w:sz w:val="28"/>
      <w:szCs w:val="40"/>
    </w:rPr>
  </w:style>
  <w:style w:type="paragraph" w:styleId="Heading3">
    <w:name w:val="heading 3"/>
    <w:basedOn w:val="HeadingBase"/>
    <w:next w:val="BodyText"/>
    <w:link w:val="Heading3Char"/>
    <w:qFormat/>
    <w:rsid w:val="00A73610"/>
    <w:pPr>
      <w:spacing w:before="180" w:after="120"/>
      <w:outlineLvl w:val="2"/>
    </w:pPr>
    <w:rPr>
      <w:spacing w:val="-10"/>
      <w:kern w:val="32"/>
    </w:rPr>
  </w:style>
  <w:style w:type="paragraph" w:styleId="Heading4">
    <w:name w:val="heading 4"/>
    <w:basedOn w:val="HeadingBase"/>
    <w:next w:val="BodyText"/>
    <w:link w:val="Heading4Char"/>
    <w:qFormat/>
    <w:rsid w:val="00A73610"/>
    <w:pPr>
      <w:spacing w:before="160" w:after="120"/>
      <w:outlineLvl w:val="3"/>
    </w:pPr>
    <w:rPr>
      <w:sz w:val="22"/>
    </w:rPr>
  </w:style>
  <w:style w:type="paragraph" w:styleId="Heading5">
    <w:name w:val="heading 5"/>
    <w:basedOn w:val="HeadingBase"/>
    <w:next w:val="Normal"/>
    <w:link w:val="Heading5Char"/>
    <w:qFormat/>
    <w:rsid w:val="00A73610"/>
    <w:pPr>
      <w:spacing w:before="80"/>
      <w:outlineLvl w:val="4"/>
    </w:pPr>
    <w:rPr>
      <w:color w:val="918585"/>
      <w:sz w:val="20"/>
    </w:rPr>
  </w:style>
  <w:style w:type="paragraph" w:styleId="Heading6">
    <w:name w:val="heading 6"/>
    <w:basedOn w:val="HeadingBase"/>
    <w:next w:val="Normal"/>
    <w:link w:val="Heading6Char"/>
    <w:qFormat/>
    <w:rsid w:val="00A73610"/>
    <w:pPr>
      <w:spacing w:before="60"/>
      <w:outlineLvl w:val="5"/>
    </w:pPr>
    <w:rPr>
      <w:color w:val="918585"/>
      <w:sz w:val="20"/>
    </w:rPr>
  </w:style>
  <w:style w:type="paragraph" w:styleId="Heading7">
    <w:name w:val="heading 7"/>
    <w:basedOn w:val="Normal"/>
    <w:next w:val="Normal"/>
    <w:link w:val="Heading7Char"/>
    <w:qFormat/>
    <w:rsid w:val="00A73610"/>
    <w:pPr>
      <w:ind w:left="720"/>
      <w:outlineLvl w:val="6"/>
    </w:pPr>
    <w:rPr>
      <w:i/>
    </w:rPr>
  </w:style>
  <w:style w:type="paragraph" w:styleId="Heading8">
    <w:name w:val="heading 8"/>
    <w:basedOn w:val="Normal"/>
    <w:next w:val="Normal"/>
    <w:link w:val="Heading8Char"/>
    <w:qFormat/>
    <w:rsid w:val="00A73610"/>
    <w:pPr>
      <w:ind w:left="720"/>
      <w:outlineLvl w:val="7"/>
    </w:pPr>
    <w:rPr>
      <w:i/>
    </w:rPr>
  </w:style>
  <w:style w:type="paragraph" w:styleId="Heading9">
    <w:name w:val="heading 9"/>
    <w:basedOn w:val="Normal"/>
    <w:next w:val="Normal"/>
    <w:link w:val="Heading9Char"/>
    <w:qFormat/>
    <w:rsid w:val="00A73610"/>
    <w:pPr>
      <w:ind w:left="720"/>
      <w:outlineLvl w:val="8"/>
    </w:pPr>
    <w:rPr>
      <w:i/>
    </w:rPr>
  </w:style>
  <w:style w:type="character" w:default="1" w:styleId="DefaultParagraphFont">
    <w:name w:val="Default Paragraph Font"/>
    <w:uiPriority w:val="1"/>
    <w:unhideWhenUsed/>
    <w:rsid w:val="00A73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610"/>
  </w:style>
  <w:style w:type="character" w:customStyle="1" w:styleId="Heading1Char">
    <w:name w:val="Heading 1 Char"/>
    <w:basedOn w:val="DefaultParagraphFont"/>
    <w:link w:val="Heading1"/>
    <w:rsid w:val="00A73610"/>
    <w:rPr>
      <w:rFonts w:ascii="Times New Roman" w:eastAsia="Times New Roman" w:hAnsi="Times New Roman" w:cs="Times New Roman"/>
      <w:b/>
      <w:sz w:val="32"/>
      <w:szCs w:val="20"/>
      <w:lang w:eastAsia="en-US"/>
    </w:rPr>
  </w:style>
  <w:style w:type="paragraph" w:styleId="BodyText">
    <w:name w:val="Body Text"/>
    <w:basedOn w:val="Normal"/>
    <w:link w:val="BodyTextChar"/>
    <w:rsid w:val="00A736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610"/>
    <w:rPr>
      <w:rFonts w:ascii="Times New Roman" w:eastAsia="Times New Roman" w:hAnsi="Times New Roman" w:cs="Times New Roman"/>
      <w:sz w:val="24"/>
      <w:lang w:eastAsia="en-US"/>
    </w:rPr>
  </w:style>
  <w:style w:type="paragraph" w:styleId="Footer">
    <w:name w:val="footer"/>
    <w:basedOn w:val="Normal"/>
    <w:link w:val="FooterChar"/>
    <w:rsid w:val="00A73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610"/>
    <w:rPr>
      <w:rFonts w:ascii="Times New Roman" w:eastAsia="Times New Roman" w:hAnsi="Times New Roman" w:cs="Times New Roman"/>
      <w:sz w:val="16"/>
      <w:lang w:eastAsia="en-US"/>
    </w:rPr>
  </w:style>
  <w:style w:type="paragraph" w:styleId="ListBullet">
    <w:name w:val="List Bullet"/>
    <w:basedOn w:val="List"/>
    <w:rsid w:val="00A73610"/>
    <w:pPr>
      <w:numPr>
        <w:numId w:val="13"/>
      </w:numPr>
      <w:tabs>
        <w:tab w:val="clear" w:pos="340"/>
      </w:tabs>
      <w:spacing w:before="40" w:after="40"/>
    </w:pPr>
  </w:style>
  <w:style w:type="character" w:customStyle="1" w:styleId="SpecialBold">
    <w:name w:val="Special Bold"/>
    <w:basedOn w:val="DefaultParagraphFont"/>
    <w:rsid w:val="00A73610"/>
    <w:rPr>
      <w:b/>
      <w:spacing w:val="0"/>
    </w:rPr>
  </w:style>
  <w:style w:type="paragraph" w:styleId="ListBullet2">
    <w:name w:val="List Bullet 2"/>
    <w:basedOn w:val="List2"/>
    <w:rsid w:val="00A73610"/>
    <w:pPr>
      <w:numPr>
        <w:numId w:val="14"/>
      </w:numPr>
      <w:tabs>
        <w:tab w:val="clear" w:pos="680"/>
      </w:tabs>
    </w:pPr>
  </w:style>
  <w:style w:type="paragraph" w:customStyle="1" w:styleId="SuperHeading">
    <w:name w:val="SuperHeading"/>
    <w:basedOn w:val="Normal"/>
    <w:rsid w:val="00A73610"/>
    <w:pPr>
      <w:spacing w:before="240" w:after="120"/>
      <w:outlineLvl w:val="0"/>
    </w:pPr>
    <w:rPr>
      <w:rFonts w:ascii="Times New Roman" w:hAnsi="Times New Roman"/>
      <w:b/>
      <w:sz w:val="28"/>
    </w:rPr>
  </w:style>
  <w:style w:type="paragraph" w:customStyle="1" w:styleId="AllowPageBreak">
    <w:name w:val="AllowPageBreak"/>
    <w:rsid w:val="00A73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610"/>
    <w:rPr>
      <w:rFonts w:ascii="Courier New" w:eastAsia="Times New Roman" w:hAnsi="Courier New" w:cs="Times New Roman"/>
      <w:i/>
      <w:szCs w:val="20"/>
      <w:lang w:eastAsia="en-US"/>
    </w:rPr>
  </w:style>
  <w:style w:type="paragraph" w:customStyle="1" w:styleId="HeadingBase">
    <w:name w:val="Heading Base"/>
    <w:rsid w:val="00A73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610"/>
    <w:pPr>
      <w:tabs>
        <w:tab w:val="right" w:leader="dot" w:pos="9072"/>
      </w:tabs>
      <w:ind w:left="567"/>
    </w:pPr>
    <w:rPr>
      <w:szCs w:val="22"/>
    </w:rPr>
  </w:style>
  <w:style w:type="paragraph" w:customStyle="1" w:styleId="TOCBase">
    <w:name w:val="TOC Base"/>
    <w:rsid w:val="00A73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610"/>
    <w:pPr>
      <w:tabs>
        <w:tab w:val="right" w:leader="dot" w:pos="9072"/>
      </w:tabs>
      <w:spacing w:before="40" w:after="40"/>
      <w:ind w:left="284"/>
    </w:pPr>
    <w:rPr>
      <w:rFonts w:ascii="Times New Roman" w:hAnsi="Times New Roman"/>
    </w:rPr>
  </w:style>
  <w:style w:type="paragraph" w:styleId="TOC1">
    <w:name w:val="toc 1"/>
    <w:basedOn w:val="TOCBase"/>
    <w:next w:val="Normal"/>
    <w:rsid w:val="00A736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610"/>
    <w:pPr>
      <w:spacing w:before="5040"/>
      <w:jc w:val="center"/>
    </w:pPr>
    <w:rPr>
      <w:sz w:val="48"/>
      <w:szCs w:val="72"/>
      <w:lang w:val="en-US"/>
    </w:rPr>
  </w:style>
  <w:style w:type="character" w:customStyle="1" w:styleId="TitleChar">
    <w:name w:val="Title Char"/>
    <w:basedOn w:val="DefaultParagraphFont"/>
    <w:link w:val="Title"/>
    <w:rsid w:val="00A73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610"/>
    <w:pPr>
      <w:tabs>
        <w:tab w:val="left" w:pos="3600"/>
        <w:tab w:val="left" w:pos="3958"/>
      </w:tabs>
    </w:pPr>
  </w:style>
  <w:style w:type="paragraph" w:styleId="List">
    <w:name w:val="List"/>
    <w:basedOn w:val="BodyText"/>
    <w:next w:val="BodyText"/>
    <w:rsid w:val="00A73610"/>
    <w:pPr>
      <w:tabs>
        <w:tab w:val="left" w:pos="340"/>
      </w:tabs>
      <w:spacing w:before="60" w:after="60"/>
      <w:ind w:left="340" w:hanging="340"/>
    </w:pPr>
  </w:style>
  <w:style w:type="paragraph" w:customStyle="1" w:styleId="Note">
    <w:name w:val="Note"/>
    <w:basedOn w:val="BodyText"/>
    <w:rsid w:val="00A73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610"/>
    <w:pPr>
      <w:framePr w:wrap="auto" w:hAnchor="text" w:y="6049"/>
    </w:pPr>
    <w:rPr>
      <w:color w:val="000000"/>
      <w:sz w:val="40"/>
    </w:rPr>
  </w:style>
  <w:style w:type="paragraph" w:customStyle="1" w:styleId="TOCTitle">
    <w:name w:val="TOCTitle"/>
    <w:basedOn w:val="Heading1"/>
    <w:rsid w:val="00A73610"/>
    <w:pPr>
      <w:spacing w:after="240"/>
      <w:jc w:val="center"/>
      <w:outlineLvl w:val="9"/>
    </w:pPr>
    <w:rPr>
      <w:caps/>
    </w:rPr>
  </w:style>
  <w:style w:type="paragraph" w:customStyle="1" w:styleId="Version">
    <w:name w:val="Version"/>
    <w:rsid w:val="00A73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610"/>
    <w:pPr>
      <w:keepNext w:val="0"/>
      <w:tabs>
        <w:tab w:val="right" w:pos="4176"/>
      </w:tabs>
      <w:ind w:left="198" w:hanging="198"/>
    </w:pPr>
    <w:rPr>
      <w:rFonts w:ascii="Garamond" w:hAnsi="Garamond"/>
    </w:rPr>
  </w:style>
  <w:style w:type="paragraph" w:styleId="IndexHeading">
    <w:name w:val="index heading"/>
    <w:basedOn w:val="Normal"/>
    <w:next w:val="Index1"/>
    <w:semiHidden/>
    <w:rsid w:val="00A73610"/>
    <w:pPr>
      <w:spacing w:before="120" w:after="120"/>
    </w:pPr>
    <w:rPr>
      <w:rFonts w:ascii="Arial" w:hAnsi="Arial"/>
      <w:b/>
      <w:color w:val="918585"/>
      <w:sz w:val="24"/>
    </w:rPr>
  </w:style>
  <w:style w:type="paragraph" w:styleId="Header">
    <w:name w:val="header"/>
    <w:basedOn w:val="Normal"/>
    <w:link w:val="HeaderChar"/>
    <w:rsid w:val="00A73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610"/>
    <w:rPr>
      <w:rFonts w:ascii="Times New Roman" w:eastAsia="Times New Roman" w:hAnsi="Times New Roman" w:cs="Times New Roman"/>
      <w:sz w:val="16"/>
      <w:szCs w:val="20"/>
      <w:lang w:val="en-GB" w:eastAsia="en-US"/>
    </w:rPr>
  </w:style>
  <w:style w:type="paragraph" w:customStyle="1" w:styleId="Chapter">
    <w:name w:val="Chapter"/>
    <w:basedOn w:val="Normal"/>
    <w:rsid w:val="00A73610"/>
    <w:pPr>
      <w:spacing w:before="240"/>
    </w:pPr>
    <w:rPr>
      <w:rFonts w:ascii="Times New Roman" w:hAnsi="Times New Roman"/>
      <w:smallCaps/>
      <w:spacing w:val="80"/>
      <w:sz w:val="28"/>
    </w:rPr>
  </w:style>
  <w:style w:type="paragraph" w:customStyle="1" w:styleId="InChapter">
    <w:name w:val="InChapter"/>
    <w:basedOn w:val="Heading3"/>
    <w:rsid w:val="00A73610"/>
    <w:pPr>
      <w:spacing w:after="240"/>
      <w:outlineLvl w:val="9"/>
    </w:pPr>
    <w:rPr>
      <w:noProof/>
    </w:rPr>
  </w:style>
  <w:style w:type="paragraph" w:styleId="Index2">
    <w:name w:val="index 2"/>
    <w:basedOn w:val="Normal"/>
    <w:next w:val="Normal"/>
    <w:semiHidden/>
    <w:rsid w:val="00A73610"/>
    <w:pPr>
      <w:tabs>
        <w:tab w:val="right" w:pos="4176"/>
      </w:tabs>
      <w:ind w:left="568" w:hanging="284"/>
    </w:pPr>
    <w:rPr>
      <w:rFonts w:ascii="Garamond" w:hAnsi="Garamond"/>
    </w:rPr>
  </w:style>
  <w:style w:type="paragraph" w:customStyle="1" w:styleId="Byline">
    <w:name w:val="Byline"/>
    <w:rsid w:val="00A73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610"/>
    <w:pPr>
      <w:tabs>
        <w:tab w:val="clear" w:pos="3600"/>
        <w:tab w:val="clear" w:pos="3958"/>
      </w:tabs>
      <w:jc w:val="right"/>
    </w:pPr>
  </w:style>
  <w:style w:type="character" w:styleId="Emphasis">
    <w:name w:val="Emphasis"/>
    <w:basedOn w:val="DefaultParagraphFont"/>
    <w:qFormat/>
    <w:rsid w:val="00A73610"/>
    <w:rPr>
      <w:i/>
    </w:rPr>
  </w:style>
  <w:style w:type="paragraph" w:styleId="Caption">
    <w:name w:val="caption"/>
    <w:basedOn w:val="BodyText"/>
    <w:next w:val="Normal"/>
    <w:qFormat/>
    <w:rsid w:val="00A73610"/>
    <w:pPr>
      <w:framePr w:w="2268" w:hSpace="181" w:vSpace="181" w:wrap="around" w:vAnchor="text" w:hAnchor="page" w:x="1135" w:y="285" w:anchorLock="1"/>
    </w:pPr>
    <w:rPr>
      <w:i/>
    </w:rPr>
  </w:style>
  <w:style w:type="paragraph" w:customStyle="1" w:styleId="MiniTOCTitle">
    <w:name w:val="MiniTOCTitle"/>
    <w:basedOn w:val="Heading4"/>
    <w:rsid w:val="00A73610"/>
    <w:pPr>
      <w:spacing w:before="240"/>
      <w:outlineLvl w:val="9"/>
    </w:pPr>
    <w:rPr>
      <w:noProof/>
      <w:sz w:val="24"/>
    </w:rPr>
  </w:style>
  <w:style w:type="paragraph" w:customStyle="1" w:styleId="MiniTOCItem">
    <w:name w:val="MiniTOCItem"/>
    <w:basedOn w:val="ListBullet"/>
    <w:rsid w:val="00A73610"/>
    <w:pPr>
      <w:numPr>
        <w:numId w:val="0"/>
      </w:numPr>
      <w:tabs>
        <w:tab w:val="right" w:leader="dot" w:pos="6521"/>
      </w:tabs>
      <w:spacing w:before="0" w:after="0"/>
    </w:pPr>
  </w:style>
  <w:style w:type="paragraph" w:customStyle="1" w:styleId="TOFTitle">
    <w:name w:val="TOFTitle"/>
    <w:basedOn w:val="TOCTitle"/>
    <w:rsid w:val="00A73610"/>
  </w:style>
  <w:style w:type="paragraph" w:styleId="TableofFigures">
    <w:name w:val="table of figures"/>
    <w:basedOn w:val="Normal"/>
    <w:next w:val="Normal"/>
    <w:semiHidden/>
    <w:rsid w:val="00A73610"/>
    <w:pPr>
      <w:tabs>
        <w:tab w:val="right" w:leader="dot" w:pos="9072"/>
      </w:tabs>
      <w:ind w:left="970" w:hanging="403"/>
    </w:pPr>
    <w:rPr>
      <w:rFonts w:ascii="Times New Roman" w:hAnsi="Times New Roman"/>
      <w:b/>
    </w:rPr>
  </w:style>
  <w:style w:type="paragraph" w:styleId="ListNumber">
    <w:name w:val="List Number"/>
    <w:basedOn w:val="List"/>
    <w:rsid w:val="00A73610"/>
    <w:pPr>
      <w:numPr>
        <w:numId w:val="11"/>
      </w:numPr>
    </w:pPr>
  </w:style>
  <w:style w:type="character" w:customStyle="1" w:styleId="WingdingSymbols">
    <w:name w:val="Wingding Symbols"/>
    <w:rsid w:val="00A73610"/>
    <w:rPr>
      <w:rFonts w:ascii="Wingdings" w:hAnsi="Wingdings"/>
    </w:rPr>
  </w:style>
  <w:style w:type="paragraph" w:customStyle="1" w:styleId="TableHeading">
    <w:name w:val="Table Heading"/>
    <w:basedOn w:val="HeadingBase"/>
    <w:rsid w:val="00A73610"/>
    <w:pPr>
      <w:keepLines/>
      <w:pBdr>
        <w:bottom w:val="single" w:sz="6" w:space="1" w:color="918585"/>
      </w:pBdr>
      <w:spacing w:before="240"/>
    </w:pPr>
  </w:style>
  <w:style w:type="character" w:customStyle="1" w:styleId="HotSpot">
    <w:name w:val="HotSpot"/>
    <w:rsid w:val="00A73610"/>
    <w:rPr>
      <w:color w:val="0033CC"/>
      <w:u w:val="none"/>
    </w:rPr>
  </w:style>
  <w:style w:type="paragraph" w:customStyle="1" w:styleId="BodyTextRight">
    <w:name w:val="Body Text Right"/>
    <w:basedOn w:val="BodyText"/>
    <w:rsid w:val="00A73610"/>
    <w:pPr>
      <w:spacing w:before="0" w:after="0"/>
      <w:jc w:val="right"/>
    </w:pPr>
  </w:style>
  <w:style w:type="paragraph" w:styleId="Index3">
    <w:name w:val="index 3"/>
    <w:basedOn w:val="ListNumber2"/>
    <w:next w:val="Normal"/>
    <w:semiHidden/>
    <w:rsid w:val="00A73610"/>
    <w:pPr>
      <w:numPr>
        <w:numId w:val="0"/>
      </w:numPr>
      <w:tabs>
        <w:tab w:val="right" w:leader="dot" w:pos="4176"/>
      </w:tabs>
    </w:pPr>
  </w:style>
  <w:style w:type="paragraph" w:styleId="ListNumber2">
    <w:name w:val="List Number 2"/>
    <w:basedOn w:val="List2"/>
    <w:rsid w:val="00A73610"/>
    <w:pPr>
      <w:numPr>
        <w:numId w:val="10"/>
      </w:numPr>
      <w:tabs>
        <w:tab w:val="clear" w:pos="1060"/>
      </w:tabs>
    </w:pPr>
  </w:style>
  <w:style w:type="paragraph" w:customStyle="1" w:styleId="MarginNote">
    <w:name w:val="Margin Note"/>
    <w:basedOn w:val="BodyText"/>
    <w:rsid w:val="00A73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610"/>
    <w:rPr>
      <w:sz w:val="32"/>
    </w:rPr>
  </w:style>
  <w:style w:type="paragraph" w:customStyle="1" w:styleId="HeadingProcedure">
    <w:name w:val="Heading Procedure"/>
    <w:basedOn w:val="HeadingBase"/>
    <w:next w:val="Normal"/>
    <w:rsid w:val="00A73610"/>
    <w:pPr>
      <w:tabs>
        <w:tab w:val="left" w:pos="0"/>
      </w:tabs>
      <w:spacing w:before="120" w:after="60"/>
    </w:pPr>
    <w:rPr>
      <w:i/>
      <w:color w:val="918585"/>
      <w:sz w:val="22"/>
    </w:rPr>
  </w:style>
  <w:style w:type="paragraph" w:customStyle="1" w:styleId="TableBodyText">
    <w:name w:val="Table Body Text"/>
    <w:basedOn w:val="BodyText"/>
    <w:rsid w:val="00A73610"/>
    <w:pPr>
      <w:spacing w:before="60" w:after="60"/>
    </w:pPr>
  </w:style>
  <w:style w:type="paragraph" w:styleId="ListContinue">
    <w:name w:val="List Continue"/>
    <w:basedOn w:val="List"/>
    <w:rsid w:val="00A73610"/>
    <w:pPr>
      <w:ind w:firstLine="0"/>
    </w:pPr>
  </w:style>
  <w:style w:type="paragraph" w:customStyle="1" w:styleId="ListNote">
    <w:name w:val="List Note"/>
    <w:basedOn w:val="List"/>
    <w:rsid w:val="00A73610"/>
    <w:pPr>
      <w:pBdr>
        <w:top w:val="single" w:sz="6" w:space="2" w:color="918585"/>
        <w:bottom w:val="single" w:sz="6" w:space="2" w:color="918585"/>
      </w:pBdr>
      <w:tabs>
        <w:tab w:val="left" w:pos="1021"/>
      </w:tabs>
      <w:ind w:firstLine="0"/>
    </w:pPr>
  </w:style>
  <w:style w:type="paragraph" w:customStyle="1" w:styleId="Warning">
    <w:name w:val="Warning"/>
    <w:basedOn w:val="BodyText"/>
    <w:rsid w:val="00A73610"/>
    <w:pPr>
      <w:shd w:val="clear" w:color="auto" w:fill="D9D9D9"/>
      <w:tabs>
        <w:tab w:val="left" w:pos="992"/>
      </w:tabs>
      <w:ind w:left="119" w:right="119"/>
    </w:pPr>
    <w:rPr>
      <w:sz w:val="20"/>
    </w:rPr>
  </w:style>
  <w:style w:type="paragraph" w:customStyle="1" w:styleId="MarginIcons">
    <w:name w:val="Margin Icons"/>
    <w:basedOn w:val="BodyText"/>
    <w:rsid w:val="00A73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610"/>
    <w:rPr>
      <w:rFonts w:ascii="Courier New" w:hAnsi="Courier New"/>
    </w:rPr>
  </w:style>
  <w:style w:type="paragraph" w:customStyle="1" w:styleId="NoteBullet">
    <w:name w:val="Note Bullet"/>
    <w:basedOn w:val="Note"/>
    <w:rsid w:val="00A73610"/>
    <w:pPr>
      <w:tabs>
        <w:tab w:val="clear" w:pos="680"/>
      </w:tabs>
      <w:spacing w:before="60" w:after="60"/>
    </w:pPr>
  </w:style>
  <w:style w:type="paragraph" w:customStyle="1" w:styleId="SubHeading2">
    <w:name w:val="SubHeading2"/>
    <w:basedOn w:val="HeadingBase"/>
    <w:rsid w:val="00A73610"/>
    <w:pPr>
      <w:spacing w:before="240" w:after="60"/>
    </w:pPr>
    <w:rPr>
      <w:sz w:val="20"/>
    </w:rPr>
  </w:style>
  <w:style w:type="paragraph" w:customStyle="1" w:styleId="SubHeading1">
    <w:name w:val="SubHeading1"/>
    <w:basedOn w:val="HeadingBase"/>
    <w:rsid w:val="00A73610"/>
    <w:pPr>
      <w:spacing w:before="240" w:after="60"/>
    </w:pPr>
    <w:rPr>
      <w:color w:val="918585"/>
      <w:sz w:val="22"/>
    </w:rPr>
  </w:style>
  <w:style w:type="paragraph" w:customStyle="1" w:styleId="SideHeading">
    <w:name w:val="Side Heading"/>
    <w:basedOn w:val="HeadingBase"/>
    <w:rsid w:val="00A73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610"/>
    <w:pPr>
      <w:numPr>
        <w:numId w:val="12"/>
      </w:numPr>
    </w:pPr>
  </w:style>
  <w:style w:type="paragraph" w:styleId="PlainText">
    <w:name w:val="Plain Text"/>
    <w:basedOn w:val="Normal"/>
    <w:link w:val="PlainTextChar"/>
    <w:rsid w:val="00A73610"/>
    <w:rPr>
      <w:sz w:val="20"/>
    </w:rPr>
  </w:style>
  <w:style w:type="character" w:customStyle="1" w:styleId="PlainTextChar">
    <w:name w:val="Plain Text Char"/>
    <w:basedOn w:val="DefaultParagraphFont"/>
    <w:link w:val="PlainText"/>
    <w:rsid w:val="00A73610"/>
    <w:rPr>
      <w:rFonts w:ascii="Courier New" w:eastAsia="Times New Roman" w:hAnsi="Courier New" w:cs="Times New Roman"/>
      <w:sz w:val="20"/>
      <w:szCs w:val="20"/>
      <w:lang w:eastAsia="en-US"/>
    </w:rPr>
  </w:style>
  <w:style w:type="character" w:customStyle="1" w:styleId="MenuOption">
    <w:name w:val="Menu Option"/>
    <w:basedOn w:val="DefaultParagraphFont"/>
    <w:rsid w:val="00A73610"/>
    <w:rPr>
      <w:b/>
      <w:smallCaps/>
    </w:rPr>
  </w:style>
  <w:style w:type="paragraph" w:customStyle="1" w:styleId="TableListNumber">
    <w:name w:val="Table List Number"/>
    <w:basedOn w:val="ListNumber"/>
    <w:rsid w:val="00A73610"/>
    <w:pPr>
      <w:numPr>
        <w:numId w:val="0"/>
      </w:numPr>
    </w:pPr>
  </w:style>
  <w:style w:type="paragraph" w:styleId="TOC4">
    <w:name w:val="toc 4"/>
    <w:basedOn w:val="TOCBase"/>
    <w:next w:val="Normal"/>
    <w:semiHidden/>
    <w:rsid w:val="00A73610"/>
    <w:pPr>
      <w:tabs>
        <w:tab w:val="right" w:leader="dot" w:pos="9071"/>
      </w:tabs>
      <w:ind w:left="1701"/>
    </w:pPr>
  </w:style>
  <w:style w:type="paragraph" w:customStyle="1" w:styleId="ListAlpha">
    <w:name w:val="List Alpha"/>
    <w:basedOn w:val="List"/>
    <w:rsid w:val="00A73610"/>
    <w:pPr>
      <w:numPr>
        <w:numId w:val="9"/>
      </w:numPr>
    </w:pPr>
  </w:style>
  <w:style w:type="paragraph" w:customStyle="1" w:styleId="ListAlpha2">
    <w:name w:val="List Alpha 2"/>
    <w:basedOn w:val="List2"/>
    <w:rsid w:val="00A73610"/>
    <w:pPr>
      <w:numPr>
        <w:numId w:val="8"/>
      </w:numPr>
    </w:pPr>
  </w:style>
  <w:style w:type="paragraph" w:styleId="List2">
    <w:name w:val="List 2"/>
    <w:basedOn w:val="BodyText"/>
    <w:rsid w:val="00A73610"/>
    <w:pPr>
      <w:tabs>
        <w:tab w:val="left" w:pos="680"/>
      </w:tabs>
      <w:spacing w:before="60" w:after="60"/>
      <w:ind w:left="680" w:hanging="340"/>
    </w:pPr>
  </w:style>
  <w:style w:type="paragraph" w:styleId="List3">
    <w:name w:val="List 3"/>
    <w:basedOn w:val="BodyText"/>
    <w:rsid w:val="00A73610"/>
    <w:pPr>
      <w:tabs>
        <w:tab w:val="left" w:pos="1021"/>
      </w:tabs>
      <w:spacing w:before="60" w:after="60"/>
      <w:ind w:left="1020" w:hanging="340"/>
    </w:pPr>
  </w:style>
  <w:style w:type="paragraph" w:styleId="List4">
    <w:name w:val="List 4"/>
    <w:basedOn w:val="BodyText"/>
    <w:rsid w:val="00A73610"/>
    <w:pPr>
      <w:tabs>
        <w:tab w:val="left" w:pos="1361"/>
      </w:tabs>
      <w:spacing w:before="60" w:after="60"/>
      <w:ind w:left="1361" w:hanging="340"/>
    </w:pPr>
  </w:style>
  <w:style w:type="paragraph" w:styleId="List5">
    <w:name w:val="List 5"/>
    <w:basedOn w:val="BodyText"/>
    <w:rsid w:val="00A73610"/>
    <w:pPr>
      <w:tabs>
        <w:tab w:val="left" w:pos="1701"/>
      </w:tabs>
      <w:spacing w:before="60" w:after="60"/>
      <w:ind w:left="1701" w:hanging="340"/>
    </w:pPr>
  </w:style>
  <w:style w:type="paragraph" w:styleId="ListBullet3">
    <w:name w:val="List Bullet 3"/>
    <w:basedOn w:val="List3"/>
    <w:rsid w:val="00A73610"/>
    <w:pPr>
      <w:numPr>
        <w:numId w:val="15"/>
      </w:numPr>
      <w:tabs>
        <w:tab w:val="clear" w:pos="1021"/>
      </w:tabs>
      <w:ind w:left="1037" w:hanging="357"/>
    </w:pPr>
  </w:style>
  <w:style w:type="paragraph" w:styleId="ListBullet4">
    <w:name w:val="List Bullet 4"/>
    <w:basedOn w:val="List4"/>
    <w:rsid w:val="00A73610"/>
    <w:pPr>
      <w:numPr>
        <w:numId w:val="3"/>
      </w:numPr>
    </w:pPr>
  </w:style>
  <w:style w:type="paragraph" w:styleId="ListBullet5">
    <w:name w:val="List Bullet 5"/>
    <w:basedOn w:val="List5"/>
    <w:rsid w:val="00A73610"/>
    <w:pPr>
      <w:numPr>
        <w:numId w:val="4"/>
      </w:numPr>
    </w:pPr>
  </w:style>
  <w:style w:type="paragraph" w:styleId="ListContinue2">
    <w:name w:val="List Continue 2"/>
    <w:basedOn w:val="List2"/>
    <w:rsid w:val="00A73610"/>
    <w:pPr>
      <w:ind w:firstLine="0"/>
    </w:pPr>
  </w:style>
  <w:style w:type="paragraph" w:styleId="ListContinue3">
    <w:name w:val="List Continue 3"/>
    <w:basedOn w:val="List3"/>
    <w:rsid w:val="00A73610"/>
    <w:pPr>
      <w:ind w:left="1021" w:firstLine="0"/>
    </w:pPr>
  </w:style>
  <w:style w:type="paragraph" w:styleId="ListContinue4">
    <w:name w:val="List Continue 4"/>
    <w:basedOn w:val="List4"/>
    <w:rsid w:val="00A73610"/>
    <w:pPr>
      <w:ind w:firstLine="0"/>
    </w:pPr>
  </w:style>
  <w:style w:type="paragraph" w:styleId="ListContinue5">
    <w:name w:val="List Continue 5"/>
    <w:basedOn w:val="List5"/>
    <w:rsid w:val="00A73610"/>
    <w:pPr>
      <w:ind w:firstLine="0"/>
    </w:pPr>
  </w:style>
  <w:style w:type="paragraph" w:styleId="ListNumber3">
    <w:name w:val="List Number 3"/>
    <w:basedOn w:val="List3"/>
    <w:rsid w:val="00A73610"/>
    <w:pPr>
      <w:numPr>
        <w:numId w:val="5"/>
      </w:numPr>
    </w:pPr>
  </w:style>
  <w:style w:type="paragraph" w:styleId="ListNumber4">
    <w:name w:val="List Number 4"/>
    <w:basedOn w:val="List4"/>
    <w:rsid w:val="00A73610"/>
    <w:pPr>
      <w:numPr>
        <w:numId w:val="6"/>
      </w:numPr>
    </w:pPr>
  </w:style>
  <w:style w:type="paragraph" w:styleId="ListNumber5">
    <w:name w:val="List Number 5"/>
    <w:basedOn w:val="List5"/>
    <w:rsid w:val="00A73610"/>
    <w:pPr>
      <w:numPr>
        <w:numId w:val="7"/>
      </w:numPr>
    </w:pPr>
  </w:style>
  <w:style w:type="paragraph" w:styleId="BlockText">
    <w:name w:val="Block Text"/>
    <w:basedOn w:val="Normal"/>
    <w:rsid w:val="00A73610"/>
    <w:pPr>
      <w:spacing w:after="120"/>
      <w:ind w:left="1440" w:right="1440"/>
    </w:pPr>
  </w:style>
  <w:style w:type="character" w:customStyle="1" w:styleId="Subscript">
    <w:name w:val="Subscript"/>
    <w:basedOn w:val="DefaultParagraphFont"/>
    <w:rsid w:val="00A73610"/>
    <w:rPr>
      <w:sz w:val="16"/>
      <w:vertAlign w:val="subscript"/>
    </w:rPr>
  </w:style>
  <w:style w:type="character" w:customStyle="1" w:styleId="Superscript">
    <w:name w:val="Superscript"/>
    <w:basedOn w:val="DefaultParagraphFont"/>
    <w:rsid w:val="00A73610"/>
    <w:rPr>
      <w:sz w:val="16"/>
      <w:vertAlign w:val="superscript"/>
    </w:rPr>
  </w:style>
  <w:style w:type="character" w:customStyle="1" w:styleId="Symbols">
    <w:name w:val="Symbols"/>
    <w:basedOn w:val="DefaultParagraphFont"/>
    <w:rsid w:val="00A73610"/>
    <w:rPr>
      <w:rFonts w:ascii="Symbol" w:hAnsi="Symbol"/>
    </w:rPr>
  </w:style>
  <w:style w:type="character" w:customStyle="1" w:styleId="MenuOptions">
    <w:name w:val="Menu Options"/>
    <w:basedOn w:val="DefaultParagraphFont"/>
    <w:rsid w:val="00A73610"/>
    <w:rPr>
      <w:rFonts w:ascii="Arial Narrow" w:hAnsi="Arial Narrow"/>
      <w:smallCaps/>
    </w:rPr>
  </w:style>
  <w:style w:type="character" w:customStyle="1" w:styleId="Buttons">
    <w:name w:val="Buttons"/>
    <w:basedOn w:val="DefaultParagraphFont"/>
    <w:rsid w:val="00A73610"/>
    <w:rPr>
      <w:b/>
    </w:rPr>
  </w:style>
  <w:style w:type="character" w:customStyle="1" w:styleId="Underlined">
    <w:name w:val="Underlined"/>
    <w:basedOn w:val="DefaultParagraphFont"/>
    <w:rsid w:val="00A73610"/>
    <w:rPr>
      <w:u w:val="single"/>
    </w:rPr>
  </w:style>
  <w:style w:type="paragraph" w:customStyle="1" w:styleId="TableBodyTextRight">
    <w:name w:val="Table Body Text Right"/>
    <w:basedOn w:val="TableBodyText"/>
    <w:rsid w:val="00A73610"/>
    <w:pPr>
      <w:widowControl w:val="0"/>
      <w:autoSpaceDE w:val="0"/>
      <w:autoSpaceDN w:val="0"/>
      <w:adjustRightInd w:val="0"/>
      <w:jc w:val="right"/>
    </w:pPr>
    <w:rPr>
      <w:rFonts w:cs="Arial"/>
      <w:szCs w:val="18"/>
    </w:rPr>
  </w:style>
  <w:style w:type="paragraph" w:customStyle="1" w:styleId="CopyrightText">
    <w:name w:val="Copyright Text"/>
    <w:basedOn w:val="BodyText"/>
    <w:rsid w:val="00A73610"/>
    <w:rPr>
      <w:sz w:val="18"/>
    </w:rPr>
  </w:style>
  <w:style w:type="paragraph" w:customStyle="1" w:styleId="BodySmallRight">
    <w:name w:val="Body Small Right"/>
    <w:basedOn w:val="BodyTextRight"/>
    <w:rsid w:val="00A73610"/>
    <w:rPr>
      <w:sz w:val="18"/>
      <w:szCs w:val="18"/>
    </w:rPr>
  </w:style>
  <w:style w:type="paragraph" w:customStyle="1" w:styleId="MarginEdition">
    <w:name w:val="Margin Edition"/>
    <w:basedOn w:val="MarginNote"/>
    <w:rsid w:val="00A73610"/>
    <w:pPr>
      <w:spacing w:before="0" w:after="0"/>
    </w:pPr>
    <w:rPr>
      <w:rFonts w:ascii="Times New Roman" w:hAnsi="Times New Roman"/>
      <w:color w:val="999999"/>
    </w:rPr>
  </w:style>
  <w:style w:type="paragraph" w:customStyle="1" w:styleId="Spacer">
    <w:name w:val="Spacer"/>
    <w:basedOn w:val="Normal"/>
    <w:rsid w:val="00A73610"/>
    <w:rPr>
      <w:sz w:val="2"/>
      <w:szCs w:val="2"/>
    </w:rPr>
  </w:style>
  <w:style w:type="character" w:customStyle="1" w:styleId="Small">
    <w:name w:val="Small"/>
    <w:basedOn w:val="DefaultParagraphFont"/>
    <w:rsid w:val="00A73610"/>
    <w:rPr>
      <w:sz w:val="16"/>
    </w:rPr>
  </w:style>
  <w:style w:type="paragraph" w:customStyle="1" w:styleId="WideTable">
    <w:name w:val="Wide Table"/>
    <w:basedOn w:val="Normal"/>
    <w:rsid w:val="00A73610"/>
    <w:pPr>
      <w:ind w:left="-1418"/>
    </w:pPr>
    <w:rPr>
      <w:sz w:val="2"/>
      <w:szCs w:val="2"/>
    </w:rPr>
  </w:style>
  <w:style w:type="character" w:styleId="PageNumber">
    <w:name w:val="page number"/>
    <w:basedOn w:val="DefaultParagraphFont"/>
    <w:rsid w:val="00A73610"/>
  </w:style>
  <w:style w:type="paragraph" w:styleId="Quote">
    <w:name w:val="Quote"/>
    <w:basedOn w:val="Heading1"/>
    <w:link w:val="QuoteChar"/>
    <w:qFormat/>
    <w:rsid w:val="00A73610"/>
    <w:rPr>
      <w:b w:val="0"/>
      <w:sz w:val="72"/>
      <w:szCs w:val="72"/>
      <w:lang w:val="en-NZ"/>
    </w:rPr>
  </w:style>
  <w:style w:type="character" w:customStyle="1" w:styleId="QuoteChar">
    <w:name w:val="Quote Char"/>
    <w:basedOn w:val="DefaultParagraphFont"/>
    <w:link w:val="Quote"/>
    <w:rsid w:val="00A73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610"/>
    <w:pPr>
      <w:pageBreakBefore/>
    </w:pPr>
  </w:style>
  <w:style w:type="paragraph" w:customStyle="1" w:styleId="Border">
    <w:name w:val="Border"/>
    <w:basedOn w:val="Normal"/>
    <w:qFormat/>
    <w:rsid w:val="00A73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610"/>
    <w:rPr>
      <w:b/>
      <w:bCs/>
      <w:i/>
      <w:iCs/>
      <w:color w:val="auto"/>
    </w:rPr>
  </w:style>
  <w:style w:type="paragraph" w:styleId="IntenseQuote">
    <w:name w:val="Intense Quote"/>
    <w:basedOn w:val="Normal"/>
    <w:next w:val="Normal"/>
    <w:link w:val="IntenseQuoteChar"/>
    <w:uiPriority w:val="30"/>
    <w:qFormat/>
    <w:rsid w:val="00A73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610"/>
    <w:rPr>
      <w:smallCaps/>
      <w:color w:val="auto"/>
      <w:u w:val="single"/>
    </w:rPr>
  </w:style>
  <w:style w:type="character" w:styleId="IntenseReference">
    <w:name w:val="Intense Reference"/>
    <w:basedOn w:val="DefaultParagraphFont"/>
    <w:uiPriority w:val="32"/>
    <w:qFormat/>
    <w:rsid w:val="00A73610"/>
    <w:rPr>
      <w:b/>
      <w:bCs/>
      <w:smallCaps/>
      <w:color w:val="auto"/>
      <w:spacing w:val="5"/>
      <w:u w:val="single"/>
    </w:rPr>
  </w:style>
  <w:style w:type="paragraph" w:customStyle="1" w:styleId="2ColumnHeading">
    <w:name w:val="2Column Heading"/>
    <w:basedOn w:val="BodyText"/>
    <w:qFormat/>
    <w:rsid w:val="00A73610"/>
    <w:pPr>
      <w:spacing w:after="60"/>
      <w:ind w:left="-2268"/>
    </w:pPr>
    <w:rPr>
      <w:b/>
    </w:rPr>
  </w:style>
  <w:style w:type="paragraph" w:customStyle="1" w:styleId="Heading1TOC">
    <w:name w:val="Heading1 TOC"/>
    <w:basedOn w:val="Normal"/>
    <w:qFormat/>
    <w:rsid w:val="00A73610"/>
    <w:pPr>
      <w:spacing w:before="240" w:after="120"/>
    </w:pPr>
    <w:rPr>
      <w:rFonts w:ascii="Times New Roman" w:hAnsi="Times New Roman"/>
      <w:b/>
      <w:sz w:val="32"/>
    </w:rPr>
  </w:style>
  <w:style w:type="paragraph" w:customStyle="1" w:styleId="Heading2TOC">
    <w:name w:val="Heading2 TOC"/>
    <w:basedOn w:val="Normal"/>
    <w:qFormat/>
    <w:rsid w:val="00A73610"/>
    <w:pPr>
      <w:spacing w:before="240" w:after="60"/>
    </w:pPr>
    <w:rPr>
      <w:rFonts w:ascii="Times New Roman" w:hAnsi="Times New Roman"/>
      <w:b/>
      <w:sz w:val="28"/>
    </w:rPr>
  </w:style>
  <w:style w:type="character" w:customStyle="1" w:styleId="Underline">
    <w:name w:val="Underline"/>
    <w:basedOn w:val="DefaultParagraphFont"/>
    <w:qFormat/>
    <w:rsid w:val="00A73610"/>
    <w:rPr>
      <w:u w:val="single"/>
    </w:rPr>
  </w:style>
  <w:style w:type="character" w:customStyle="1" w:styleId="BoldandItalics">
    <w:name w:val="Bold and Italics"/>
    <w:qFormat/>
    <w:rsid w:val="00A73610"/>
    <w:rPr>
      <w:b/>
      <w:i/>
      <w:u w:val="none"/>
    </w:rPr>
  </w:style>
  <w:style w:type="paragraph" w:styleId="BalloonText">
    <w:name w:val="Balloon Text"/>
    <w:basedOn w:val="Normal"/>
    <w:link w:val="BalloonTextChar"/>
    <w:rsid w:val="00A73610"/>
    <w:rPr>
      <w:rFonts w:ascii="Tahoma" w:hAnsi="Tahoma" w:cs="Tahoma"/>
      <w:sz w:val="16"/>
      <w:szCs w:val="16"/>
    </w:rPr>
  </w:style>
  <w:style w:type="character" w:customStyle="1" w:styleId="BalloonTextChar">
    <w:name w:val="Balloon Text Char"/>
    <w:basedOn w:val="DefaultParagraphFont"/>
    <w:link w:val="BalloonText"/>
    <w:rsid w:val="00A73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6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610"/>
    <w:rPr>
      <w:b/>
      <w:color w:val="660033"/>
      <w:spacing w:val="0"/>
    </w:rPr>
  </w:style>
  <w:style w:type="paragraph" w:customStyle="1" w:styleId="Nameditemlist">
    <w:name w:val="Named item list"/>
    <w:basedOn w:val="BodyText"/>
    <w:qFormat/>
    <w:rsid w:val="00A736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2283</Words>
  <Characters>13825</Characters>
  <Application>Microsoft Office Word</Application>
  <DocSecurity>0</DocSecurity>
  <Lines>582</Lines>
  <Paragraphs>219</Paragraphs>
  <ScaleCrop>false</ScaleCrop>
  <Company>Author-it Software Corporation Ltd.</Company>
  <LinksUpToDate>false</LinksUpToDate>
  <CharactersWithSpaces>15942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UEGNSG320A Establish right of way access for transmission pipeline construction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2012-10-10T01:58:00Z</dcterms:created>
  <dcterms:modified xsi:type="dcterms:W3CDTF">2012-10-10T01:58:00Z</dcterms:modified>
</cp:coreProperties>
</file>