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8BE" w:rsidP="00EA38BE">
      <w:pPr>
        <w:pStyle w:val="Title"/>
      </w:pPr>
      <w:bookmarkStart w:id="0" w:name="_GoBack"/>
      <w:bookmarkEnd w:id="0"/>
      <w:r>
        <w:fldChar w:fldCharType="begin"/>
      </w:r>
      <w:r>
        <w:instrText xml:space="preserve"> TITLE   \* MERGEFORMAT </w:instrText>
      </w:r>
      <w:r>
        <w:fldChar w:fldCharType="separate"/>
      </w:r>
      <w:r>
        <w:t>UEGNSG318B Monitor and operate flow control, pressure, measuring and regulating devices for gas transmission</w:t>
      </w:r>
      <w:r>
        <w:fldChar w:fldCharType="end"/>
      </w:r>
    </w:p>
    <w:p w:rsidR="00EA38BE" w:rsidP="00EA38BE">
      <w:pPr>
        <w:pStyle w:val="Version"/>
        <w:sectPr w:rsidSect="00966822">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822" w:rsidP="00966822">
      <w:pPr>
        <w:pStyle w:val="SuperHeading"/>
      </w:pPr>
      <w:r w:rsidRPr="00966822">
        <w:t>UEGNSG318B Monitor and operate flow control, pressure, measuring and regulating devices for gas transmission</w:t>
      </w:r>
    </w:p>
    <w:p w:rsidR="00000000" w:rsidRPr="00966822" w:rsidP="00966822">
      <w:pPr>
        <w:pStyle w:val="Heading1"/>
      </w:pPr>
      <w:bookmarkStart w:id="1" w:name="O_402524"/>
      <w:bookmarkEnd w:id="1"/>
      <w:r w:rsidRPr="00966822">
        <w:t>Modification History</w:t>
      </w:r>
    </w:p>
    <w:p w:rsidR="00000000" w:rsidRPr="00966822" w:rsidP="00966822">
      <w:pPr>
        <w:pStyle w:val="BodyText"/>
      </w:pPr>
      <w:r w:rsidRPr="00966822">
        <w:t>Not applicable.</w:t>
      </w:r>
    </w:p>
    <w:p w:rsidR="00000000" w:rsidRPr="00966822" w:rsidP="00966822">
      <w:pPr>
        <w:pStyle w:val="AllowPageBreak"/>
      </w:pPr>
    </w:p>
    <w:p w:rsidR="00000000" w:rsidRPr="00966822" w:rsidP="00966822">
      <w:pPr>
        <w:pStyle w:val="Heading1"/>
      </w:pPr>
      <w:bookmarkStart w:id="2" w:name="O_402522"/>
      <w:bookmarkEnd w:id="2"/>
      <w:r w:rsidRPr="00966822">
        <w:t>Unit Descriptor</w:t>
      </w:r>
    </w:p>
    <w:tbl>
      <w:tblPr>
        <w:tblW w:w="0" w:type="auto"/>
        <w:tblLayout w:type="fixed"/>
        <w:tblCellMar>
          <w:left w:w="62" w:type="dxa"/>
          <w:right w:w="62" w:type="dxa"/>
        </w:tblCellMar>
        <w:tblLook w:val="0000"/>
      </w:tblPr>
      <w:tblGrid>
        <w:gridCol w:w="2700"/>
        <w:gridCol w:w="5760"/>
      </w:tblGrid>
      <w:tr w:rsidTr="00EA38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rPr>
                <w:rStyle w:val="SpecialBold"/>
              </w:rPr>
              <w:t>1) Scope:</w:t>
            </w:r>
          </w:p>
        </w:tc>
      </w:tr>
      <w:tr w:rsidTr="00EA3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682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rPr>
                <w:rStyle w:val="SpecialBold"/>
              </w:rPr>
              <w:t>1.1) Descriptor</w:t>
            </w:r>
          </w:p>
        </w:tc>
      </w:tr>
      <w:tr w:rsidTr="00EA3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t>This Competency Standard Unit covers the monitoring and operation of complex flow control, measuring and regulating devices to monitor and control gas supply in gas transmission systems. The competency standard refers to Inspecting, Testing  and Controllin</w:t>
            </w:r>
            <w:r w:rsidRPr="00966822">
              <w:t>g; Regulation of flow and pressure; Measuring; Recording and reporting; Regulation of flow and regulation devices; Regulation of the system; Equipment; Organisational and statutory requirements.</w:t>
            </w:r>
          </w:p>
        </w:tc>
      </w:tr>
    </w:tbl>
    <w:p w:rsidR="00000000" w:rsidRPr="00966822" w:rsidP="00966822">
      <w:pPr>
        <w:pStyle w:val="BodyText"/>
      </w:pPr>
    </w:p>
    <w:p w:rsidR="00000000" w:rsidRPr="00966822" w:rsidP="00966822">
      <w:pPr>
        <w:pStyle w:val="AllowPageBreak"/>
      </w:pPr>
    </w:p>
    <w:p w:rsidR="00000000" w:rsidRPr="00966822" w:rsidP="00966822">
      <w:pPr>
        <w:pStyle w:val="Heading1"/>
      </w:pPr>
      <w:bookmarkStart w:id="3" w:name="O_402511"/>
      <w:bookmarkEnd w:id="3"/>
      <w:r w:rsidRPr="00966822">
        <w:t>Application of the Unit</w:t>
      </w:r>
    </w:p>
    <w:tbl>
      <w:tblPr>
        <w:tblW w:w="0" w:type="auto"/>
        <w:tblLayout w:type="fixed"/>
        <w:tblCellMar>
          <w:left w:w="62" w:type="dxa"/>
          <w:right w:w="62" w:type="dxa"/>
        </w:tblCellMar>
        <w:tblLook w:val="0000"/>
      </w:tblPr>
      <w:tblGrid>
        <w:gridCol w:w="2672"/>
        <w:gridCol w:w="5699"/>
      </w:tblGrid>
      <w:tr w:rsidTr="00EA38B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rPr>
                <w:rStyle w:val="SpecialBold"/>
              </w:rPr>
              <w:t>Application of the</w:t>
            </w:r>
            <w:r w:rsidRPr="00966822">
              <w:rPr>
                <w:rStyle w:val="SpecialBold"/>
              </w:rPr>
              <w:t xml:space="preserve"> Unit</w:t>
            </w:r>
          </w:p>
        </w:tc>
        <w:tc>
          <w:tcPr>
            <w:tcW w:w="5699"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rPr>
                <w:rStyle w:val="SpecialBold"/>
              </w:rPr>
              <w:t>2)</w:t>
            </w:r>
          </w:p>
        </w:tc>
      </w:tr>
      <w:tr w:rsidTr="00EA38B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t xml:space="preserve">This competency standard shall apply to any basic and safe work site where Gas Industry operations occur. It could also apply, where applicable </w:t>
            </w:r>
            <w:r w:rsidRPr="00966822">
              <w:t>to other workplaces in the electricity supply industry (transmission and distribution and generation), the electrotechnology industry and the water industry, subject to all Occupational Health and Safety and duty of care requirements being met for the work</w:t>
            </w:r>
            <w:r w:rsidRPr="00966822">
              <w:t>place.</w:t>
            </w:r>
          </w:p>
        </w:tc>
      </w:tr>
    </w:tbl>
    <w:p w:rsidR="00000000" w:rsidRPr="00966822" w:rsidP="00966822">
      <w:pPr>
        <w:pStyle w:val="BodyText"/>
      </w:pPr>
    </w:p>
    <w:p w:rsidR="00000000" w:rsidRPr="00966822" w:rsidP="00966822">
      <w:pPr>
        <w:pStyle w:val="AllowPageBreak"/>
      </w:pPr>
    </w:p>
    <w:p w:rsidR="00000000" w:rsidRPr="00966822" w:rsidP="00966822">
      <w:pPr>
        <w:pStyle w:val="Heading1"/>
      </w:pPr>
      <w:bookmarkStart w:id="4" w:name="O_402518"/>
      <w:bookmarkEnd w:id="4"/>
      <w:r w:rsidRPr="00966822">
        <w:t>Licensing/Regulatory Information</w:t>
      </w:r>
    </w:p>
    <w:tbl>
      <w:tblPr>
        <w:tblW w:w="0" w:type="auto"/>
        <w:tblLayout w:type="fixed"/>
        <w:tblCellMar>
          <w:left w:w="62" w:type="dxa"/>
          <w:right w:w="62" w:type="dxa"/>
        </w:tblCellMar>
        <w:tblLook w:val="0000"/>
      </w:tblPr>
      <w:tblGrid>
        <w:gridCol w:w="2700"/>
        <w:gridCol w:w="5760"/>
      </w:tblGrid>
      <w:tr w:rsidTr="00EA38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rPr>
                <w:rStyle w:val="SpecialBold"/>
              </w:rPr>
              <w:t xml:space="preserve">3) </w:t>
            </w:r>
          </w:p>
        </w:tc>
      </w:tr>
      <w:tr w:rsidTr="00EA3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t xml:space="preserve">The skills and knowledge described in this unit are not </w:t>
            </w:r>
            <w:r w:rsidRPr="00966822">
              <w:t>subject to licence regulation other than those directly related to Occupational Health and Safety, gas/electricity/</w:t>
            </w:r>
            <w:r w:rsidRPr="00966822">
              <w:t>water industry safety and compliance, industrial relations, environmental protection, telecommunications, anti discrimination and training. Commonwealth, State/Territory or Local Government legislation and regulations may exist that limits the age of perso</w:t>
            </w:r>
            <w:r w:rsidRPr="00966822">
              <w:t>ns who can operate certain equipment.</w:t>
            </w:r>
          </w:p>
        </w:tc>
      </w:tr>
    </w:tbl>
    <w:p w:rsidR="00000000" w:rsidRPr="00966822" w:rsidP="00966822">
      <w:pPr>
        <w:pStyle w:val="BodyText"/>
      </w:pPr>
    </w:p>
    <w:p w:rsidR="00000000" w:rsidRPr="00966822" w:rsidP="00966822">
      <w:pPr>
        <w:pStyle w:val="AllowPageBreak"/>
      </w:pPr>
    </w:p>
    <w:p w:rsidR="00000000" w:rsidRPr="00966822" w:rsidP="00966822">
      <w:pPr>
        <w:pStyle w:val="Heading1"/>
      </w:pPr>
      <w:bookmarkStart w:id="5" w:name="O_402519"/>
      <w:bookmarkEnd w:id="5"/>
      <w:r w:rsidRPr="00966822">
        <w:t>Pre-Requisites</w:t>
      </w:r>
    </w:p>
    <w:tbl>
      <w:tblPr>
        <w:tblW w:w="0" w:type="auto"/>
        <w:tblLayout w:type="fixed"/>
        <w:tblCellMar>
          <w:left w:w="62" w:type="dxa"/>
          <w:right w:w="62" w:type="dxa"/>
        </w:tblCellMar>
        <w:tblLook w:val="0000"/>
      </w:tblPr>
      <w:tblGrid>
        <w:gridCol w:w="2700"/>
        <w:gridCol w:w="5760"/>
      </w:tblGrid>
      <w:tr w:rsidTr="00EA38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rPr>
                <w:rStyle w:val="SpecialBold"/>
              </w:rPr>
              <w:t xml:space="preserve">4) </w:t>
            </w:r>
          </w:p>
        </w:tc>
      </w:tr>
      <w:tr w:rsidTr="00EA3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rPr>
                <w:rStyle w:val="SpecialBold"/>
              </w:rPr>
              <w:t>4.1)</w:t>
            </w:r>
          </w:p>
        </w:tc>
      </w:tr>
      <w:tr w:rsidTr="00EA38BE">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t>Nil</w:t>
            </w:r>
          </w:p>
        </w:tc>
      </w:tr>
    </w:tbl>
    <w:p w:rsidR="00000000" w:rsidRPr="00966822" w:rsidP="0096682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A3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rPr>
                <w:rStyle w:val="SpecialBold"/>
              </w:rPr>
              <w:t xml:space="preserve">4.2) </w:t>
            </w:r>
          </w:p>
          <w:p w:rsidR="00000000" w:rsidP="00966822">
            <w:pPr>
              <w:pStyle w:val="BodyText"/>
              <w:rPr>
                <w:lang w:val="en-NZ"/>
              </w:rPr>
            </w:pPr>
            <w:r w:rsidRPr="00966822">
              <w:t>Participants are best equipped to achieve this unit if they have reading, writing and numeracy skills indicated by the following scales. Description of each scale is given in Volume 2, Part 3 ‘Literacy and Numeracy’</w:t>
            </w:r>
          </w:p>
        </w:tc>
      </w:tr>
      <w:tr w:rsidTr="00EA3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Reading</w:t>
            </w:r>
          </w:p>
        </w:tc>
        <w:tc>
          <w:tcPr>
            <w:tcW w:w="81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3</w:t>
            </w:r>
          </w:p>
        </w:tc>
        <w:tc>
          <w:tcPr>
            <w:tcW w:w="99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Writing</w:t>
            </w:r>
          </w:p>
        </w:tc>
        <w:tc>
          <w:tcPr>
            <w:tcW w:w="9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3</w:t>
            </w:r>
          </w:p>
        </w:tc>
        <w:tc>
          <w:tcPr>
            <w:tcW w:w="12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Numeracy</w:t>
            </w:r>
          </w:p>
        </w:tc>
        <w:tc>
          <w:tcPr>
            <w:tcW w:w="72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t>3</w:t>
            </w:r>
          </w:p>
        </w:tc>
      </w:tr>
    </w:tbl>
    <w:p w:rsidR="00000000" w:rsidRPr="00966822" w:rsidP="00966822">
      <w:pPr>
        <w:pStyle w:val="BodyText"/>
      </w:pPr>
    </w:p>
    <w:p w:rsidR="00000000" w:rsidRPr="00966822" w:rsidP="00966822">
      <w:pPr>
        <w:pStyle w:val="AllowPageBreak"/>
      </w:pPr>
    </w:p>
    <w:p w:rsidR="00000000" w:rsidRPr="00966822" w:rsidP="00966822">
      <w:pPr>
        <w:pStyle w:val="Heading1"/>
      </w:pPr>
      <w:bookmarkStart w:id="6" w:name="O_402515"/>
      <w:bookmarkEnd w:id="6"/>
      <w:r w:rsidRPr="00966822">
        <w:t>Employability Skills Information</w:t>
      </w:r>
    </w:p>
    <w:tbl>
      <w:tblPr>
        <w:tblW w:w="0" w:type="auto"/>
        <w:tblLayout w:type="fixed"/>
        <w:tblCellMar>
          <w:left w:w="62" w:type="dxa"/>
          <w:right w:w="62" w:type="dxa"/>
        </w:tblCellMar>
        <w:tblLook w:val="0000"/>
      </w:tblPr>
      <w:tblGrid>
        <w:gridCol w:w="2700"/>
        <w:gridCol w:w="5760"/>
      </w:tblGrid>
      <w:tr w:rsidTr="00EA38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rPr>
                <w:rStyle w:val="SpecialBold"/>
              </w:rPr>
              <w:t xml:space="preserve">5) </w:t>
            </w:r>
          </w:p>
        </w:tc>
      </w:tr>
      <w:tr w:rsidTr="00EA3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This unit contains Employability Skills</w:t>
            </w:r>
          </w:p>
        </w:tc>
      </w:tr>
      <w:tr w:rsidTr="00EA3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t>The required outcomes described in this u</w:t>
            </w:r>
            <w:r w:rsidRPr="00966822">
              <w:t>nit of competency contain applicable facets of Employability Skills. The Employability Skills Summary of the qualification in which this unit of competency is packaged will assist in identifying Employability Skill requirements.</w:t>
            </w:r>
          </w:p>
        </w:tc>
      </w:tr>
    </w:tbl>
    <w:p w:rsidR="00000000" w:rsidRPr="00966822" w:rsidP="00966822">
      <w:pPr>
        <w:pStyle w:val="BodyText"/>
      </w:pPr>
    </w:p>
    <w:p w:rsidR="00000000" w:rsidRPr="00966822" w:rsidP="00966822">
      <w:pPr>
        <w:pStyle w:val="AllowPageBreak"/>
      </w:pPr>
    </w:p>
    <w:p w:rsidR="00000000" w:rsidRPr="00966822" w:rsidP="00966822">
      <w:pPr>
        <w:pStyle w:val="Heading1"/>
      </w:pPr>
      <w:bookmarkStart w:id="7" w:name="O_402514"/>
      <w:bookmarkEnd w:id="7"/>
      <w:r w:rsidRPr="00966822">
        <w:t>Elements</w:t>
      </w:r>
      <w:r w:rsidRPr="00966822">
        <w:t xml:space="preserve"> and Performance Criteria Pre-Content</w:t>
      </w:r>
    </w:p>
    <w:tbl>
      <w:tblPr>
        <w:tblW w:w="0" w:type="auto"/>
        <w:tblLayout w:type="fixed"/>
        <w:tblCellMar>
          <w:left w:w="62" w:type="dxa"/>
          <w:right w:w="62" w:type="dxa"/>
        </w:tblCellMar>
        <w:tblLook w:val="0000"/>
      </w:tblPr>
      <w:tblGrid>
        <w:gridCol w:w="2700"/>
        <w:gridCol w:w="5760"/>
      </w:tblGrid>
      <w:tr w:rsidTr="00EA3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rPr>
                <w:rStyle w:val="SpecialBold"/>
              </w:rPr>
              <w:t>6)</w:t>
            </w:r>
            <w:r w:rsidRPr="0096682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t>Performance Criteria describe the required performance needed to demonstrate achievement of the element. Assessment of performance is to be cons</w:t>
            </w:r>
            <w:r w:rsidRPr="00966822">
              <w:t>istent with the Evidence Guide.</w:t>
            </w:r>
          </w:p>
        </w:tc>
      </w:tr>
    </w:tbl>
    <w:p w:rsidR="00000000" w:rsidRPr="00966822" w:rsidP="00966822">
      <w:pPr>
        <w:pStyle w:val="BodyText"/>
      </w:pPr>
    </w:p>
    <w:p w:rsidR="00000000" w:rsidRPr="00966822" w:rsidP="00966822">
      <w:pPr>
        <w:pStyle w:val="AllowPageBreak"/>
      </w:pPr>
    </w:p>
    <w:p w:rsidR="00000000" w:rsidRPr="00966822" w:rsidP="00966822">
      <w:pPr>
        <w:pStyle w:val="Heading1"/>
      </w:pPr>
      <w:bookmarkStart w:id="8" w:name="O_402513"/>
      <w:bookmarkEnd w:id="8"/>
      <w:r w:rsidRPr="0096682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A38B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rPr>
                <w:rStyle w:val="SpecialBold"/>
              </w:rPr>
              <w:t>PERFORMANCE CRITERIA</w:t>
            </w:r>
          </w:p>
        </w:tc>
      </w:tr>
      <w:tr w:rsidTr="00EA3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1</w:t>
            </w:r>
          </w:p>
        </w:tc>
        <w:tc>
          <w:tcPr>
            <w:tcW w:w="2296"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Plan and prepare for the operation of complex flow control devices and equipment</w:t>
            </w:r>
          </w:p>
        </w:tc>
        <w:tc>
          <w:tcPr>
            <w:tcW w:w="9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1.1</w:t>
            </w:r>
          </w:p>
        </w:tc>
        <w:tc>
          <w:tcPr>
            <w:tcW w:w="48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Work requirements for monitoring and operating complex flow control, measuring and regulating devices are interpreted from plans, specifications and instructions</w:t>
            </w:r>
          </w:p>
        </w:tc>
      </w:tr>
      <w:tr w:rsidTr="00EA3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1.2</w:t>
            </w:r>
          </w:p>
        </w:tc>
        <w:tc>
          <w:tcPr>
            <w:tcW w:w="48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Relevant requirements and established procedures for the work are communicated to all p</w:t>
            </w:r>
            <w:r w:rsidRPr="00966822">
              <w:t>ersons</w:t>
            </w:r>
          </w:p>
        </w:tc>
      </w:tr>
      <w:tr w:rsidTr="00EA3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1.3</w:t>
            </w:r>
          </w:p>
        </w:tc>
        <w:tc>
          <w:tcPr>
            <w:tcW w:w="48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 xml:space="preserve">OHS, environmental and sustainable energy policies and procedures related to the monitoring and operating of complex flow controls are obtained and confirmed for the purposes of the work performed and communicated </w:t>
            </w:r>
          </w:p>
        </w:tc>
      </w:tr>
      <w:tr w:rsidTr="00EA3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1.4</w:t>
            </w:r>
          </w:p>
        </w:tc>
        <w:tc>
          <w:tcPr>
            <w:tcW w:w="48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Work is prioritised and sequenced following consultation with others for completion within acceptable timeframes and in accordance with established procedures</w:t>
            </w:r>
          </w:p>
        </w:tc>
      </w:tr>
      <w:tr w:rsidTr="00EA3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1.5</w:t>
            </w:r>
          </w:p>
        </w:tc>
        <w:tc>
          <w:tcPr>
            <w:tcW w:w="48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Risk control measures for identified hazards are prioritised, implemented and monitored ag</w:t>
            </w:r>
            <w:r w:rsidRPr="00966822">
              <w:t>ainst the work schedule</w:t>
            </w:r>
          </w:p>
        </w:tc>
      </w:tr>
      <w:tr w:rsidTr="00EA3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1.6</w:t>
            </w:r>
          </w:p>
        </w:tc>
        <w:tc>
          <w:tcPr>
            <w:tcW w:w="48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Relevant work permits are obtained to access, isolate/de-energise systems and perform work according to requirements and established procedures</w:t>
            </w:r>
          </w:p>
        </w:tc>
      </w:tr>
      <w:tr w:rsidTr="00EA3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1.7</w:t>
            </w:r>
          </w:p>
        </w:tc>
        <w:tc>
          <w:tcPr>
            <w:tcW w:w="48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Resources including appropriately licensed persons, equipment, tools and p</w:t>
            </w:r>
            <w:r w:rsidRPr="00966822">
              <w:t>ersonal protective equipment required for investigating billing exceptions and conditions are identified, scheduled and obtained and confirmed in working order</w:t>
            </w:r>
          </w:p>
        </w:tc>
      </w:tr>
      <w:tr w:rsidTr="00EA3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1.8</w:t>
            </w:r>
          </w:p>
        </w:tc>
        <w:tc>
          <w:tcPr>
            <w:tcW w:w="48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Liaison and communication issues with authorised persons, authorities, clients and land owners are resolved and activities coordinated to carry out work</w:t>
            </w:r>
          </w:p>
        </w:tc>
      </w:tr>
      <w:tr w:rsidTr="00EA3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1.9</w:t>
            </w:r>
          </w:p>
        </w:tc>
        <w:tc>
          <w:tcPr>
            <w:tcW w:w="48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Persons participating in the work, including plant operators and contractors are fully briefed a</w:t>
            </w:r>
            <w:r w:rsidRPr="00966822">
              <w:t xml:space="preserve">nd respective responsibilities confirmed where applicable in accordance with established procedures </w:t>
            </w:r>
          </w:p>
        </w:tc>
      </w:tr>
      <w:tr w:rsidTr="00EA3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2</w:t>
            </w:r>
          </w:p>
        </w:tc>
        <w:tc>
          <w:tcPr>
            <w:tcW w:w="2296"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Repair and replace complex flow control devices and equipment and monitor system performance</w:t>
            </w:r>
          </w:p>
        </w:tc>
        <w:tc>
          <w:tcPr>
            <w:tcW w:w="9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2.1</w:t>
            </w:r>
          </w:p>
        </w:tc>
        <w:tc>
          <w:tcPr>
            <w:tcW w:w="48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Information on device and equipment performance is coll</w:t>
            </w:r>
            <w:r w:rsidRPr="00966822">
              <w:t>ected and reported in accordance with organisational requirements</w:t>
            </w:r>
          </w:p>
        </w:tc>
      </w:tr>
      <w:tr w:rsidTr="00EA3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2.2</w:t>
            </w:r>
          </w:p>
        </w:tc>
        <w:tc>
          <w:tcPr>
            <w:tcW w:w="48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 xml:space="preserve">Dealing with customers are consistent with standard operating procedures and the special needs of customers are identified and considered in targeting client service </w:t>
            </w:r>
          </w:p>
        </w:tc>
      </w:tr>
      <w:tr w:rsidTr="00EA3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2.3</w:t>
            </w:r>
          </w:p>
        </w:tc>
        <w:tc>
          <w:tcPr>
            <w:tcW w:w="48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Apply Essential Knowledge and Associated Skills for monitoring and operating complex flow control devices to ensure completion in an agreed timeframe and to quality standards with a minimum of waste according to requirements</w:t>
            </w:r>
          </w:p>
        </w:tc>
      </w:tr>
      <w:tr w:rsidTr="00EA3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2.4</w:t>
            </w:r>
          </w:p>
        </w:tc>
        <w:tc>
          <w:tcPr>
            <w:tcW w:w="48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Routine inspections of s</w:t>
            </w:r>
            <w:r w:rsidRPr="00966822">
              <w:t xml:space="preserve">ystem are scheduled and monitored in accordance with the work schedule and established procedures </w:t>
            </w:r>
          </w:p>
        </w:tc>
      </w:tr>
      <w:tr w:rsidTr="00EA3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2.5</w:t>
            </w:r>
          </w:p>
        </w:tc>
        <w:tc>
          <w:tcPr>
            <w:tcW w:w="48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Hazard warnings and safety signs are recognised and hazards are assessed and OHS risks are reported to the immediate authorised persons for directions</w:t>
            </w:r>
            <w:r w:rsidRPr="00966822">
              <w:t xml:space="preserve"> according to established procedures</w:t>
            </w:r>
          </w:p>
        </w:tc>
      </w:tr>
      <w:tr w:rsidTr="00EA3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2.6</w:t>
            </w:r>
          </w:p>
        </w:tc>
        <w:tc>
          <w:tcPr>
            <w:tcW w:w="48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 xml:space="preserve">Data on system performance and usage is collected, analysed and reported and unplanned events in the monitoring and operation of complex flow control are undertaken with the scope of established procedures </w:t>
            </w:r>
          </w:p>
        </w:tc>
      </w:tr>
      <w:tr w:rsidTr="00EA3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2.</w:t>
            </w:r>
            <w:r w:rsidRPr="00966822">
              <w:t>7</w:t>
            </w:r>
          </w:p>
        </w:tc>
        <w:tc>
          <w:tcPr>
            <w:tcW w:w="48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Samples are taken in accordance with established procedures and known solutions to a variety of problems are applied using Essential Knowledge and Associated Skills</w:t>
            </w:r>
          </w:p>
        </w:tc>
      </w:tr>
      <w:tr w:rsidTr="00EA3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2.8</w:t>
            </w:r>
          </w:p>
        </w:tc>
        <w:tc>
          <w:tcPr>
            <w:tcW w:w="48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Ongoing checks of quality of the work are undertaken in accordance with given instructions and established procedures</w:t>
            </w:r>
          </w:p>
        </w:tc>
      </w:tr>
      <w:tr w:rsidTr="00EA3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3</w:t>
            </w:r>
          </w:p>
        </w:tc>
        <w:tc>
          <w:tcPr>
            <w:tcW w:w="2296"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Controlling and adjusting flows and compilation of records and reports</w:t>
            </w:r>
          </w:p>
        </w:tc>
        <w:tc>
          <w:tcPr>
            <w:tcW w:w="9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3.1</w:t>
            </w:r>
          </w:p>
        </w:tc>
        <w:tc>
          <w:tcPr>
            <w:tcW w:w="48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Flow and overflow regulating systems are inspected and adjus</w:t>
            </w:r>
            <w:r w:rsidRPr="00966822">
              <w:t>tments made to meet demand and customer requirements</w:t>
            </w:r>
          </w:p>
        </w:tc>
      </w:tr>
      <w:tr w:rsidTr="00EA3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3.2</w:t>
            </w:r>
          </w:p>
        </w:tc>
        <w:tc>
          <w:tcPr>
            <w:tcW w:w="48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Accidents and injuries are reported in accordance with established procedures where applicable</w:t>
            </w:r>
          </w:p>
        </w:tc>
      </w:tr>
      <w:tr w:rsidTr="00EA38BE">
        <w:tblPrEx>
          <w:tblW w:w="0" w:type="auto"/>
          <w:tblLayout w:type="fixed"/>
          <w:tblCellMar>
            <w:left w:w="62" w:type="dxa"/>
            <w:right w:w="62" w:type="dxa"/>
          </w:tblCellMar>
          <w:tblLook w:val="0000"/>
        </w:tblPrEx>
        <w:trPr>
          <w:trHeight w:val="72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3.3</w:t>
            </w:r>
          </w:p>
        </w:tc>
        <w:tc>
          <w:tcPr>
            <w:tcW w:w="48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Flows and diversions are determined to facilitate repair or emergency activities in accordance</w:t>
            </w:r>
            <w:r w:rsidRPr="00966822">
              <w:t xml:space="preserve"> with organisational requirements</w:t>
            </w:r>
          </w:p>
        </w:tc>
      </w:tr>
      <w:tr w:rsidTr="00EA3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3.4</w:t>
            </w:r>
          </w:p>
        </w:tc>
        <w:tc>
          <w:tcPr>
            <w:tcW w:w="48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Process faults and operational conditions of the system are identified, addressed and reported in accordance with organisational requirements</w:t>
            </w:r>
          </w:p>
        </w:tc>
      </w:tr>
      <w:tr w:rsidTr="00EA3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3.5</w:t>
            </w:r>
          </w:p>
        </w:tc>
        <w:tc>
          <w:tcPr>
            <w:tcW w:w="486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t>Work comp</w:t>
            </w:r>
            <w:r w:rsidRPr="00966822">
              <w:t>letion records, reports and documentation are finalised and processed and appropriate persons notified</w:t>
            </w:r>
          </w:p>
        </w:tc>
      </w:tr>
    </w:tbl>
    <w:p w:rsidR="00000000" w:rsidRPr="00966822" w:rsidP="00966822">
      <w:pPr>
        <w:pStyle w:val="BodyText"/>
      </w:pPr>
    </w:p>
    <w:p w:rsidR="00000000" w:rsidRPr="00966822" w:rsidP="00966822">
      <w:pPr>
        <w:pStyle w:val="AllowPageBreak"/>
      </w:pPr>
    </w:p>
    <w:p w:rsidR="00000000" w:rsidRPr="00966822" w:rsidP="00966822">
      <w:pPr>
        <w:pStyle w:val="Heading1"/>
      </w:pPr>
      <w:bookmarkStart w:id="9" w:name="O_402521"/>
      <w:bookmarkEnd w:id="9"/>
      <w:r w:rsidRPr="00966822">
        <w:t>Required Skills and Knowledge</w:t>
      </w:r>
    </w:p>
    <w:tbl>
      <w:tblPr>
        <w:tblW w:w="0" w:type="auto"/>
        <w:tblLayout w:type="fixed"/>
        <w:tblCellMar>
          <w:left w:w="62" w:type="dxa"/>
          <w:right w:w="62" w:type="dxa"/>
        </w:tblCellMar>
        <w:tblLook w:val="0000"/>
      </w:tblPr>
      <w:tblGrid>
        <w:gridCol w:w="8460"/>
      </w:tblGrid>
      <w:tr w:rsidTr="00EA38B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rPr>
                <w:rStyle w:val="SpecialBold"/>
              </w:rPr>
              <w:t>REQUIRED SKILLS AND KNOWLEDGE</w:t>
            </w:r>
          </w:p>
        </w:tc>
      </w:tr>
      <w:tr w:rsidTr="00EA38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rPr>
                <w:rStyle w:val="SpecialBold"/>
              </w:rPr>
              <w:t>8)</w:t>
            </w:r>
            <w:r w:rsidRPr="00966822">
              <w:t xml:space="preserve"> This describes the essential skills and knowledge and their level, required for this unit.</w:t>
            </w:r>
          </w:p>
        </w:tc>
      </w:tr>
      <w:tr w:rsidTr="00EA38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Evidence shall show that knowledge has been acquired of safe working practices monitoring and operating complex flow control, measuring and regulating devices on g</w:t>
            </w:r>
            <w:r w:rsidRPr="00966822">
              <w:t>as transmission systems.</w:t>
            </w:r>
          </w:p>
        </w:tc>
      </w:tr>
      <w:tr w:rsidTr="00EA38BE">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t>All knowledge and skills detailed in this unit should be contextualised to current industry practices and technologies.</w:t>
            </w:r>
          </w:p>
        </w:tc>
      </w:tr>
    </w:tbl>
    <w:p w:rsidR="00000000" w:rsidRPr="00966822" w:rsidP="00966822">
      <w:pPr>
        <w:pStyle w:val="BodyText"/>
      </w:pPr>
    </w:p>
    <w:tbl>
      <w:tblPr>
        <w:tblW w:w="0" w:type="auto"/>
        <w:tblLayout w:type="fixed"/>
        <w:tblCellMar>
          <w:left w:w="62" w:type="dxa"/>
          <w:right w:w="62" w:type="dxa"/>
        </w:tblCellMar>
        <w:tblLook w:val="0000"/>
      </w:tblPr>
      <w:tblGrid>
        <w:gridCol w:w="1440"/>
        <w:gridCol w:w="990"/>
        <w:gridCol w:w="6030"/>
      </w:tblGrid>
      <w:tr w:rsidTr="00EA38BE">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rPr>
                <w:rStyle w:val="SpecialBold"/>
              </w:rPr>
              <w:t>KS01-G318B</w:t>
            </w:r>
          </w:p>
        </w:tc>
        <w:tc>
          <w:tcPr>
            <w:tcW w:w="7020" w:type="dxa"/>
            <w:gridSpan w:val="2"/>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rPr>
                <w:rStyle w:val="SpecialBold"/>
              </w:rPr>
              <w:t>Transmission pipeline flow control, pressure, measuring and regulating devices</w:t>
            </w:r>
          </w:p>
        </w:tc>
      </w:tr>
      <w:tr w:rsidTr="00EA38B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G 3.2.1</w:t>
            </w:r>
          </w:p>
        </w:tc>
        <w:tc>
          <w:tcPr>
            <w:tcW w:w="603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t>Consulting appropriate persons to coordinate work and persons on a Gas Industry workplace</w:t>
            </w:r>
          </w:p>
          <w:p w:rsidR="00000000" w:rsidRPr="00966822" w:rsidP="00966822">
            <w:pPr>
              <w:pStyle w:val="BodyText"/>
            </w:pPr>
            <w:r w:rsidRPr="00966822">
              <w:t>Evidence shall show an understanding of consulting appropriate persons to coordinate work and persons for Gas Industry pipelines (Distribution), indicated by the foll</w:t>
            </w:r>
            <w:r w:rsidRPr="00966822">
              <w:t>owing:</w:t>
            </w:r>
          </w:p>
          <w:p w:rsidR="00000000" w:rsidRPr="00966822" w:rsidP="00966822">
            <w:pPr>
              <w:pStyle w:val="ListBullet"/>
            </w:pPr>
            <w:r w:rsidRPr="00966822">
              <w:t>personnel requirements for an order</w:t>
            </w:r>
          </w:p>
          <w:p w:rsidR="00000000" w:rsidRPr="00966822" w:rsidP="00966822">
            <w:pPr>
              <w:pStyle w:val="ListBullet"/>
            </w:pPr>
            <w:r w:rsidRPr="00966822">
              <w:t>reporting structures for equipment faults and dangerous work</w:t>
            </w:r>
          </w:p>
          <w:p w:rsidR="00000000" w:rsidRPr="00966822" w:rsidP="00966822">
            <w:pPr>
              <w:pStyle w:val="ListBullet"/>
            </w:pPr>
            <w:r w:rsidRPr="00966822">
              <w:t>communication with appropriate persons, customers and third parties</w:t>
            </w:r>
          </w:p>
          <w:p w:rsidR="00000000" w:rsidRPr="00966822" w:rsidP="00966822">
            <w:pPr>
              <w:pStyle w:val="ListBullet"/>
            </w:pPr>
            <w:r w:rsidRPr="00966822">
              <w:t>strategies to facilitate coordination or work with other persons</w:t>
            </w:r>
          </w:p>
          <w:p w:rsidR="00000000" w:rsidP="00966822">
            <w:pPr>
              <w:pStyle w:val="ListBullet"/>
              <w:rPr>
                <w:lang w:val="en-NZ"/>
              </w:rPr>
            </w:pPr>
            <w:r w:rsidRPr="00966822">
              <w:t>requirements for an</w:t>
            </w:r>
            <w:r w:rsidRPr="00966822">
              <w:t>d use of qualified specialists.</w:t>
            </w:r>
          </w:p>
        </w:tc>
      </w:tr>
      <w:tr w:rsidTr="00EA38B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G 3.2.7</w:t>
            </w:r>
          </w:p>
        </w:tc>
        <w:tc>
          <w:tcPr>
            <w:tcW w:w="603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t>Prepare reports</w:t>
            </w:r>
          </w:p>
          <w:p w:rsidR="00000000" w:rsidRPr="00966822" w:rsidP="00966822">
            <w:pPr>
              <w:pStyle w:val="BodyText"/>
            </w:pPr>
            <w:r w:rsidRPr="00966822">
              <w:t>Evidence shall show an understanding of the preparation of reports applicable to the commissioning and decommissioning of Gas Industry pipelines (Distribution), indicated by the following:</w:t>
            </w:r>
          </w:p>
          <w:p w:rsidR="00000000" w:rsidRPr="00966822" w:rsidP="00966822">
            <w:pPr>
              <w:pStyle w:val="ListBullet"/>
            </w:pPr>
            <w:r w:rsidRPr="00966822">
              <w:t>Apply procedures and legislative requirements for maintaining appropriate reporting and recording systems</w:t>
            </w:r>
          </w:p>
          <w:p w:rsidR="00000000" w:rsidRPr="00966822" w:rsidP="00966822">
            <w:pPr>
              <w:pStyle w:val="ListBullet"/>
            </w:pPr>
            <w:r w:rsidRPr="00966822">
              <w:t>Complete job records and process information to appropriate/relevant department</w:t>
            </w:r>
          </w:p>
          <w:p w:rsidR="00000000" w:rsidP="00966822">
            <w:pPr>
              <w:pStyle w:val="ListBullet"/>
              <w:rPr>
                <w:lang w:val="en-NZ"/>
              </w:rPr>
            </w:pPr>
            <w:r w:rsidRPr="00966822">
              <w:t xml:space="preserve">Recorded non-conformances and incidents including customer outages in </w:t>
            </w:r>
            <w:r w:rsidRPr="00966822">
              <w:t>accordance with procedures and legislative requirements.</w:t>
            </w:r>
          </w:p>
        </w:tc>
      </w:tr>
      <w:tr w:rsidTr="00EA38B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G 3.2.17</w:t>
            </w:r>
          </w:p>
        </w:tc>
        <w:tc>
          <w:tcPr>
            <w:tcW w:w="603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t>Maintain records</w:t>
            </w:r>
          </w:p>
          <w:p w:rsidR="00000000" w:rsidRPr="00966822" w:rsidP="00966822">
            <w:pPr>
              <w:pStyle w:val="BodyText"/>
            </w:pPr>
            <w:r w:rsidRPr="00966822">
              <w:t>Evidence shall show an ability to maintain of records for the repair and modification of Gas Industry pipelines (Distribution) systems, indicated by the following:</w:t>
            </w:r>
          </w:p>
          <w:p w:rsidR="00000000" w:rsidRPr="00966822" w:rsidP="00966822">
            <w:pPr>
              <w:pStyle w:val="ListBullet"/>
            </w:pPr>
            <w:r w:rsidRPr="00966822">
              <w:t>Interpr</w:t>
            </w:r>
            <w:r w:rsidRPr="00966822">
              <w:t xml:space="preserve">et and apply enterprise policies and procedures </w:t>
            </w:r>
          </w:p>
          <w:p w:rsidR="00000000" w:rsidRPr="00966822" w:rsidP="00966822">
            <w:pPr>
              <w:pStyle w:val="ListBullet"/>
            </w:pPr>
            <w:r w:rsidRPr="00966822">
              <w:t>Collate all relevant data</w:t>
            </w:r>
          </w:p>
          <w:p w:rsidR="00000000" w:rsidRPr="00966822" w:rsidP="00966822">
            <w:pPr>
              <w:pStyle w:val="ListBullet"/>
            </w:pPr>
            <w:r w:rsidRPr="00966822">
              <w:t>Identify and complete the relevant records, drawings, documents and forms</w:t>
            </w:r>
          </w:p>
          <w:p w:rsidR="00000000" w:rsidP="00966822">
            <w:pPr>
              <w:pStyle w:val="ListBullet"/>
              <w:rPr>
                <w:lang w:val="en-NZ"/>
              </w:rPr>
            </w:pPr>
            <w:r w:rsidRPr="00966822">
              <w:t>Store records in a secure manner consistent with enterprise policies and procedures</w:t>
            </w:r>
          </w:p>
        </w:tc>
      </w:tr>
      <w:tr w:rsidTr="00EA38B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G 3.2.19</w:t>
            </w:r>
          </w:p>
        </w:tc>
        <w:tc>
          <w:tcPr>
            <w:tcW w:w="603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t>Liaise and c</w:t>
            </w:r>
            <w:r w:rsidRPr="00966822">
              <w:t xml:space="preserve">ommunicate with relevant parties </w:t>
            </w:r>
          </w:p>
          <w:p w:rsidR="00000000" w:rsidRPr="00966822" w:rsidP="00966822">
            <w:pPr>
              <w:pStyle w:val="BodyText"/>
            </w:pPr>
            <w:r w:rsidRPr="00966822">
              <w:t>Evidence shall show an understanding of liaising and communicating with relevant parties involved in repair or modification of Gas Industry pipelines (Distribution), specifically:</w:t>
            </w:r>
          </w:p>
          <w:p w:rsidR="00000000" w:rsidRPr="00966822" w:rsidP="00966822">
            <w:pPr>
              <w:pStyle w:val="ListBullet"/>
            </w:pPr>
            <w:r w:rsidRPr="00966822">
              <w:t xml:space="preserve">Interpret and apply enterprise policies and procedures </w:t>
            </w:r>
          </w:p>
          <w:p w:rsidR="00000000" w:rsidRPr="00966822" w:rsidP="00966822">
            <w:pPr>
              <w:pStyle w:val="ListBullet"/>
            </w:pPr>
            <w:r w:rsidRPr="00966822">
              <w:t>Identify key stakeholders</w:t>
            </w:r>
          </w:p>
          <w:p w:rsidR="00000000" w:rsidRPr="00966822" w:rsidP="00966822">
            <w:pPr>
              <w:pStyle w:val="ListBullet"/>
            </w:pPr>
            <w:r w:rsidRPr="00966822">
              <w:t>Identify specialists that can assist in repair/modification work</w:t>
            </w:r>
          </w:p>
          <w:p w:rsidR="00000000" w:rsidRPr="00966822" w:rsidP="00966822">
            <w:pPr>
              <w:pStyle w:val="ListBullet"/>
            </w:pPr>
            <w:r w:rsidRPr="00966822">
              <w:t>Identify responsibilities and reporting requirements of third parties</w:t>
            </w:r>
          </w:p>
          <w:p w:rsidR="00000000" w:rsidP="00966822">
            <w:pPr>
              <w:pStyle w:val="ListBullet"/>
              <w:rPr>
                <w:lang w:val="en-NZ"/>
              </w:rPr>
            </w:pPr>
            <w:r w:rsidRPr="00966822">
              <w:t>Establish communication lines with part</w:t>
            </w:r>
            <w:r w:rsidRPr="00966822">
              <w:t>ies that require notification of repairs/modifications</w:t>
            </w:r>
          </w:p>
        </w:tc>
      </w:tr>
      <w:tr w:rsidTr="00EA38B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G 3.8.1</w:t>
            </w:r>
          </w:p>
        </w:tc>
        <w:tc>
          <w:tcPr>
            <w:tcW w:w="603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t>Control systems operations flow</w:t>
            </w:r>
          </w:p>
          <w:p w:rsidR="00000000" w:rsidRPr="00966822" w:rsidP="00966822">
            <w:pPr>
              <w:pStyle w:val="BodyText"/>
            </w:pPr>
            <w:r w:rsidRPr="00966822">
              <w:t>Evidence shall show an understanding of the workings of gas flow and the devices used to control flow control, indicated by the following:</w:t>
            </w:r>
          </w:p>
          <w:p w:rsidR="00000000" w:rsidP="00966822">
            <w:pPr>
              <w:pStyle w:val="ListBullet"/>
              <w:rPr>
                <w:lang w:val="en-NZ"/>
              </w:rPr>
            </w:pPr>
            <w:r w:rsidRPr="00966822">
              <w:t>understanding gas fl</w:t>
            </w:r>
            <w:r w:rsidRPr="00966822">
              <w:t>ow control devices.</w:t>
            </w:r>
          </w:p>
        </w:tc>
      </w:tr>
      <w:tr w:rsidTr="00EA38B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G 4.1.5</w:t>
            </w:r>
          </w:p>
        </w:tc>
        <w:tc>
          <w:tcPr>
            <w:tcW w:w="603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t>Interpret Gas Industry drawings</w:t>
            </w:r>
          </w:p>
          <w:p w:rsidR="00000000" w:rsidRPr="00966822" w:rsidP="00966822">
            <w:pPr>
              <w:pStyle w:val="BodyText"/>
            </w:pPr>
            <w:r w:rsidRPr="00966822">
              <w:t>Evidence shall show an ability to interpret and understand Gas Industry technical drawings, indicated by the following:</w:t>
            </w:r>
          </w:p>
          <w:p w:rsidR="00000000" w:rsidRPr="00966822" w:rsidP="00966822">
            <w:pPr>
              <w:pStyle w:val="ListBullet"/>
            </w:pPr>
            <w:r w:rsidRPr="00966822">
              <w:t xml:space="preserve">understanding and interpreting relevant technical drawings including, but </w:t>
            </w:r>
            <w:r w:rsidRPr="00966822">
              <w:t>not limited to:</w:t>
            </w:r>
          </w:p>
          <w:p w:rsidR="00000000" w:rsidRPr="00966822" w:rsidP="00966822">
            <w:pPr>
              <w:pStyle w:val="ListBullet2"/>
            </w:pPr>
            <w:r w:rsidRPr="00966822">
              <w:t>Process and Instrumentation Diagrams (PID)</w:t>
            </w:r>
          </w:p>
          <w:p w:rsidR="00000000" w:rsidRPr="00966822" w:rsidP="00966822">
            <w:pPr>
              <w:pStyle w:val="ListBullet2"/>
            </w:pPr>
            <w:r w:rsidRPr="00966822">
              <w:t>Facility and pipeline construction and as-built drawings</w:t>
            </w:r>
          </w:p>
          <w:p w:rsidR="00000000" w:rsidRPr="00966822" w:rsidP="00966822">
            <w:pPr>
              <w:pStyle w:val="ListBullet2"/>
            </w:pPr>
            <w:r w:rsidRPr="00966822">
              <w:t>Geographical Information System (GIS) drawings and data</w:t>
            </w:r>
          </w:p>
          <w:p w:rsidR="00000000" w:rsidRPr="00966822" w:rsidP="00966822">
            <w:pPr>
              <w:pStyle w:val="ListBullet2"/>
            </w:pPr>
            <w:r w:rsidRPr="00966822">
              <w:t>Electrical drawings</w:t>
            </w:r>
          </w:p>
          <w:p w:rsidR="00000000" w:rsidRPr="00966822" w:rsidP="00966822">
            <w:pPr>
              <w:pStyle w:val="ListBullet2"/>
            </w:pPr>
            <w:r w:rsidRPr="00966822">
              <w:t>Survey maps</w:t>
            </w:r>
          </w:p>
          <w:p w:rsidR="00000000" w:rsidRPr="00966822" w:rsidP="00966822">
            <w:pPr>
              <w:pStyle w:val="ListBullet2"/>
            </w:pPr>
            <w:r w:rsidRPr="00966822">
              <w:t>Pipeline route maps and alignment sheets</w:t>
            </w:r>
          </w:p>
        </w:tc>
      </w:tr>
    </w:tbl>
    <w:p w:rsidR="00EA38BE" w:rsidP="00966822">
      <w:pPr>
        <w:pStyle w:val="BodyText"/>
      </w:pPr>
    </w:p>
    <w:p w:rsidR="00EA38BE" w:rsidP="00966822">
      <w:pPr>
        <w:pStyle w:val="BodyText"/>
      </w:pPr>
    </w:p>
    <w:p w:rsidR="00000000" w:rsidRPr="00966822" w:rsidP="00966822">
      <w:pPr>
        <w:pStyle w:val="Heading1"/>
      </w:pPr>
      <w:bookmarkStart w:id="10" w:name="O_402516"/>
      <w:bookmarkEnd w:id="10"/>
      <w:r w:rsidRPr="00966822">
        <w:t>Evidence Guide</w:t>
      </w:r>
    </w:p>
    <w:tbl>
      <w:tblPr>
        <w:tblW w:w="0" w:type="auto"/>
        <w:tblLayout w:type="fixed"/>
        <w:tblCellMar>
          <w:left w:w="62" w:type="dxa"/>
          <w:right w:w="62" w:type="dxa"/>
        </w:tblCellMar>
        <w:tblLook w:val="0000"/>
      </w:tblPr>
      <w:tblGrid>
        <w:gridCol w:w="8460"/>
      </w:tblGrid>
      <w:tr w:rsidTr="00EA38B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rPr>
                <w:rStyle w:val="SpecialBold"/>
              </w:rPr>
              <w:t>EVIDENCE GUIDE</w:t>
            </w:r>
          </w:p>
        </w:tc>
      </w:tr>
      <w:tr w:rsidTr="00EA38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rPr>
                <w:rStyle w:val="SpecialBold"/>
              </w:rPr>
              <w:t>9)</w:t>
            </w:r>
            <w:r w:rsidRPr="00966822">
              <w:t xml:space="preserve"> The Evidence Guide forms an integral part of this Competency Standard Unit and shall be used </w:t>
            </w:r>
            <w:r w:rsidRPr="00966822">
              <w:t>in conjunction with all components parts of this unit and performed in accordance with the Assessment Guidelines of this Training Package.</w:t>
            </w:r>
          </w:p>
        </w:tc>
      </w:tr>
    </w:tbl>
    <w:p w:rsidR="00000000" w:rsidRPr="00966822" w:rsidP="00966822">
      <w:pPr>
        <w:pStyle w:val="BodyText"/>
      </w:pPr>
    </w:p>
    <w:tbl>
      <w:tblPr>
        <w:tblW w:w="0" w:type="auto"/>
        <w:tblLayout w:type="fixed"/>
        <w:tblCellMar>
          <w:left w:w="62" w:type="dxa"/>
          <w:right w:w="62" w:type="dxa"/>
        </w:tblCellMar>
        <w:tblLook w:val="0000"/>
      </w:tblPr>
      <w:tblGrid>
        <w:gridCol w:w="1890"/>
        <w:gridCol w:w="6570"/>
      </w:tblGrid>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rPr>
                <w:rStyle w:val="SpecialBold"/>
              </w:rPr>
              <w:t>9.1)</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Longitudinal competency development approaches to assessment, such as Profiling, requ</w:t>
            </w:r>
            <w:r w:rsidRPr="00966822">
              <w:t>ire data to be reliably gathered in a form that can be consistently interpreted over time. This approach is best utilised in Apprenticeship programs and reduces assessment intervention. It is the Industry’s preferred model for apprenticeships. However, whe</w:t>
            </w:r>
            <w:r w:rsidRPr="00966822">
              <w:t>re summative (or final) assessment is used it is to include the application of the competency in the normal work environment or, at a minimum, the application of the competency in a realistically simulated work environment. It is recognised that, in some c</w:t>
            </w:r>
            <w:r w:rsidRPr="00966822">
              <w:t>ircumstances, assessment in part or full can occur outside the workplace. However, it must be in accord with Industry regulatory policy in this regard.</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Methods chosen for a particular assessment will be influenced by various factors. These include the extent of the assessment, the most effective locations for the assessment activities to take place, access to physical resources, additional safety measures</w:t>
            </w:r>
            <w:r w:rsidRPr="00966822">
              <w:t xml:space="preserve"> that may be required and the critical nature of the competencies being assessed.</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The critical safety nature of working with electricity, electrical equipment, gas or any other hazardous substance/material carries risk in deeming a person competent. Henc</w:t>
            </w:r>
            <w:r w:rsidRPr="00966822">
              <w:t>e, sources of evidence need to be ‘rich’ in nature so as to minimise error in judgment.</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t>Activities associated with normal every day work have a bearing on the decision as to how much and how detailed the data gathered will contribute to its ‘richness’. S</w:t>
            </w:r>
            <w:r w:rsidRPr="00966822">
              <w:t>ome skills are more critical to safety and operational requirements while the same skills may be more or less frequently practiced. These points are raised for the assessors to consider when choosing an assessment method and developing assessment instrumen</w:t>
            </w:r>
            <w:r w:rsidRPr="00966822">
              <w:t>ts. Sample assessment instruments are included for Assessors in the Assessment Guidelines of this Training Package.</w:t>
            </w:r>
          </w:p>
        </w:tc>
      </w:tr>
    </w:tbl>
    <w:p w:rsidR="00000000" w:rsidRPr="00966822" w:rsidP="00966822">
      <w:pPr>
        <w:pStyle w:val="BodyText"/>
      </w:pPr>
    </w:p>
    <w:tbl>
      <w:tblPr>
        <w:tblW w:w="0" w:type="auto"/>
        <w:tblLayout w:type="fixed"/>
        <w:tblCellMar>
          <w:left w:w="62" w:type="dxa"/>
          <w:right w:w="62" w:type="dxa"/>
        </w:tblCellMar>
        <w:tblLook w:val="0000"/>
      </w:tblPr>
      <w:tblGrid>
        <w:gridCol w:w="1890"/>
        <w:gridCol w:w="6570"/>
      </w:tblGrid>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rPr>
                <w:rStyle w:val="SpecialBold"/>
              </w:rPr>
              <w:t>9.2)</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Before the critical aspects of evidence are considered</w:t>
            </w:r>
            <w:r w:rsidRPr="00966822">
              <w:t xml:space="preserve"> all prerequisites shall be met.</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Evidence for competence in this unit shall be considered holistically. Each element and associated Performance Criteria shall be demonstrated on at least two occasions in accordance with the ‘Assessment Guidelines — UEG11</w:t>
            </w:r>
            <w:r w:rsidRPr="00966822">
              <w:t>’. Evidence shall also comprise:</w:t>
            </w:r>
          </w:p>
        </w:tc>
      </w:tr>
      <w:tr w:rsidTr="00EA38BE">
        <w:tblPrEx>
          <w:tblW w:w="0" w:type="auto"/>
          <w:tblLayout w:type="fixed"/>
          <w:tblCellMar>
            <w:left w:w="62" w:type="dxa"/>
            <w:right w:w="62" w:type="dxa"/>
          </w:tblCellMar>
          <w:tblLook w:val="0000"/>
        </w:tblPrEx>
        <w:trPr>
          <w:trHeight w:val="1004"/>
        </w:trPr>
        <w:tc>
          <w:tcPr>
            <w:tcW w:w="189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66822">
            <w:pPr>
              <w:pStyle w:val="ListBullet"/>
              <w:rPr>
                <w:lang w:val="en-NZ"/>
              </w:rPr>
            </w:pPr>
            <w:r w:rsidRPr="00966822">
              <w:t>A representative body of work performance demonstrated within the timeframes typically expected of the discipline, work function and industrial environment. In particular this shall incorporate evidence that shows a candi</w:t>
            </w:r>
            <w:r w:rsidRPr="00966822">
              <w:t>date is able to:</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66822">
            <w:pPr>
              <w:pStyle w:val="ListBullet2"/>
              <w:rPr>
                <w:lang w:val="en-NZ"/>
              </w:rPr>
            </w:pPr>
            <w:r w:rsidRPr="00966822">
              <w:t>Implement Occupational Health and Safety workplace procedures and practices including the use of risk control measures as specified in the Performance Criteria and range</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66822">
            <w:pPr>
              <w:pStyle w:val="ListBullet2"/>
              <w:rPr>
                <w:lang w:val="en-NZ"/>
              </w:rPr>
            </w:pPr>
            <w:r w:rsidRPr="00966822">
              <w:t>Apply sustainable energy principles and practices as specified in the Performance Criteria and range</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66822">
            <w:pPr>
              <w:pStyle w:val="ListBullet2"/>
              <w:rPr>
                <w:lang w:val="en-NZ"/>
              </w:rPr>
            </w:pPr>
            <w:r w:rsidRPr="00966822">
              <w:t>Demonstrate an understanding of the essential knowledge and associated skills as described in this unit to such an extent that the learner’s performance</w:t>
            </w:r>
            <w:r w:rsidRPr="00966822">
              <w:t xml:space="preserve"> outcome is reported in accordance with the preferred approach; namely a percentile graded result, where required by the regulated environment</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66822">
            <w:pPr>
              <w:pStyle w:val="ListBullet2"/>
              <w:rPr>
                <w:lang w:val="en-NZ"/>
              </w:rPr>
            </w:pPr>
            <w:r w:rsidRPr="00966822">
              <w:t>Demonstrate an appropriate level of employability skills</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66822">
            <w:pPr>
              <w:pStyle w:val="ListBullet2"/>
              <w:rPr>
                <w:lang w:val="en-NZ"/>
              </w:rPr>
            </w:pPr>
            <w:r w:rsidRPr="00966822">
              <w:t>Conduct work observing the relevant anti-discrimin</w:t>
            </w:r>
            <w:r w:rsidRPr="00966822">
              <w:t>ation legislation, regulations, polices and workplace procedures</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966822" w:rsidP="00966822">
            <w:pPr>
              <w:pStyle w:val="ListBullet"/>
            </w:pPr>
            <w:r w:rsidRPr="00966822">
              <w:t>Demonstrate performance across a representative range of contexts from the prescribed items below.</w:t>
            </w:r>
          </w:p>
        </w:tc>
      </w:tr>
    </w:tbl>
    <w:p w:rsidR="00000000" w:rsidRPr="00966822" w:rsidP="00966822">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EA38BE">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966822">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rPr>
                <w:rStyle w:val="SpecialBold"/>
              </w:rPr>
              <w:t>Range of tools/equipment/procedures/workplace</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96682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22" w:rsidP="00966822">
            <w:pPr>
              <w:pStyle w:val="BodyText"/>
            </w:pPr>
            <w:r w:rsidRPr="00966822">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22" w:rsidP="00966822">
            <w:pPr>
              <w:pStyle w:val="BodyText"/>
            </w:pPr>
            <w:r w:rsidRPr="00966822">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rPr>
                <w:rStyle w:val="SpecialBold"/>
              </w:rPr>
              <w:t>Item List</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22" w:rsidP="00966822">
            <w:pPr>
              <w:pStyle w:val="BodyText"/>
            </w:pPr>
            <w:r w:rsidRPr="00966822">
              <w:t>Interpret technical drawings and symbols</w:t>
            </w:r>
          </w:p>
          <w:p w:rsidR="00000000" w:rsidRPr="00966822" w:rsidP="00966822">
            <w:pPr>
              <w:pStyle w:val="BodyText"/>
            </w:pPr>
            <w:r w:rsidRPr="00966822">
              <w:t>Selection of appropriate tools and equipment</w:t>
            </w:r>
          </w:p>
          <w:p w:rsidR="00000000" w:rsidRPr="00966822" w:rsidP="00966822">
            <w:pPr>
              <w:pStyle w:val="BodyText"/>
            </w:pPr>
            <w:r w:rsidRPr="00966822">
              <w:t>System knowledge of Transmission pipelines and stations</w:t>
            </w:r>
          </w:p>
          <w:p w:rsidR="00000000" w:rsidP="00966822">
            <w:pPr>
              <w:pStyle w:val="BodyText"/>
              <w:rPr>
                <w:lang w:val="en-NZ"/>
              </w:rPr>
            </w:pPr>
            <w:r w:rsidRPr="00966822">
              <w:t>Relevant knowledge of A</w:t>
            </w:r>
            <w:r w:rsidRPr="00966822">
              <w:t>S3885 Part 3</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22" w:rsidP="00966822">
            <w:pPr>
              <w:pStyle w:val="BodyText"/>
            </w:pPr>
            <w:r w:rsidRPr="00966822">
              <w:t>Auxiliary control systems knowledge and understanding</w:t>
            </w:r>
          </w:p>
          <w:p w:rsidR="00000000" w:rsidRPr="00966822" w:rsidP="00966822">
            <w:pPr>
              <w:pStyle w:val="BodyText"/>
            </w:pPr>
            <w:r w:rsidRPr="00966822">
              <w:t>Wide open monitor operation</w:t>
            </w:r>
          </w:p>
          <w:p w:rsidR="00000000" w:rsidRPr="00966822" w:rsidP="00966822">
            <w:pPr>
              <w:pStyle w:val="BodyText"/>
            </w:pPr>
            <w:r w:rsidRPr="00966822">
              <w:t>Monitor Active Regulation</w:t>
            </w:r>
          </w:p>
          <w:p w:rsidR="00000000" w:rsidP="00966822">
            <w:pPr>
              <w:pStyle w:val="BodyText"/>
              <w:rPr>
                <w:lang w:val="en-NZ"/>
              </w:rPr>
            </w:pPr>
            <w:r w:rsidRPr="00966822">
              <w:t>Two stage pressure reduction with monitor override</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RTU control of regulators</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22" w:rsidP="00966822">
            <w:pPr>
              <w:pStyle w:val="BodyText"/>
            </w:pPr>
            <w:r w:rsidRPr="00966822">
              <w:t>Pressure Controllers, operation, maintenance and understanding</w:t>
            </w:r>
          </w:p>
          <w:p w:rsidR="00000000" w:rsidRPr="00966822" w:rsidP="00966822">
            <w:pPr>
              <w:pStyle w:val="BodyText"/>
            </w:pPr>
            <w:r w:rsidRPr="00966822">
              <w:t>Commissioning/Setting</w:t>
            </w:r>
          </w:p>
          <w:p w:rsidR="00000000" w:rsidRPr="00966822" w:rsidP="00966822">
            <w:pPr>
              <w:pStyle w:val="BodyText"/>
            </w:pPr>
            <w:r w:rsidRPr="00966822">
              <w:t>Troubleshooting</w:t>
            </w:r>
          </w:p>
          <w:p w:rsidR="00000000" w:rsidRPr="00966822" w:rsidP="00966822">
            <w:pPr>
              <w:pStyle w:val="BodyText"/>
            </w:pPr>
            <w:r w:rsidRPr="00966822">
              <w:t>Pressure Boosters minor repairs</w:t>
            </w:r>
          </w:p>
          <w:p w:rsidR="00000000" w:rsidP="00966822">
            <w:pPr>
              <w:pStyle w:val="BodyText"/>
              <w:rPr>
                <w:lang w:val="en-NZ"/>
              </w:rPr>
            </w:pPr>
            <w:r w:rsidRPr="00966822">
              <w:t>Knowledge of types/models</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22" w:rsidP="00966822">
            <w:pPr>
              <w:pStyle w:val="BodyText"/>
            </w:pPr>
            <w:r w:rsidRPr="00966822">
              <w:t>Regulator knowledge and understanding</w:t>
            </w:r>
          </w:p>
          <w:p w:rsidR="00000000" w:rsidRPr="00966822" w:rsidP="00966822">
            <w:pPr>
              <w:pStyle w:val="BodyText"/>
            </w:pPr>
            <w:r w:rsidRPr="00966822">
              <w:t>Sleeve types</w:t>
            </w:r>
          </w:p>
          <w:p w:rsidR="00000000" w:rsidRPr="00966822" w:rsidP="00966822">
            <w:pPr>
              <w:pStyle w:val="BodyText"/>
            </w:pPr>
            <w:r w:rsidRPr="00966822">
              <w:t>Control valves</w:t>
            </w:r>
          </w:p>
          <w:p w:rsidR="00000000" w:rsidRPr="00966822" w:rsidP="00966822">
            <w:pPr>
              <w:pStyle w:val="BodyText"/>
            </w:pPr>
            <w:r w:rsidRPr="00966822">
              <w:t>Pressure reliefsDiaphragm types</w:t>
            </w:r>
          </w:p>
          <w:p w:rsidR="00000000" w:rsidP="00966822">
            <w:pPr>
              <w:pStyle w:val="BodyText"/>
              <w:rPr>
                <w:lang w:val="en-NZ"/>
              </w:rPr>
            </w:pPr>
            <w:r w:rsidRPr="00966822">
              <w:t>Hydraulic Plug types</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22" w:rsidP="00966822">
            <w:pPr>
              <w:pStyle w:val="BodyText"/>
            </w:pPr>
            <w:r w:rsidRPr="00966822">
              <w:t>Valve maintenance and operation.</w:t>
            </w:r>
          </w:p>
          <w:p w:rsidR="00000000" w:rsidRPr="00966822" w:rsidP="00966822">
            <w:pPr>
              <w:pStyle w:val="BodyText"/>
            </w:pPr>
            <w:r w:rsidRPr="00966822">
              <w:t>Automatic Line Break Valves operation and maintenance</w:t>
            </w:r>
          </w:p>
          <w:p w:rsidR="00000000" w:rsidP="00966822">
            <w:pPr>
              <w:pStyle w:val="BodyText"/>
              <w:rPr>
                <w:lang w:val="en-NZ"/>
              </w:rPr>
            </w:pPr>
            <w:r w:rsidRPr="00966822">
              <w:t>Configuration of Ball, Plug, Gate,  Instrument and Butterfly valves</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22" w:rsidP="00966822">
            <w:pPr>
              <w:pStyle w:val="BodyText"/>
            </w:pPr>
            <w:r w:rsidRPr="00966822">
              <w:t>Working knowledge of:</w:t>
            </w:r>
          </w:p>
          <w:p w:rsidR="00000000" w:rsidRPr="00966822" w:rsidP="00966822">
            <w:pPr>
              <w:pStyle w:val="BodyText"/>
            </w:pPr>
            <w:r w:rsidRPr="00966822">
              <w:t>Diaphragm meters</w:t>
            </w:r>
          </w:p>
          <w:p w:rsidR="00000000" w:rsidRPr="00966822" w:rsidP="00966822">
            <w:pPr>
              <w:pStyle w:val="BodyText"/>
            </w:pPr>
            <w:r w:rsidRPr="00966822">
              <w:t>Rotary meters</w:t>
            </w:r>
          </w:p>
          <w:p w:rsidR="00000000" w:rsidRPr="00966822" w:rsidP="00966822">
            <w:pPr>
              <w:pStyle w:val="BodyText"/>
            </w:pPr>
            <w:r w:rsidRPr="00966822">
              <w:t>Turbine meters</w:t>
            </w:r>
          </w:p>
          <w:p w:rsidR="00000000" w:rsidRPr="00966822" w:rsidP="00966822">
            <w:pPr>
              <w:pStyle w:val="BodyText"/>
            </w:pPr>
            <w:r w:rsidRPr="00966822">
              <w:t>Ultrasonic meters</w:t>
            </w:r>
          </w:p>
          <w:p w:rsidR="00000000" w:rsidRPr="00966822" w:rsidP="00966822">
            <w:pPr>
              <w:pStyle w:val="BodyText"/>
            </w:pPr>
            <w:r w:rsidRPr="00966822">
              <w:t>Orifice plates</w:t>
            </w:r>
          </w:p>
          <w:p w:rsidR="00000000" w:rsidRPr="00966822" w:rsidP="00966822">
            <w:pPr>
              <w:pStyle w:val="BodyText"/>
            </w:pPr>
            <w:r w:rsidRPr="00966822">
              <w:t>Coriolis meters</w:t>
            </w:r>
          </w:p>
          <w:p w:rsidR="00000000" w:rsidP="00966822">
            <w:pPr>
              <w:pStyle w:val="BodyText"/>
              <w:rPr>
                <w:lang w:val="en-NZ"/>
              </w:rPr>
            </w:pPr>
            <w:r w:rsidRPr="00966822">
              <w:t>Oil changing</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22" w:rsidP="00966822">
            <w:pPr>
              <w:pStyle w:val="BodyText"/>
            </w:pPr>
            <w:r w:rsidRPr="00966822">
              <w:t>Operational checks</w:t>
            </w:r>
          </w:p>
          <w:p w:rsidR="00000000" w:rsidRPr="00966822" w:rsidP="00966822">
            <w:pPr>
              <w:pStyle w:val="BodyText"/>
            </w:pPr>
            <w:r w:rsidRPr="00966822">
              <w:t>Single run units</w:t>
            </w:r>
          </w:p>
          <w:p w:rsidR="00000000" w:rsidRPr="00966822" w:rsidP="00966822">
            <w:pPr>
              <w:pStyle w:val="BodyText"/>
            </w:pPr>
            <w:r w:rsidRPr="00966822">
              <w:t>Dual run units</w:t>
            </w:r>
          </w:p>
          <w:p w:rsidR="00000000" w:rsidRPr="00966822" w:rsidP="00966822">
            <w:pPr>
              <w:pStyle w:val="BodyText"/>
            </w:pPr>
            <w:r w:rsidRPr="00966822">
              <w:t>City gates or Trunk Receiving Stations (TRS)</w:t>
            </w:r>
          </w:p>
          <w:p w:rsidR="00000000" w:rsidRPr="00966822" w:rsidP="00966822">
            <w:pPr>
              <w:pStyle w:val="BodyText"/>
            </w:pPr>
            <w:r w:rsidRPr="00966822">
              <w:t>District regulators</w:t>
            </w:r>
          </w:p>
          <w:p w:rsidR="00000000" w:rsidP="00966822">
            <w:pPr>
              <w:pStyle w:val="BodyText"/>
              <w:rPr>
                <w:lang w:val="en-NZ"/>
              </w:rPr>
            </w:pPr>
            <w:r w:rsidRPr="00966822">
              <w:t>Pressure Reliefs</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I</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22" w:rsidP="00966822">
            <w:pPr>
              <w:pStyle w:val="BodyText"/>
            </w:pPr>
            <w:r w:rsidRPr="00966822">
              <w:t>Maintenance Activities</w:t>
            </w:r>
          </w:p>
          <w:p w:rsidR="00000000" w:rsidRPr="00966822" w:rsidP="00966822">
            <w:pPr>
              <w:pStyle w:val="BodyText"/>
            </w:pPr>
            <w:r w:rsidRPr="00966822">
              <w:t>Single run units</w:t>
            </w:r>
          </w:p>
          <w:p w:rsidR="00000000" w:rsidRPr="00966822" w:rsidP="00966822">
            <w:pPr>
              <w:pStyle w:val="BodyText"/>
            </w:pPr>
            <w:r w:rsidRPr="00966822">
              <w:t>Dual run units</w:t>
            </w:r>
          </w:p>
          <w:p w:rsidR="00000000" w:rsidRPr="00966822" w:rsidP="00966822">
            <w:pPr>
              <w:pStyle w:val="BodyText"/>
            </w:pPr>
            <w:r w:rsidRPr="00966822">
              <w:t>City gates</w:t>
            </w:r>
          </w:p>
          <w:p w:rsidR="00000000" w:rsidRPr="00966822" w:rsidP="00966822">
            <w:pPr>
              <w:pStyle w:val="BodyText"/>
            </w:pPr>
            <w:r w:rsidRPr="00966822">
              <w:t>District Regulators</w:t>
            </w:r>
          </w:p>
          <w:p w:rsidR="00000000" w:rsidP="00966822">
            <w:pPr>
              <w:pStyle w:val="BodyText"/>
              <w:rPr>
                <w:lang w:val="en-NZ"/>
              </w:rPr>
            </w:pPr>
            <w:r w:rsidRPr="00966822">
              <w:t>Pressure Reliefs</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J</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22" w:rsidP="00966822">
            <w:pPr>
              <w:pStyle w:val="BodyText"/>
            </w:pPr>
            <w:r w:rsidRPr="00966822">
              <w:t>Pressure alterations</w:t>
            </w:r>
          </w:p>
          <w:p w:rsidR="00000000" w:rsidRPr="00966822" w:rsidP="00966822">
            <w:pPr>
              <w:pStyle w:val="BodyText"/>
            </w:pPr>
            <w:r w:rsidRPr="00966822">
              <w:t>Industrial units</w:t>
            </w:r>
          </w:p>
          <w:p w:rsidR="00000000" w:rsidRPr="00966822" w:rsidP="00966822">
            <w:pPr>
              <w:pStyle w:val="BodyText"/>
            </w:pPr>
            <w:r w:rsidRPr="00966822">
              <w:t>City gates</w:t>
            </w:r>
          </w:p>
          <w:p w:rsidR="00000000" w:rsidRPr="00966822" w:rsidP="00966822">
            <w:pPr>
              <w:pStyle w:val="BodyText"/>
            </w:pPr>
            <w:r w:rsidRPr="00966822">
              <w:t>Regulator Stations</w:t>
            </w:r>
          </w:p>
          <w:p w:rsidR="00000000" w:rsidP="00966822">
            <w:pPr>
              <w:pStyle w:val="BodyText"/>
              <w:rPr>
                <w:lang w:val="en-NZ"/>
              </w:rPr>
            </w:pPr>
            <w:r w:rsidRPr="00966822">
              <w:t>Distribution mains</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K</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22" w:rsidP="00966822">
            <w:pPr>
              <w:pStyle w:val="BodyText"/>
            </w:pPr>
            <w:r w:rsidRPr="00966822">
              <w:t>Flaring and Purging</w:t>
            </w:r>
          </w:p>
          <w:p w:rsidR="00000000" w:rsidRPr="00966822" w:rsidP="00966822">
            <w:pPr>
              <w:pStyle w:val="BodyText"/>
            </w:pPr>
            <w:r w:rsidRPr="00966822">
              <w:t>Industrial units</w:t>
            </w:r>
          </w:p>
          <w:p w:rsidR="00000000" w:rsidRPr="00966822" w:rsidP="00966822">
            <w:pPr>
              <w:pStyle w:val="BodyText"/>
            </w:pPr>
            <w:r w:rsidRPr="00966822">
              <w:t>City gates</w:t>
            </w:r>
          </w:p>
          <w:p w:rsidR="00000000" w:rsidRPr="00966822" w:rsidP="00966822">
            <w:pPr>
              <w:pStyle w:val="BodyText"/>
            </w:pPr>
            <w:r w:rsidRPr="00966822">
              <w:t>Regulator Stations</w:t>
            </w:r>
          </w:p>
          <w:p w:rsidR="00000000" w:rsidP="00966822">
            <w:pPr>
              <w:pStyle w:val="BodyText"/>
              <w:rPr>
                <w:lang w:val="en-NZ"/>
              </w:rPr>
            </w:pPr>
            <w:r w:rsidRPr="00966822">
              <w:t>Distribution mains</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L</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22" w:rsidP="00966822">
            <w:pPr>
              <w:pStyle w:val="BodyText"/>
            </w:pPr>
            <w:r w:rsidRPr="00966822">
              <w:t>Overpressure Protection Systems function and operation.</w:t>
            </w:r>
          </w:p>
          <w:p w:rsidR="00000000" w:rsidRPr="00966822" w:rsidP="00966822">
            <w:pPr>
              <w:pStyle w:val="BodyText"/>
            </w:pPr>
            <w:r w:rsidRPr="00966822">
              <w:t>OPSO</w:t>
            </w:r>
          </w:p>
          <w:p w:rsidR="00000000" w:rsidRPr="00966822" w:rsidP="00966822">
            <w:pPr>
              <w:pStyle w:val="BodyText"/>
            </w:pPr>
            <w:r w:rsidRPr="00966822">
              <w:t>Internal pressure relief systems</w:t>
            </w:r>
          </w:p>
          <w:p w:rsidR="00000000" w:rsidRPr="00966822" w:rsidP="00966822">
            <w:pPr>
              <w:pStyle w:val="BodyText"/>
            </w:pPr>
            <w:r w:rsidRPr="00966822">
              <w:t>Pressure relief valves</w:t>
            </w:r>
          </w:p>
          <w:p w:rsidR="00000000" w:rsidRPr="00966822" w:rsidP="00966822">
            <w:pPr>
              <w:pStyle w:val="BodyText"/>
            </w:pPr>
            <w:r w:rsidRPr="00966822">
              <w:t>Slam Shut systems</w:t>
            </w:r>
          </w:p>
          <w:p w:rsidR="00000000" w:rsidP="00966822">
            <w:pPr>
              <w:pStyle w:val="BodyText"/>
              <w:rPr>
                <w:lang w:val="en-NZ"/>
              </w:rPr>
            </w:pPr>
            <w:r w:rsidRPr="00966822">
              <w:t>Valve Actuator and control systems</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M</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22" w:rsidP="00966822">
            <w:pPr>
              <w:pStyle w:val="BodyText"/>
            </w:pPr>
            <w:r w:rsidRPr="00966822">
              <w:t>Paperwork:</w:t>
            </w:r>
          </w:p>
          <w:p w:rsidR="00000000" w:rsidRPr="00966822" w:rsidP="00966822">
            <w:pPr>
              <w:pStyle w:val="BodyText"/>
            </w:pPr>
            <w:r w:rsidRPr="00966822">
              <w:t>Risk assessments</w:t>
            </w:r>
          </w:p>
          <w:p w:rsidR="00000000" w:rsidRPr="00966822" w:rsidP="00966822">
            <w:pPr>
              <w:pStyle w:val="BodyText"/>
            </w:pPr>
            <w:r w:rsidRPr="00966822">
              <w:t>Time sheets</w:t>
            </w:r>
          </w:p>
          <w:p w:rsidR="00000000" w:rsidRPr="00966822" w:rsidP="00966822">
            <w:pPr>
              <w:pStyle w:val="BodyText"/>
            </w:pPr>
            <w:r w:rsidRPr="00966822">
              <w:t xml:space="preserve">Completing work records </w:t>
            </w:r>
          </w:p>
          <w:p w:rsidR="00000000" w:rsidRPr="00966822" w:rsidP="00966822">
            <w:pPr>
              <w:pStyle w:val="BodyText"/>
            </w:pPr>
            <w:r w:rsidRPr="00966822">
              <w:t>Notifications and work permits</w:t>
            </w:r>
          </w:p>
          <w:p w:rsidR="00000000" w:rsidRPr="00966822" w:rsidP="00966822">
            <w:pPr>
              <w:pStyle w:val="BodyText"/>
            </w:pPr>
            <w:r w:rsidRPr="00966822">
              <w:t>Equipment check lists</w:t>
            </w:r>
          </w:p>
          <w:p w:rsidR="00000000" w:rsidRPr="00966822" w:rsidP="00966822">
            <w:pPr>
              <w:pStyle w:val="BodyText"/>
            </w:pPr>
            <w:r w:rsidRPr="00966822">
              <w:t>Meter bypass forms</w:t>
            </w:r>
          </w:p>
          <w:p w:rsidR="00000000" w:rsidRPr="00966822" w:rsidP="00966822">
            <w:pPr>
              <w:pStyle w:val="BodyText"/>
            </w:pPr>
            <w:r w:rsidRPr="00966822">
              <w:t>Service orders</w:t>
            </w:r>
          </w:p>
          <w:p w:rsidR="00000000" w:rsidP="00966822">
            <w:pPr>
              <w:pStyle w:val="BodyText"/>
              <w:rPr>
                <w:lang w:val="en-NZ"/>
              </w:rPr>
            </w:pPr>
            <w:r w:rsidRPr="00966822">
              <w:t>Pressure recording charts</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N</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22">
            <w:pPr>
              <w:pStyle w:val="BodyText"/>
              <w:rPr>
                <w:lang w:val="en-NZ"/>
              </w:rPr>
            </w:pPr>
            <w:r w:rsidRPr="00966822">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22" w:rsidP="00966822">
            <w:pPr>
              <w:pStyle w:val="BodyText"/>
            </w:pPr>
            <w:r w:rsidRPr="00966822">
              <w:t xml:space="preserve">Deal with an unplanned event by drawing on essential knowledge and associated skills to provide appropriate solutions incorporated in the holistic assessment with the above listed items </w:t>
            </w:r>
          </w:p>
        </w:tc>
      </w:tr>
    </w:tbl>
    <w:p w:rsidR="00000000" w:rsidRPr="00966822" w:rsidP="00966822">
      <w:pPr>
        <w:pStyle w:val="BodyText"/>
      </w:pPr>
    </w:p>
    <w:tbl>
      <w:tblPr>
        <w:tblW w:w="0" w:type="auto"/>
        <w:tblLayout w:type="fixed"/>
        <w:tblCellMar>
          <w:left w:w="62" w:type="dxa"/>
          <w:right w:w="62" w:type="dxa"/>
        </w:tblCellMar>
        <w:tblLook w:val="0000"/>
      </w:tblPr>
      <w:tblGrid>
        <w:gridCol w:w="1890"/>
        <w:gridCol w:w="6570"/>
      </w:tblGrid>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rPr>
                <w:rStyle w:val="SpecialBold"/>
              </w:rPr>
              <w:t>9.3)</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This unit should be assessed as it relates to normal work practice using procedures, information and resources typical of a workplace. This should include:</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66822">
            <w:pPr>
              <w:pStyle w:val="ListBullet"/>
              <w:rPr>
                <w:lang w:val="en-NZ"/>
              </w:rPr>
            </w:pPr>
            <w:r w:rsidRPr="00966822">
              <w:t>OHS policy and work procedures and instructions.</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66822">
            <w:pPr>
              <w:pStyle w:val="ListBullet"/>
              <w:rPr>
                <w:lang w:val="en-NZ"/>
              </w:rPr>
            </w:pPr>
            <w:r w:rsidRPr="00966822">
              <w:t>Suitable work environment, facilities, equipmen</w:t>
            </w:r>
            <w:r w:rsidRPr="00966822">
              <w:t>t and materials to undertake actual work as prescribed by this Competency Standard Unit.</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66822">
            <w:pPr>
              <w:pStyle w:val="ListBullet"/>
              <w:rPr>
                <w:lang w:val="en-NZ"/>
              </w:rPr>
            </w:pPr>
            <w:r w:rsidRPr="00966822">
              <w:t>Appropriate environmental regulation and work practices.</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66822">
            <w:pPr>
              <w:pStyle w:val="ListBullet"/>
              <w:rPr>
                <w:lang w:val="en-NZ"/>
              </w:rPr>
            </w:pPr>
            <w:r w:rsidRPr="00966822">
              <w:t>Appropriate organisational requirements.</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In addition to the resources listed above, in Context of and sp</w:t>
            </w:r>
            <w:r w:rsidRPr="00966822">
              <w:t>ecific resources for assessment, evidence should show demonstrated competency in monitoring and operating flow control, pressure, measuring and regulating devices for gas transmission.</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t>Assessment of this competency must also be undertaken in either an actual workplace or under a simulated work environment. Assessment must also integrate the employability skills.</w:t>
            </w:r>
          </w:p>
        </w:tc>
      </w:tr>
    </w:tbl>
    <w:p w:rsidR="00000000" w:rsidRPr="00966822" w:rsidP="00966822">
      <w:pPr>
        <w:pStyle w:val="BodyText"/>
      </w:pPr>
    </w:p>
    <w:tbl>
      <w:tblPr>
        <w:tblW w:w="0" w:type="auto"/>
        <w:tblLayout w:type="fixed"/>
        <w:tblCellMar>
          <w:left w:w="62" w:type="dxa"/>
          <w:right w:w="62" w:type="dxa"/>
        </w:tblCellMar>
        <w:tblLook w:val="0000"/>
      </w:tblPr>
      <w:tblGrid>
        <w:gridCol w:w="1890"/>
        <w:gridCol w:w="6570"/>
      </w:tblGrid>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rPr>
                <w:rStyle w:val="SpecialBold"/>
              </w:rPr>
              <w:t>9.4)</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This Competency Standard Unit shall be assesse</w:t>
            </w:r>
            <w:r w:rsidRPr="00966822">
              <w:t>d by methods given in Volume 1, Part 3 ‘Assessment Guidelines’.</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t>Note: Competent performance with inherent safe working practices is expected in the Industry to which this Competency Standard Unit applies. This requires that the specified Essential Knowle</w:t>
            </w:r>
            <w:r w:rsidRPr="00966822">
              <w:t>dge and Associated Skills are assessed in a structured environment which is primarily intended for learning/assessment and incorporates all necessary equipment and facilities for learners to develop and demonstrate the essential knowledge and associated sk</w:t>
            </w:r>
            <w:r w:rsidRPr="00966822">
              <w:t>ills described in this unit.</w:t>
            </w:r>
          </w:p>
        </w:tc>
      </w:tr>
    </w:tbl>
    <w:p w:rsidR="00000000" w:rsidRPr="00966822" w:rsidP="00966822">
      <w:pPr>
        <w:pStyle w:val="BodyText"/>
      </w:pPr>
    </w:p>
    <w:tbl>
      <w:tblPr>
        <w:tblW w:w="0" w:type="auto"/>
        <w:tblLayout w:type="fixed"/>
        <w:tblCellMar>
          <w:left w:w="62" w:type="dxa"/>
          <w:right w:w="62" w:type="dxa"/>
        </w:tblCellMar>
        <w:tblLook w:val="0000"/>
      </w:tblPr>
      <w:tblGrid>
        <w:gridCol w:w="1890"/>
        <w:gridCol w:w="1620"/>
        <w:gridCol w:w="4950"/>
      </w:tblGrid>
      <w:tr w:rsidTr="00EA38B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rPr>
                <w:rStyle w:val="SpecialBold"/>
              </w:rPr>
              <w:t>9.5)</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 xml:space="preserve">There are no recommended concurrent assessments with this unit, however in some cases efficiencies may be gained in terms of learning and assessment </w:t>
            </w:r>
            <w:r w:rsidRPr="00966822">
              <w:t>effort being concurrently managed with allied Competency Standard Units where listed.</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UEGNSG102B</w:t>
            </w:r>
          </w:p>
        </w:tc>
        <w:tc>
          <w:tcPr>
            <w:tcW w:w="495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Carry out work activities in a utilities industry work environment</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UEENEEE101A</w:t>
            </w:r>
          </w:p>
        </w:tc>
        <w:tc>
          <w:tcPr>
            <w:tcW w:w="495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Apply Occupational Health and Safety regulations, codes and</w:t>
            </w:r>
            <w:r w:rsidRPr="00966822">
              <w:t xml:space="preserve"> practices in the workplace</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UEGNSG104B</w:t>
            </w:r>
          </w:p>
        </w:tc>
        <w:tc>
          <w:tcPr>
            <w:tcW w:w="495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Comply with environmental policies and procedures</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UEGNSG105B</w:t>
            </w:r>
          </w:p>
        </w:tc>
        <w:tc>
          <w:tcPr>
            <w:tcW w:w="495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Establish the work site</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BSBFLM312B</w:t>
            </w:r>
          </w:p>
        </w:tc>
        <w:tc>
          <w:tcPr>
            <w:tcW w:w="495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Contribute to team effectiveness</w:t>
            </w:r>
          </w:p>
        </w:tc>
      </w:tr>
      <w:tr w:rsidTr="00EA38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BSBFLM303C</w:t>
            </w:r>
          </w:p>
        </w:tc>
        <w:tc>
          <w:tcPr>
            <w:tcW w:w="495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t>Contribute to effective workplace relationships</w:t>
            </w:r>
          </w:p>
        </w:tc>
      </w:tr>
    </w:tbl>
    <w:p w:rsidR="00EA38BE" w:rsidP="00966822">
      <w:pPr>
        <w:pStyle w:val="BodyText"/>
      </w:pPr>
    </w:p>
    <w:p w:rsidR="00EA38BE" w:rsidP="00966822">
      <w:pPr>
        <w:pStyle w:val="BodyText"/>
      </w:pPr>
    </w:p>
    <w:p w:rsidR="00000000" w:rsidRPr="00966822" w:rsidP="00966822">
      <w:pPr>
        <w:pStyle w:val="Heading1"/>
      </w:pPr>
      <w:bookmarkStart w:id="11" w:name="O_402520"/>
      <w:bookmarkEnd w:id="11"/>
      <w:r w:rsidRPr="00966822">
        <w:t>Range Statement</w:t>
      </w:r>
    </w:p>
    <w:tbl>
      <w:tblPr>
        <w:tblW w:w="0" w:type="auto"/>
        <w:tblLayout w:type="fixed"/>
        <w:tblCellMar>
          <w:left w:w="62" w:type="dxa"/>
          <w:right w:w="62" w:type="dxa"/>
        </w:tblCellMar>
        <w:tblLook w:val="0000"/>
      </w:tblPr>
      <w:tblGrid>
        <w:gridCol w:w="8460"/>
      </w:tblGrid>
      <w:tr w:rsidTr="00EA38B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rPr>
                <w:rStyle w:val="SpecialBold"/>
              </w:rPr>
              <w:t>RANGE STATEMENT</w:t>
            </w:r>
          </w:p>
        </w:tc>
      </w:tr>
      <w:tr w:rsidTr="00EA38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rPr>
                <w:rStyle w:val="SpecialBold"/>
              </w:rPr>
              <w:t>10)</w:t>
            </w:r>
            <w:r w:rsidRPr="00966822">
              <w:t xml:space="preserve"> This relates to the competency standard unit as a whole providing the range of contexts and conditions to which the Performance Criteria apply. It allows</w:t>
            </w:r>
            <w:r w:rsidRPr="00966822">
              <w:t xml:space="preserve"> for different work environments and situations that will affect performance.</w:t>
            </w:r>
          </w:p>
        </w:tc>
      </w:tr>
      <w:tr w:rsidTr="00EA38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This Competency Standard Unit shall/may be demonstrated in relation to the monitoring and operating of complex flow control, measuring and regulating devices for gas pressure an</w:t>
            </w:r>
            <w:r w:rsidRPr="00966822">
              <w:t>d flow control.The following constants and variables included in the element/Performance Criteria in this unit are fully described in the Definitions Section of this volume and form an integral part of the Range Statement of this unit:</w:t>
            </w:r>
          </w:p>
        </w:tc>
      </w:tr>
      <w:tr w:rsidTr="00EA38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Inspecting and cont</w:t>
            </w:r>
            <w:r w:rsidRPr="00966822">
              <w:t>rolling</w:t>
            </w:r>
          </w:p>
        </w:tc>
      </w:tr>
      <w:tr w:rsidTr="00EA38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Regulation of flow and pressure</w:t>
            </w:r>
          </w:p>
        </w:tc>
      </w:tr>
      <w:tr w:rsidTr="00EA38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Measuring</w:t>
            </w:r>
          </w:p>
        </w:tc>
      </w:tr>
      <w:tr w:rsidTr="00EA38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Recording and reporting</w:t>
            </w:r>
          </w:p>
        </w:tc>
      </w:tr>
      <w:tr w:rsidTr="00EA38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Regulation of flow and regulation devices</w:t>
            </w:r>
          </w:p>
        </w:tc>
      </w:tr>
      <w:tr w:rsidTr="00EA38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Regulation of the system</w:t>
            </w:r>
          </w:p>
        </w:tc>
      </w:tr>
      <w:tr w:rsidTr="00EA38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t>Equipment</w:t>
            </w:r>
          </w:p>
        </w:tc>
      </w:tr>
      <w:tr w:rsidTr="00EA38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t>Organisational and statutory requirements</w:t>
            </w:r>
          </w:p>
        </w:tc>
      </w:tr>
    </w:tbl>
    <w:p w:rsidR="00000000" w:rsidRPr="00966822" w:rsidP="00966822">
      <w:pPr>
        <w:pStyle w:val="BodyText"/>
      </w:pPr>
    </w:p>
    <w:p w:rsidR="00000000" w:rsidRPr="00966822" w:rsidP="00966822">
      <w:pPr>
        <w:pStyle w:val="AllowPageBreak"/>
      </w:pPr>
    </w:p>
    <w:p w:rsidR="00000000" w:rsidRPr="00966822" w:rsidP="00966822">
      <w:pPr>
        <w:pStyle w:val="Heading1"/>
      </w:pPr>
      <w:bookmarkStart w:id="12" w:name="O_402523"/>
      <w:bookmarkEnd w:id="12"/>
      <w:r w:rsidRPr="00966822">
        <w:t>Unit Sector(s)</w:t>
      </w:r>
    </w:p>
    <w:p w:rsidR="00000000" w:rsidRPr="00966822" w:rsidP="00966822">
      <w:pPr>
        <w:pStyle w:val="BodyText"/>
      </w:pPr>
      <w:r w:rsidRPr="00966822">
        <w:t>Not applicable.</w:t>
      </w:r>
    </w:p>
    <w:p w:rsidR="00000000" w:rsidRPr="00966822" w:rsidP="00966822">
      <w:pPr>
        <w:pStyle w:val="AllowPageBreak"/>
      </w:pPr>
    </w:p>
    <w:p w:rsidR="00000000" w:rsidRPr="00966822" w:rsidP="00966822">
      <w:pPr>
        <w:pStyle w:val="Heading1"/>
      </w:pPr>
      <w:bookmarkStart w:id="13" w:name="O_402512"/>
      <w:bookmarkEnd w:id="13"/>
      <w:r w:rsidRPr="00966822">
        <w:t>Competency Field</w:t>
      </w:r>
    </w:p>
    <w:tbl>
      <w:tblPr>
        <w:tblW w:w="0" w:type="auto"/>
        <w:tblLayout w:type="fixed"/>
        <w:tblCellMar>
          <w:left w:w="62" w:type="dxa"/>
          <w:right w:w="62" w:type="dxa"/>
        </w:tblCellMar>
        <w:tblLook w:val="0000"/>
      </w:tblPr>
      <w:tblGrid>
        <w:gridCol w:w="2700"/>
        <w:gridCol w:w="5760"/>
      </w:tblGrid>
      <w:tr w:rsidTr="00EA38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66822">
            <w:pPr>
              <w:pStyle w:val="BodyText"/>
              <w:rPr>
                <w:lang w:val="en-NZ"/>
              </w:rPr>
            </w:pPr>
            <w:r w:rsidRPr="00966822">
              <w:rPr>
                <w:rStyle w:val="SpecialBold"/>
              </w:rPr>
              <w:t xml:space="preserve">11) </w:t>
            </w:r>
          </w:p>
        </w:tc>
      </w:tr>
      <w:tr w:rsidTr="00EA3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6822" w:rsidP="00966822">
            <w:pPr>
              <w:pStyle w:val="BodyText"/>
            </w:pPr>
            <w:r w:rsidRPr="00966822">
              <w:t>Transmission.</w:t>
            </w:r>
          </w:p>
        </w:tc>
      </w:tr>
    </w:tbl>
    <w:p w:rsidR="00000000" w:rsidRPr="00966822" w:rsidP="00966822">
      <w:pPr>
        <w:pStyle w:val="BodyText"/>
      </w:pPr>
    </w:p>
    <w:p w:rsidR="00000000" w:rsidRPr="00966822" w:rsidP="00966822"/>
    <w:sectPr w:rsidSect="00966822">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8BE" w:rsidP="0096682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EA38BE" w:rsidP="009668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A38BE" w:rsidP="009668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22" w:rsidRPr="00EA38BE" w:rsidP="00EA38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8BE" w:rsidRPr="002D2AF8" w:rsidP="00966822">
    <w:pPr>
      <w:pStyle w:val="Header"/>
      <w:framePr w:wrap="around"/>
    </w:pPr>
    <w:r>
      <w:fldChar w:fldCharType="begin"/>
    </w:r>
    <w:r>
      <w:instrText xml:space="preserve"> TITLE   \* MERGEFORMAT </w:instrText>
    </w:r>
    <w:r>
      <w:fldChar w:fldCharType="separate"/>
    </w:r>
    <w:r>
      <w:t>UEGNSG318B Monitor and operate flow control, pressure, measuring and regulating devices for gas transmission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EA38BE" w:rsidP="009668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D478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B4C4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6818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8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822"/>
    <w:pPr>
      <w:spacing w:before="360" w:after="60"/>
      <w:outlineLvl w:val="0"/>
    </w:pPr>
    <w:rPr>
      <w:sz w:val="32"/>
    </w:rPr>
  </w:style>
  <w:style w:type="paragraph" w:styleId="Heading2">
    <w:name w:val="heading 2"/>
    <w:basedOn w:val="HeadingBase"/>
    <w:next w:val="BodyText"/>
    <w:link w:val="Heading2Char"/>
    <w:qFormat/>
    <w:rsid w:val="00966822"/>
    <w:pPr>
      <w:keepLines/>
      <w:spacing w:before="240" w:after="120"/>
      <w:outlineLvl w:val="1"/>
    </w:pPr>
    <w:rPr>
      <w:sz w:val="28"/>
      <w:szCs w:val="40"/>
    </w:rPr>
  </w:style>
  <w:style w:type="paragraph" w:styleId="Heading3">
    <w:name w:val="heading 3"/>
    <w:basedOn w:val="HeadingBase"/>
    <w:next w:val="BodyText"/>
    <w:link w:val="Heading3Char"/>
    <w:qFormat/>
    <w:rsid w:val="00966822"/>
    <w:pPr>
      <w:spacing w:before="180" w:after="120"/>
      <w:outlineLvl w:val="2"/>
    </w:pPr>
    <w:rPr>
      <w:spacing w:val="-10"/>
      <w:kern w:val="32"/>
    </w:rPr>
  </w:style>
  <w:style w:type="paragraph" w:styleId="Heading4">
    <w:name w:val="heading 4"/>
    <w:basedOn w:val="HeadingBase"/>
    <w:next w:val="BodyText"/>
    <w:link w:val="Heading4Char"/>
    <w:qFormat/>
    <w:rsid w:val="00966822"/>
    <w:pPr>
      <w:spacing w:before="160" w:after="120"/>
      <w:outlineLvl w:val="3"/>
    </w:pPr>
    <w:rPr>
      <w:sz w:val="22"/>
    </w:rPr>
  </w:style>
  <w:style w:type="paragraph" w:styleId="Heading5">
    <w:name w:val="heading 5"/>
    <w:basedOn w:val="HeadingBase"/>
    <w:next w:val="Normal"/>
    <w:link w:val="Heading5Char"/>
    <w:qFormat/>
    <w:rsid w:val="00966822"/>
    <w:pPr>
      <w:spacing w:before="80"/>
      <w:outlineLvl w:val="4"/>
    </w:pPr>
    <w:rPr>
      <w:color w:val="918585"/>
      <w:sz w:val="20"/>
    </w:rPr>
  </w:style>
  <w:style w:type="paragraph" w:styleId="Heading6">
    <w:name w:val="heading 6"/>
    <w:basedOn w:val="HeadingBase"/>
    <w:next w:val="Normal"/>
    <w:link w:val="Heading6Char"/>
    <w:qFormat/>
    <w:rsid w:val="00966822"/>
    <w:pPr>
      <w:spacing w:before="60"/>
      <w:outlineLvl w:val="5"/>
    </w:pPr>
    <w:rPr>
      <w:color w:val="918585"/>
      <w:sz w:val="20"/>
    </w:rPr>
  </w:style>
  <w:style w:type="paragraph" w:styleId="Heading7">
    <w:name w:val="heading 7"/>
    <w:basedOn w:val="Normal"/>
    <w:next w:val="Normal"/>
    <w:link w:val="Heading7Char"/>
    <w:qFormat/>
    <w:rsid w:val="00966822"/>
    <w:pPr>
      <w:ind w:left="720"/>
      <w:outlineLvl w:val="6"/>
    </w:pPr>
    <w:rPr>
      <w:i/>
    </w:rPr>
  </w:style>
  <w:style w:type="paragraph" w:styleId="Heading8">
    <w:name w:val="heading 8"/>
    <w:basedOn w:val="Normal"/>
    <w:next w:val="Normal"/>
    <w:link w:val="Heading8Char"/>
    <w:qFormat/>
    <w:rsid w:val="00966822"/>
    <w:pPr>
      <w:ind w:left="720"/>
      <w:outlineLvl w:val="7"/>
    </w:pPr>
    <w:rPr>
      <w:i/>
    </w:rPr>
  </w:style>
  <w:style w:type="paragraph" w:styleId="Heading9">
    <w:name w:val="heading 9"/>
    <w:basedOn w:val="Normal"/>
    <w:next w:val="Normal"/>
    <w:link w:val="Heading9Char"/>
    <w:qFormat/>
    <w:rsid w:val="00966822"/>
    <w:pPr>
      <w:ind w:left="720"/>
      <w:outlineLvl w:val="8"/>
    </w:pPr>
    <w:rPr>
      <w:i/>
    </w:rPr>
  </w:style>
  <w:style w:type="character" w:default="1" w:styleId="DefaultParagraphFont">
    <w:name w:val="Default Paragraph Font"/>
    <w:uiPriority w:val="1"/>
    <w:unhideWhenUsed/>
    <w:rsid w:val="009668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822"/>
  </w:style>
  <w:style w:type="character" w:customStyle="1" w:styleId="Heading1Char">
    <w:name w:val="Heading 1 Char"/>
    <w:basedOn w:val="DefaultParagraphFont"/>
    <w:link w:val="Heading1"/>
    <w:rsid w:val="00966822"/>
    <w:rPr>
      <w:rFonts w:ascii="Times New Roman" w:eastAsia="Times New Roman" w:hAnsi="Times New Roman" w:cs="Times New Roman"/>
      <w:b/>
      <w:sz w:val="32"/>
      <w:szCs w:val="20"/>
      <w:lang w:eastAsia="en-US"/>
    </w:rPr>
  </w:style>
  <w:style w:type="paragraph" w:styleId="BodyText">
    <w:name w:val="Body Text"/>
    <w:basedOn w:val="Normal"/>
    <w:link w:val="BodyTextChar"/>
    <w:rsid w:val="009668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6822"/>
    <w:rPr>
      <w:rFonts w:ascii="Times New Roman" w:eastAsia="Times New Roman" w:hAnsi="Times New Roman" w:cs="Times New Roman"/>
      <w:sz w:val="24"/>
      <w:lang w:eastAsia="en-US"/>
    </w:rPr>
  </w:style>
  <w:style w:type="paragraph" w:styleId="Footer">
    <w:name w:val="footer"/>
    <w:basedOn w:val="Normal"/>
    <w:link w:val="FooterChar"/>
    <w:rsid w:val="009668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822"/>
    <w:rPr>
      <w:rFonts w:ascii="Times New Roman" w:eastAsia="Times New Roman" w:hAnsi="Times New Roman" w:cs="Times New Roman"/>
      <w:sz w:val="16"/>
      <w:lang w:eastAsia="en-US"/>
    </w:rPr>
  </w:style>
  <w:style w:type="paragraph" w:styleId="ListBullet">
    <w:name w:val="List Bullet"/>
    <w:basedOn w:val="List"/>
    <w:rsid w:val="00966822"/>
    <w:pPr>
      <w:numPr>
        <w:numId w:val="13"/>
      </w:numPr>
      <w:tabs>
        <w:tab w:val="clear" w:pos="340"/>
      </w:tabs>
      <w:spacing w:before="40" w:after="40"/>
    </w:pPr>
  </w:style>
  <w:style w:type="character" w:customStyle="1" w:styleId="SpecialBold">
    <w:name w:val="Special Bold"/>
    <w:basedOn w:val="DefaultParagraphFont"/>
    <w:rsid w:val="00966822"/>
    <w:rPr>
      <w:b/>
      <w:spacing w:val="0"/>
    </w:rPr>
  </w:style>
  <w:style w:type="paragraph" w:styleId="ListBullet2">
    <w:name w:val="List Bullet 2"/>
    <w:basedOn w:val="List2"/>
    <w:rsid w:val="00966822"/>
    <w:pPr>
      <w:numPr>
        <w:numId w:val="14"/>
      </w:numPr>
      <w:tabs>
        <w:tab w:val="clear" w:pos="680"/>
      </w:tabs>
    </w:pPr>
  </w:style>
  <w:style w:type="paragraph" w:customStyle="1" w:styleId="SuperHeading">
    <w:name w:val="SuperHeading"/>
    <w:basedOn w:val="Normal"/>
    <w:rsid w:val="00966822"/>
    <w:pPr>
      <w:spacing w:before="240" w:after="120"/>
      <w:outlineLvl w:val="0"/>
    </w:pPr>
    <w:rPr>
      <w:rFonts w:ascii="Times New Roman" w:hAnsi="Times New Roman"/>
      <w:b/>
      <w:sz w:val="28"/>
    </w:rPr>
  </w:style>
  <w:style w:type="paragraph" w:customStyle="1" w:styleId="AllowPageBreak">
    <w:name w:val="AllowPageBreak"/>
    <w:rsid w:val="009668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68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8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8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8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8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8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8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822"/>
    <w:rPr>
      <w:rFonts w:ascii="Courier New" w:eastAsia="Times New Roman" w:hAnsi="Courier New" w:cs="Times New Roman"/>
      <w:i/>
      <w:szCs w:val="20"/>
      <w:lang w:eastAsia="en-US"/>
    </w:rPr>
  </w:style>
  <w:style w:type="paragraph" w:customStyle="1" w:styleId="HeadingBase">
    <w:name w:val="Heading Base"/>
    <w:rsid w:val="009668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822"/>
    <w:pPr>
      <w:tabs>
        <w:tab w:val="right" w:leader="dot" w:pos="9072"/>
      </w:tabs>
      <w:ind w:left="567"/>
    </w:pPr>
    <w:rPr>
      <w:szCs w:val="22"/>
    </w:rPr>
  </w:style>
  <w:style w:type="paragraph" w:customStyle="1" w:styleId="TOCBase">
    <w:name w:val="TOC Base"/>
    <w:rsid w:val="009668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822"/>
    <w:pPr>
      <w:tabs>
        <w:tab w:val="right" w:leader="dot" w:pos="9072"/>
      </w:tabs>
      <w:spacing w:before="40" w:after="40"/>
      <w:ind w:left="284"/>
    </w:pPr>
    <w:rPr>
      <w:rFonts w:ascii="Times New Roman" w:hAnsi="Times New Roman"/>
    </w:rPr>
  </w:style>
  <w:style w:type="paragraph" w:styleId="TOC1">
    <w:name w:val="toc 1"/>
    <w:basedOn w:val="TOCBase"/>
    <w:next w:val="Normal"/>
    <w:rsid w:val="009668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6822"/>
    <w:pPr>
      <w:spacing w:before="5040"/>
      <w:jc w:val="center"/>
    </w:pPr>
    <w:rPr>
      <w:sz w:val="48"/>
      <w:szCs w:val="72"/>
      <w:lang w:val="en-US"/>
    </w:rPr>
  </w:style>
  <w:style w:type="character" w:customStyle="1" w:styleId="TitleChar">
    <w:name w:val="Title Char"/>
    <w:basedOn w:val="DefaultParagraphFont"/>
    <w:link w:val="Title"/>
    <w:rsid w:val="009668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822"/>
    <w:pPr>
      <w:tabs>
        <w:tab w:val="left" w:pos="3600"/>
        <w:tab w:val="left" w:pos="3958"/>
      </w:tabs>
    </w:pPr>
  </w:style>
  <w:style w:type="paragraph" w:styleId="List">
    <w:name w:val="List"/>
    <w:basedOn w:val="BodyText"/>
    <w:next w:val="BodyText"/>
    <w:rsid w:val="00966822"/>
    <w:pPr>
      <w:tabs>
        <w:tab w:val="left" w:pos="340"/>
      </w:tabs>
      <w:spacing w:before="60" w:after="60"/>
      <w:ind w:left="340" w:hanging="340"/>
    </w:pPr>
  </w:style>
  <w:style w:type="paragraph" w:customStyle="1" w:styleId="Note">
    <w:name w:val="Note"/>
    <w:basedOn w:val="BodyText"/>
    <w:rsid w:val="009668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822"/>
    <w:pPr>
      <w:framePr w:wrap="auto" w:hAnchor="text" w:y="6049"/>
    </w:pPr>
    <w:rPr>
      <w:color w:val="000000"/>
      <w:sz w:val="40"/>
    </w:rPr>
  </w:style>
  <w:style w:type="paragraph" w:customStyle="1" w:styleId="TOCTitle">
    <w:name w:val="TOCTitle"/>
    <w:basedOn w:val="Heading1"/>
    <w:rsid w:val="00966822"/>
    <w:pPr>
      <w:spacing w:after="240"/>
      <w:jc w:val="center"/>
      <w:outlineLvl w:val="9"/>
    </w:pPr>
    <w:rPr>
      <w:caps/>
    </w:rPr>
  </w:style>
  <w:style w:type="paragraph" w:customStyle="1" w:styleId="Version">
    <w:name w:val="Version"/>
    <w:rsid w:val="009668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6822"/>
    <w:pPr>
      <w:keepNext w:val="0"/>
      <w:tabs>
        <w:tab w:val="right" w:pos="4176"/>
      </w:tabs>
      <w:ind w:left="198" w:hanging="198"/>
    </w:pPr>
    <w:rPr>
      <w:rFonts w:ascii="Garamond" w:hAnsi="Garamond"/>
    </w:rPr>
  </w:style>
  <w:style w:type="paragraph" w:styleId="IndexHeading">
    <w:name w:val="index heading"/>
    <w:basedOn w:val="Normal"/>
    <w:next w:val="Index1"/>
    <w:semiHidden/>
    <w:rsid w:val="00966822"/>
    <w:pPr>
      <w:spacing w:before="120" w:after="120"/>
    </w:pPr>
    <w:rPr>
      <w:rFonts w:ascii="Arial" w:hAnsi="Arial"/>
      <w:b/>
      <w:color w:val="918585"/>
      <w:sz w:val="24"/>
    </w:rPr>
  </w:style>
  <w:style w:type="paragraph" w:styleId="Header">
    <w:name w:val="header"/>
    <w:basedOn w:val="Normal"/>
    <w:link w:val="HeaderChar"/>
    <w:rsid w:val="009668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822"/>
    <w:rPr>
      <w:rFonts w:ascii="Times New Roman" w:eastAsia="Times New Roman" w:hAnsi="Times New Roman" w:cs="Times New Roman"/>
      <w:sz w:val="16"/>
      <w:szCs w:val="20"/>
      <w:lang w:val="en-GB" w:eastAsia="en-US"/>
    </w:rPr>
  </w:style>
  <w:style w:type="paragraph" w:customStyle="1" w:styleId="Chapter">
    <w:name w:val="Chapter"/>
    <w:basedOn w:val="Normal"/>
    <w:rsid w:val="00966822"/>
    <w:pPr>
      <w:spacing w:before="240"/>
    </w:pPr>
    <w:rPr>
      <w:rFonts w:ascii="Times New Roman" w:hAnsi="Times New Roman"/>
      <w:smallCaps/>
      <w:spacing w:val="80"/>
      <w:sz w:val="28"/>
    </w:rPr>
  </w:style>
  <w:style w:type="paragraph" w:customStyle="1" w:styleId="InChapter">
    <w:name w:val="InChapter"/>
    <w:basedOn w:val="Heading3"/>
    <w:rsid w:val="00966822"/>
    <w:pPr>
      <w:spacing w:after="240"/>
      <w:outlineLvl w:val="9"/>
    </w:pPr>
    <w:rPr>
      <w:noProof/>
    </w:rPr>
  </w:style>
  <w:style w:type="paragraph" w:styleId="Index2">
    <w:name w:val="index 2"/>
    <w:basedOn w:val="Normal"/>
    <w:next w:val="Normal"/>
    <w:semiHidden/>
    <w:rsid w:val="00966822"/>
    <w:pPr>
      <w:tabs>
        <w:tab w:val="right" w:pos="4176"/>
      </w:tabs>
      <w:ind w:left="568" w:hanging="284"/>
    </w:pPr>
    <w:rPr>
      <w:rFonts w:ascii="Garamond" w:hAnsi="Garamond"/>
    </w:rPr>
  </w:style>
  <w:style w:type="paragraph" w:customStyle="1" w:styleId="Byline">
    <w:name w:val="Byline"/>
    <w:rsid w:val="009668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822"/>
    <w:pPr>
      <w:tabs>
        <w:tab w:val="clear" w:pos="3600"/>
        <w:tab w:val="clear" w:pos="3958"/>
      </w:tabs>
      <w:jc w:val="right"/>
    </w:pPr>
  </w:style>
  <w:style w:type="character" w:styleId="Emphasis">
    <w:name w:val="Emphasis"/>
    <w:basedOn w:val="DefaultParagraphFont"/>
    <w:qFormat/>
    <w:rsid w:val="00966822"/>
    <w:rPr>
      <w:i/>
    </w:rPr>
  </w:style>
  <w:style w:type="paragraph" w:styleId="Caption">
    <w:name w:val="caption"/>
    <w:basedOn w:val="BodyText"/>
    <w:next w:val="Normal"/>
    <w:qFormat/>
    <w:rsid w:val="00966822"/>
    <w:pPr>
      <w:framePr w:w="2268" w:hSpace="181" w:vSpace="181" w:wrap="around" w:vAnchor="text" w:hAnchor="page" w:x="1135" w:y="285" w:anchorLock="1"/>
    </w:pPr>
    <w:rPr>
      <w:i/>
    </w:rPr>
  </w:style>
  <w:style w:type="paragraph" w:customStyle="1" w:styleId="MiniTOCTitle">
    <w:name w:val="MiniTOCTitle"/>
    <w:basedOn w:val="Heading4"/>
    <w:rsid w:val="00966822"/>
    <w:pPr>
      <w:spacing w:before="240"/>
      <w:outlineLvl w:val="9"/>
    </w:pPr>
    <w:rPr>
      <w:noProof/>
      <w:sz w:val="24"/>
    </w:rPr>
  </w:style>
  <w:style w:type="paragraph" w:customStyle="1" w:styleId="MiniTOCItem">
    <w:name w:val="MiniTOCItem"/>
    <w:basedOn w:val="ListBullet"/>
    <w:rsid w:val="00966822"/>
    <w:pPr>
      <w:numPr>
        <w:numId w:val="0"/>
      </w:numPr>
      <w:tabs>
        <w:tab w:val="right" w:leader="dot" w:pos="6521"/>
      </w:tabs>
      <w:spacing w:before="0" w:after="0"/>
    </w:pPr>
  </w:style>
  <w:style w:type="paragraph" w:customStyle="1" w:styleId="TOFTitle">
    <w:name w:val="TOFTitle"/>
    <w:basedOn w:val="TOCTitle"/>
    <w:rsid w:val="00966822"/>
  </w:style>
  <w:style w:type="paragraph" w:styleId="TableofFigures">
    <w:name w:val="table of figures"/>
    <w:basedOn w:val="Normal"/>
    <w:next w:val="Normal"/>
    <w:semiHidden/>
    <w:rsid w:val="00966822"/>
    <w:pPr>
      <w:tabs>
        <w:tab w:val="right" w:leader="dot" w:pos="9072"/>
      </w:tabs>
      <w:ind w:left="970" w:hanging="403"/>
    </w:pPr>
    <w:rPr>
      <w:rFonts w:ascii="Times New Roman" w:hAnsi="Times New Roman"/>
      <w:b/>
    </w:rPr>
  </w:style>
  <w:style w:type="paragraph" w:styleId="ListNumber">
    <w:name w:val="List Number"/>
    <w:basedOn w:val="List"/>
    <w:rsid w:val="00966822"/>
    <w:pPr>
      <w:numPr>
        <w:numId w:val="11"/>
      </w:numPr>
    </w:pPr>
  </w:style>
  <w:style w:type="character" w:customStyle="1" w:styleId="WingdingSymbols">
    <w:name w:val="Wingding Symbols"/>
    <w:rsid w:val="00966822"/>
    <w:rPr>
      <w:rFonts w:ascii="Wingdings" w:hAnsi="Wingdings"/>
    </w:rPr>
  </w:style>
  <w:style w:type="paragraph" w:customStyle="1" w:styleId="TableHeading">
    <w:name w:val="Table Heading"/>
    <w:basedOn w:val="HeadingBase"/>
    <w:rsid w:val="00966822"/>
    <w:pPr>
      <w:keepLines/>
      <w:pBdr>
        <w:bottom w:val="single" w:sz="6" w:space="1" w:color="918585"/>
      </w:pBdr>
      <w:spacing w:before="240"/>
    </w:pPr>
  </w:style>
  <w:style w:type="character" w:customStyle="1" w:styleId="HotSpot">
    <w:name w:val="HotSpot"/>
    <w:rsid w:val="00966822"/>
    <w:rPr>
      <w:color w:val="0033CC"/>
      <w:u w:val="none"/>
    </w:rPr>
  </w:style>
  <w:style w:type="paragraph" w:customStyle="1" w:styleId="BodyTextRight">
    <w:name w:val="Body Text Right"/>
    <w:basedOn w:val="BodyText"/>
    <w:rsid w:val="00966822"/>
    <w:pPr>
      <w:spacing w:before="0" w:after="0"/>
      <w:jc w:val="right"/>
    </w:pPr>
  </w:style>
  <w:style w:type="paragraph" w:styleId="Index3">
    <w:name w:val="index 3"/>
    <w:basedOn w:val="ListNumber2"/>
    <w:next w:val="Normal"/>
    <w:semiHidden/>
    <w:rsid w:val="00966822"/>
    <w:pPr>
      <w:numPr>
        <w:numId w:val="0"/>
      </w:numPr>
      <w:tabs>
        <w:tab w:val="right" w:leader="dot" w:pos="4176"/>
      </w:tabs>
    </w:pPr>
  </w:style>
  <w:style w:type="paragraph" w:styleId="ListNumber2">
    <w:name w:val="List Number 2"/>
    <w:basedOn w:val="List2"/>
    <w:rsid w:val="00966822"/>
    <w:pPr>
      <w:numPr>
        <w:numId w:val="10"/>
      </w:numPr>
      <w:tabs>
        <w:tab w:val="clear" w:pos="1060"/>
      </w:tabs>
    </w:pPr>
  </w:style>
  <w:style w:type="paragraph" w:customStyle="1" w:styleId="MarginNote">
    <w:name w:val="Margin Note"/>
    <w:basedOn w:val="BodyText"/>
    <w:rsid w:val="009668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8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8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822"/>
    <w:rPr>
      <w:sz w:val="32"/>
    </w:rPr>
  </w:style>
  <w:style w:type="paragraph" w:customStyle="1" w:styleId="HeadingProcedure">
    <w:name w:val="Heading Procedure"/>
    <w:basedOn w:val="HeadingBase"/>
    <w:next w:val="Normal"/>
    <w:rsid w:val="00966822"/>
    <w:pPr>
      <w:tabs>
        <w:tab w:val="left" w:pos="0"/>
      </w:tabs>
      <w:spacing w:before="120" w:after="60"/>
    </w:pPr>
    <w:rPr>
      <w:i/>
      <w:color w:val="918585"/>
      <w:sz w:val="22"/>
    </w:rPr>
  </w:style>
  <w:style w:type="paragraph" w:customStyle="1" w:styleId="TableBodyText">
    <w:name w:val="Table Body Text"/>
    <w:basedOn w:val="BodyText"/>
    <w:rsid w:val="00966822"/>
    <w:pPr>
      <w:spacing w:before="60" w:after="60"/>
    </w:pPr>
  </w:style>
  <w:style w:type="paragraph" w:styleId="ListContinue">
    <w:name w:val="List Continue"/>
    <w:basedOn w:val="List"/>
    <w:rsid w:val="00966822"/>
    <w:pPr>
      <w:ind w:firstLine="0"/>
    </w:pPr>
  </w:style>
  <w:style w:type="paragraph" w:customStyle="1" w:styleId="ListNote">
    <w:name w:val="List Note"/>
    <w:basedOn w:val="List"/>
    <w:rsid w:val="00966822"/>
    <w:pPr>
      <w:pBdr>
        <w:top w:val="single" w:sz="6" w:space="2" w:color="918585"/>
        <w:bottom w:val="single" w:sz="6" w:space="2" w:color="918585"/>
      </w:pBdr>
      <w:tabs>
        <w:tab w:val="left" w:pos="1021"/>
      </w:tabs>
      <w:ind w:firstLine="0"/>
    </w:pPr>
  </w:style>
  <w:style w:type="paragraph" w:customStyle="1" w:styleId="Warning">
    <w:name w:val="Warning"/>
    <w:basedOn w:val="BodyText"/>
    <w:rsid w:val="00966822"/>
    <w:pPr>
      <w:shd w:val="clear" w:color="auto" w:fill="D9D9D9"/>
      <w:tabs>
        <w:tab w:val="left" w:pos="992"/>
      </w:tabs>
      <w:ind w:left="119" w:right="119"/>
    </w:pPr>
    <w:rPr>
      <w:sz w:val="20"/>
    </w:rPr>
  </w:style>
  <w:style w:type="paragraph" w:customStyle="1" w:styleId="MarginIcons">
    <w:name w:val="Margin Icons"/>
    <w:basedOn w:val="BodyText"/>
    <w:rsid w:val="009668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822"/>
    <w:rPr>
      <w:rFonts w:ascii="Courier New" w:hAnsi="Courier New"/>
    </w:rPr>
  </w:style>
  <w:style w:type="paragraph" w:customStyle="1" w:styleId="NoteBullet">
    <w:name w:val="Note Bullet"/>
    <w:basedOn w:val="Note"/>
    <w:rsid w:val="00966822"/>
    <w:pPr>
      <w:tabs>
        <w:tab w:val="clear" w:pos="680"/>
      </w:tabs>
      <w:spacing w:before="60" w:after="60"/>
    </w:pPr>
  </w:style>
  <w:style w:type="paragraph" w:customStyle="1" w:styleId="SubHeading2">
    <w:name w:val="SubHeading2"/>
    <w:basedOn w:val="HeadingBase"/>
    <w:rsid w:val="00966822"/>
    <w:pPr>
      <w:spacing w:before="240" w:after="60"/>
    </w:pPr>
    <w:rPr>
      <w:sz w:val="20"/>
    </w:rPr>
  </w:style>
  <w:style w:type="paragraph" w:customStyle="1" w:styleId="SubHeading1">
    <w:name w:val="SubHeading1"/>
    <w:basedOn w:val="HeadingBase"/>
    <w:rsid w:val="00966822"/>
    <w:pPr>
      <w:spacing w:before="240" w:after="60"/>
    </w:pPr>
    <w:rPr>
      <w:color w:val="918585"/>
      <w:sz w:val="22"/>
    </w:rPr>
  </w:style>
  <w:style w:type="paragraph" w:customStyle="1" w:styleId="SideHeading">
    <w:name w:val="Side Heading"/>
    <w:basedOn w:val="HeadingBase"/>
    <w:rsid w:val="009668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822"/>
    <w:pPr>
      <w:numPr>
        <w:numId w:val="12"/>
      </w:numPr>
    </w:pPr>
  </w:style>
  <w:style w:type="paragraph" w:styleId="PlainText">
    <w:name w:val="Plain Text"/>
    <w:basedOn w:val="Normal"/>
    <w:link w:val="PlainTextChar"/>
    <w:rsid w:val="00966822"/>
    <w:rPr>
      <w:sz w:val="20"/>
    </w:rPr>
  </w:style>
  <w:style w:type="character" w:customStyle="1" w:styleId="PlainTextChar">
    <w:name w:val="Plain Text Char"/>
    <w:basedOn w:val="DefaultParagraphFont"/>
    <w:link w:val="PlainText"/>
    <w:rsid w:val="00966822"/>
    <w:rPr>
      <w:rFonts w:ascii="Courier New" w:eastAsia="Times New Roman" w:hAnsi="Courier New" w:cs="Times New Roman"/>
      <w:sz w:val="20"/>
      <w:szCs w:val="20"/>
      <w:lang w:eastAsia="en-US"/>
    </w:rPr>
  </w:style>
  <w:style w:type="character" w:customStyle="1" w:styleId="MenuOption">
    <w:name w:val="Menu Option"/>
    <w:basedOn w:val="DefaultParagraphFont"/>
    <w:rsid w:val="00966822"/>
    <w:rPr>
      <w:b/>
      <w:smallCaps/>
    </w:rPr>
  </w:style>
  <w:style w:type="paragraph" w:customStyle="1" w:styleId="TableListNumber">
    <w:name w:val="Table List Number"/>
    <w:basedOn w:val="ListNumber"/>
    <w:rsid w:val="00966822"/>
    <w:pPr>
      <w:numPr>
        <w:numId w:val="0"/>
      </w:numPr>
    </w:pPr>
  </w:style>
  <w:style w:type="paragraph" w:styleId="TOC4">
    <w:name w:val="toc 4"/>
    <w:basedOn w:val="TOCBase"/>
    <w:next w:val="Normal"/>
    <w:semiHidden/>
    <w:rsid w:val="00966822"/>
    <w:pPr>
      <w:tabs>
        <w:tab w:val="right" w:leader="dot" w:pos="9071"/>
      </w:tabs>
      <w:ind w:left="1701"/>
    </w:pPr>
  </w:style>
  <w:style w:type="paragraph" w:customStyle="1" w:styleId="ListAlpha">
    <w:name w:val="List Alpha"/>
    <w:basedOn w:val="List"/>
    <w:rsid w:val="00966822"/>
    <w:pPr>
      <w:numPr>
        <w:numId w:val="9"/>
      </w:numPr>
    </w:pPr>
  </w:style>
  <w:style w:type="paragraph" w:customStyle="1" w:styleId="ListAlpha2">
    <w:name w:val="List Alpha 2"/>
    <w:basedOn w:val="List2"/>
    <w:rsid w:val="00966822"/>
    <w:pPr>
      <w:numPr>
        <w:numId w:val="8"/>
      </w:numPr>
    </w:pPr>
  </w:style>
  <w:style w:type="paragraph" w:styleId="List2">
    <w:name w:val="List 2"/>
    <w:basedOn w:val="BodyText"/>
    <w:rsid w:val="00966822"/>
    <w:pPr>
      <w:tabs>
        <w:tab w:val="left" w:pos="680"/>
      </w:tabs>
      <w:spacing w:before="60" w:after="60"/>
      <w:ind w:left="680" w:hanging="340"/>
    </w:pPr>
  </w:style>
  <w:style w:type="paragraph" w:styleId="List3">
    <w:name w:val="List 3"/>
    <w:basedOn w:val="BodyText"/>
    <w:rsid w:val="00966822"/>
    <w:pPr>
      <w:tabs>
        <w:tab w:val="left" w:pos="1021"/>
      </w:tabs>
      <w:spacing w:before="60" w:after="60"/>
      <w:ind w:left="1020" w:hanging="340"/>
    </w:pPr>
  </w:style>
  <w:style w:type="paragraph" w:styleId="List4">
    <w:name w:val="List 4"/>
    <w:basedOn w:val="BodyText"/>
    <w:rsid w:val="00966822"/>
    <w:pPr>
      <w:tabs>
        <w:tab w:val="left" w:pos="1361"/>
      </w:tabs>
      <w:spacing w:before="60" w:after="60"/>
      <w:ind w:left="1361" w:hanging="340"/>
    </w:pPr>
  </w:style>
  <w:style w:type="paragraph" w:styleId="List5">
    <w:name w:val="List 5"/>
    <w:basedOn w:val="BodyText"/>
    <w:rsid w:val="00966822"/>
    <w:pPr>
      <w:tabs>
        <w:tab w:val="left" w:pos="1701"/>
      </w:tabs>
      <w:spacing w:before="60" w:after="60"/>
      <w:ind w:left="1701" w:hanging="340"/>
    </w:pPr>
  </w:style>
  <w:style w:type="paragraph" w:styleId="ListBullet3">
    <w:name w:val="List Bullet 3"/>
    <w:basedOn w:val="List3"/>
    <w:rsid w:val="00966822"/>
    <w:pPr>
      <w:numPr>
        <w:numId w:val="15"/>
      </w:numPr>
      <w:tabs>
        <w:tab w:val="clear" w:pos="1021"/>
      </w:tabs>
      <w:ind w:left="1037" w:hanging="357"/>
    </w:pPr>
  </w:style>
  <w:style w:type="paragraph" w:styleId="ListBullet4">
    <w:name w:val="List Bullet 4"/>
    <w:basedOn w:val="List4"/>
    <w:rsid w:val="00966822"/>
    <w:pPr>
      <w:numPr>
        <w:numId w:val="3"/>
      </w:numPr>
    </w:pPr>
  </w:style>
  <w:style w:type="paragraph" w:styleId="ListBullet5">
    <w:name w:val="List Bullet 5"/>
    <w:basedOn w:val="List5"/>
    <w:rsid w:val="00966822"/>
    <w:pPr>
      <w:numPr>
        <w:numId w:val="4"/>
      </w:numPr>
    </w:pPr>
  </w:style>
  <w:style w:type="paragraph" w:styleId="ListContinue2">
    <w:name w:val="List Continue 2"/>
    <w:basedOn w:val="List2"/>
    <w:rsid w:val="00966822"/>
    <w:pPr>
      <w:ind w:firstLine="0"/>
    </w:pPr>
  </w:style>
  <w:style w:type="paragraph" w:styleId="ListContinue3">
    <w:name w:val="List Continue 3"/>
    <w:basedOn w:val="List3"/>
    <w:rsid w:val="00966822"/>
    <w:pPr>
      <w:ind w:left="1021" w:firstLine="0"/>
    </w:pPr>
  </w:style>
  <w:style w:type="paragraph" w:styleId="ListContinue4">
    <w:name w:val="List Continue 4"/>
    <w:basedOn w:val="List4"/>
    <w:rsid w:val="00966822"/>
    <w:pPr>
      <w:ind w:firstLine="0"/>
    </w:pPr>
  </w:style>
  <w:style w:type="paragraph" w:styleId="ListContinue5">
    <w:name w:val="List Continue 5"/>
    <w:basedOn w:val="List5"/>
    <w:rsid w:val="00966822"/>
    <w:pPr>
      <w:ind w:firstLine="0"/>
    </w:pPr>
  </w:style>
  <w:style w:type="paragraph" w:styleId="ListNumber3">
    <w:name w:val="List Number 3"/>
    <w:basedOn w:val="List3"/>
    <w:rsid w:val="00966822"/>
    <w:pPr>
      <w:numPr>
        <w:numId w:val="5"/>
      </w:numPr>
    </w:pPr>
  </w:style>
  <w:style w:type="paragraph" w:styleId="ListNumber4">
    <w:name w:val="List Number 4"/>
    <w:basedOn w:val="List4"/>
    <w:rsid w:val="00966822"/>
    <w:pPr>
      <w:numPr>
        <w:numId w:val="6"/>
      </w:numPr>
    </w:pPr>
  </w:style>
  <w:style w:type="paragraph" w:styleId="ListNumber5">
    <w:name w:val="List Number 5"/>
    <w:basedOn w:val="List5"/>
    <w:rsid w:val="00966822"/>
    <w:pPr>
      <w:numPr>
        <w:numId w:val="7"/>
      </w:numPr>
    </w:pPr>
  </w:style>
  <w:style w:type="paragraph" w:styleId="BlockText">
    <w:name w:val="Block Text"/>
    <w:basedOn w:val="Normal"/>
    <w:rsid w:val="00966822"/>
    <w:pPr>
      <w:spacing w:after="120"/>
      <w:ind w:left="1440" w:right="1440"/>
    </w:pPr>
  </w:style>
  <w:style w:type="character" w:customStyle="1" w:styleId="Subscript">
    <w:name w:val="Subscript"/>
    <w:basedOn w:val="DefaultParagraphFont"/>
    <w:rsid w:val="00966822"/>
    <w:rPr>
      <w:sz w:val="16"/>
      <w:vertAlign w:val="subscript"/>
    </w:rPr>
  </w:style>
  <w:style w:type="character" w:customStyle="1" w:styleId="Superscript">
    <w:name w:val="Superscript"/>
    <w:basedOn w:val="DefaultParagraphFont"/>
    <w:rsid w:val="00966822"/>
    <w:rPr>
      <w:sz w:val="16"/>
      <w:vertAlign w:val="superscript"/>
    </w:rPr>
  </w:style>
  <w:style w:type="character" w:customStyle="1" w:styleId="Symbols">
    <w:name w:val="Symbols"/>
    <w:basedOn w:val="DefaultParagraphFont"/>
    <w:rsid w:val="00966822"/>
    <w:rPr>
      <w:rFonts w:ascii="Symbol" w:hAnsi="Symbol"/>
    </w:rPr>
  </w:style>
  <w:style w:type="character" w:customStyle="1" w:styleId="MenuOptions">
    <w:name w:val="Menu Options"/>
    <w:basedOn w:val="DefaultParagraphFont"/>
    <w:rsid w:val="00966822"/>
    <w:rPr>
      <w:rFonts w:ascii="Arial Narrow" w:hAnsi="Arial Narrow"/>
      <w:smallCaps/>
    </w:rPr>
  </w:style>
  <w:style w:type="character" w:customStyle="1" w:styleId="Buttons">
    <w:name w:val="Buttons"/>
    <w:basedOn w:val="DefaultParagraphFont"/>
    <w:rsid w:val="00966822"/>
    <w:rPr>
      <w:b/>
    </w:rPr>
  </w:style>
  <w:style w:type="character" w:customStyle="1" w:styleId="Underlined">
    <w:name w:val="Underlined"/>
    <w:basedOn w:val="DefaultParagraphFont"/>
    <w:rsid w:val="00966822"/>
    <w:rPr>
      <w:u w:val="single"/>
    </w:rPr>
  </w:style>
  <w:style w:type="paragraph" w:customStyle="1" w:styleId="TableBodyTextRight">
    <w:name w:val="Table Body Text Right"/>
    <w:basedOn w:val="TableBodyText"/>
    <w:rsid w:val="00966822"/>
    <w:pPr>
      <w:widowControl w:val="0"/>
      <w:autoSpaceDE w:val="0"/>
      <w:autoSpaceDN w:val="0"/>
      <w:adjustRightInd w:val="0"/>
      <w:jc w:val="right"/>
    </w:pPr>
    <w:rPr>
      <w:rFonts w:cs="Arial"/>
      <w:szCs w:val="18"/>
    </w:rPr>
  </w:style>
  <w:style w:type="paragraph" w:customStyle="1" w:styleId="CopyrightText">
    <w:name w:val="Copyright Text"/>
    <w:basedOn w:val="BodyText"/>
    <w:rsid w:val="00966822"/>
    <w:rPr>
      <w:sz w:val="18"/>
    </w:rPr>
  </w:style>
  <w:style w:type="paragraph" w:customStyle="1" w:styleId="BodySmallRight">
    <w:name w:val="Body Small Right"/>
    <w:basedOn w:val="BodyTextRight"/>
    <w:rsid w:val="00966822"/>
    <w:rPr>
      <w:sz w:val="18"/>
      <w:szCs w:val="18"/>
    </w:rPr>
  </w:style>
  <w:style w:type="paragraph" w:customStyle="1" w:styleId="MarginEdition">
    <w:name w:val="Margin Edition"/>
    <w:basedOn w:val="MarginNote"/>
    <w:rsid w:val="00966822"/>
    <w:pPr>
      <w:spacing w:before="0" w:after="0"/>
    </w:pPr>
    <w:rPr>
      <w:rFonts w:ascii="Times New Roman" w:hAnsi="Times New Roman"/>
      <w:color w:val="999999"/>
    </w:rPr>
  </w:style>
  <w:style w:type="paragraph" w:customStyle="1" w:styleId="Spacer">
    <w:name w:val="Spacer"/>
    <w:basedOn w:val="Normal"/>
    <w:rsid w:val="00966822"/>
    <w:rPr>
      <w:sz w:val="2"/>
      <w:szCs w:val="2"/>
    </w:rPr>
  </w:style>
  <w:style w:type="character" w:customStyle="1" w:styleId="Small">
    <w:name w:val="Small"/>
    <w:basedOn w:val="DefaultParagraphFont"/>
    <w:rsid w:val="00966822"/>
    <w:rPr>
      <w:sz w:val="16"/>
    </w:rPr>
  </w:style>
  <w:style w:type="paragraph" w:customStyle="1" w:styleId="WideTable">
    <w:name w:val="Wide Table"/>
    <w:basedOn w:val="Normal"/>
    <w:rsid w:val="00966822"/>
    <w:pPr>
      <w:ind w:left="-1418"/>
    </w:pPr>
    <w:rPr>
      <w:sz w:val="2"/>
      <w:szCs w:val="2"/>
    </w:rPr>
  </w:style>
  <w:style w:type="character" w:styleId="PageNumber">
    <w:name w:val="page number"/>
    <w:basedOn w:val="DefaultParagraphFont"/>
    <w:rsid w:val="00966822"/>
  </w:style>
  <w:style w:type="paragraph" w:styleId="Quote">
    <w:name w:val="Quote"/>
    <w:basedOn w:val="Heading1"/>
    <w:link w:val="QuoteChar"/>
    <w:qFormat/>
    <w:rsid w:val="00966822"/>
    <w:rPr>
      <w:b w:val="0"/>
      <w:sz w:val="72"/>
      <w:szCs w:val="72"/>
      <w:lang w:val="en-NZ"/>
    </w:rPr>
  </w:style>
  <w:style w:type="character" w:customStyle="1" w:styleId="QuoteChar">
    <w:name w:val="Quote Char"/>
    <w:basedOn w:val="DefaultParagraphFont"/>
    <w:link w:val="Quote"/>
    <w:rsid w:val="009668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822"/>
    <w:pPr>
      <w:pageBreakBefore/>
    </w:pPr>
  </w:style>
  <w:style w:type="paragraph" w:customStyle="1" w:styleId="Border">
    <w:name w:val="Border"/>
    <w:basedOn w:val="Normal"/>
    <w:qFormat/>
    <w:rsid w:val="009668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822"/>
    <w:rPr>
      <w:b/>
      <w:bCs/>
      <w:i/>
      <w:iCs/>
      <w:color w:val="auto"/>
    </w:rPr>
  </w:style>
  <w:style w:type="paragraph" w:styleId="IntenseQuote">
    <w:name w:val="Intense Quote"/>
    <w:basedOn w:val="Normal"/>
    <w:next w:val="Normal"/>
    <w:link w:val="IntenseQuoteChar"/>
    <w:uiPriority w:val="30"/>
    <w:qFormat/>
    <w:rsid w:val="009668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8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822"/>
    <w:rPr>
      <w:smallCaps/>
      <w:color w:val="auto"/>
      <w:u w:val="single"/>
    </w:rPr>
  </w:style>
  <w:style w:type="character" w:styleId="IntenseReference">
    <w:name w:val="Intense Reference"/>
    <w:basedOn w:val="DefaultParagraphFont"/>
    <w:uiPriority w:val="32"/>
    <w:qFormat/>
    <w:rsid w:val="00966822"/>
    <w:rPr>
      <w:b/>
      <w:bCs/>
      <w:smallCaps/>
      <w:color w:val="auto"/>
      <w:spacing w:val="5"/>
      <w:u w:val="single"/>
    </w:rPr>
  </w:style>
  <w:style w:type="paragraph" w:customStyle="1" w:styleId="2ColumnHeading">
    <w:name w:val="2Column Heading"/>
    <w:basedOn w:val="BodyText"/>
    <w:qFormat/>
    <w:rsid w:val="00966822"/>
    <w:pPr>
      <w:spacing w:after="60"/>
      <w:ind w:left="-2268"/>
    </w:pPr>
    <w:rPr>
      <w:b/>
    </w:rPr>
  </w:style>
  <w:style w:type="paragraph" w:customStyle="1" w:styleId="Heading1TOC">
    <w:name w:val="Heading1 TOC"/>
    <w:basedOn w:val="Normal"/>
    <w:qFormat/>
    <w:rsid w:val="00966822"/>
    <w:pPr>
      <w:spacing w:before="240" w:after="120"/>
    </w:pPr>
    <w:rPr>
      <w:rFonts w:ascii="Times New Roman" w:hAnsi="Times New Roman"/>
      <w:b/>
      <w:sz w:val="32"/>
    </w:rPr>
  </w:style>
  <w:style w:type="paragraph" w:customStyle="1" w:styleId="Heading2TOC">
    <w:name w:val="Heading2 TOC"/>
    <w:basedOn w:val="Normal"/>
    <w:qFormat/>
    <w:rsid w:val="00966822"/>
    <w:pPr>
      <w:spacing w:before="240" w:after="60"/>
    </w:pPr>
    <w:rPr>
      <w:rFonts w:ascii="Times New Roman" w:hAnsi="Times New Roman"/>
      <w:b/>
      <w:sz w:val="28"/>
    </w:rPr>
  </w:style>
  <w:style w:type="character" w:customStyle="1" w:styleId="Underline">
    <w:name w:val="Underline"/>
    <w:basedOn w:val="DefaultParagraphFont"/>
    <w:qFormat/>
    <w:rsid w:val="00966822"/>
    <w:rPr>
      <w:u w:val="single"/>
    </w:rPr>
  </w:style>
  <w:style w:type="character" w:customStyle="1" w:styleId="BoldandItalics">
    <w:name w:val="Bold and Italics"/>
    <w:qFormat/>
    <w:rsid w:val="00966822"/>
    <w:rPr>
      <w:b/>
      <w:i/>
      <w:u w:val="none"/>
    </w:rPr>
  </w:style>
  <w:style w:type="paragraph" w:styleId="BalloonText">
    <w:name w:val="Balloon Text"/>
    <w:basedOn w:val="Normal"/>
    <w:link w:val="BalloonTextChar"/>
    <w:rsid w:val="00966822"/>
    <w:rPr>
      <w:rFonts w:ascii="Tahoma" w:hAnsi="Tahoma" w:cs="Tahoma"/>
      <w:sz w:val="16"/>
      <w:szCs w:val="16"/>
    </w:rPr>
  </w:style>
  <w:style w:type="character" w:customStyle="1" w:styleId="BalloonTextChar">
    <w:name w:val="Balloon Text Char"/>
    <w:basedOn w:val="DefaultParagraphFont"/>
    <w:link w:val="BalloonText"/>
    <w:rsid w:val="009668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8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68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822"/>
    <w:rPr>
      <w:b/>
      <w:color w:val="660033"/>
      <w:spacing w:val="0"/>
    </w:rPr>
  </w:style>
  <w:style w:type="paragraph" w:customStyle="1" w:styleId="Nameditemlist">
    <w:name w:val="Named item list"/>
    <w:basedOn w:val="BodyText"/>
    <w:qFormat/>
    <w:rsid w:val="009668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2622</Words>
  <Characters>16261</Characters>
  <Application>Microsoft Office Word</Application>
  <DocSecurity>0</DocSecurity>
  <Lines>732</Lines>
  <Paragraphs>310</Paragraphs>
  <ScaleCrop>false</ScaleCrop>
  <Company>Author-it Software Corporation Ltd.</Company>
  <LinksUpToDate>false</LinksUpToDate>
  <CharactersWithSpaces>18626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UEGNSG318B Monitor and operate flow control, pressure, measuring and regulating devices for gas transmission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2012-10-10T01:46:00Z</dcterms:created>
  <dcterms:modified xsi:type="dcterms:W3CDTF">2012-10-10T01:46:00Z</dcterms:modified>
</cp:coreProperties>
</file>