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61C" w:rsidP="003A161C">
      <w:pPr>
        <w:pStyle w:val="Title"/>
      </w:pPr>
      <w:r>
        <w:fldChar w:fldCharType="begin"/>
      </w:r>
      <w:r>
        <w:instrText xml:space="preserve"> TITLE   \* MERGEFORMAT </w:instrText>
      </w:r>
      <w:r>
        <w:fldChar w:fldCharType="separate"/>
      </w:r>
      <w:r>
        <w:t>UEGNSG315B Aerial transmission pipeline surveillance</w:t>
      </w:r>
      <w:r>
        <w:fldChar w:fldCharType="end"/>
      </w:r>
    </w:p>
    <w:p w:rsidR="003A161C" w:rsidP="003A161C">
      <w:pPr>
        <w:pStyle w:val="Version"/>
        <w:sectPr w:rsidSect="001251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193" w:rsidP="00125193">
      <w:pPr>
        <w:pStyle w:val="SuperHeading"/>
      </w:pPr>
      <w:r w:rsidRPr="00125193">
        <w:t>UEGNSG315B Aerial transmission pipeline surveillance</w:t>
      </w:r>
    </w:p>
    <w:p w:rsidR="00000000" w:rsidRPr="00125193" w:rsidP="00125193">
      <w:pPr>
        <w:pStyle w:val="Heading1"/>
      </w:pPr>
      <w:bookmarkStart w:id="1" w:name="O_402429"/>
      <w:bookmarkEnd w:id="1"/>
      <w:r w:rsidRPr="00125193">
        <w:t>Modification History</w:t>
      </w:r>
    </w:p>
    <w:p w:rsidR="00000000" w:rsidRPr="00125193" w:rsidP="00125193">
      <w:pPr>
        <w:pStyle w:val="BodyText"/>
      </w:pPr>
      <w:r w:rsidRPr="00125193">
        <w:t>Not applicable.</w:t>
      </w:r>
    </w:p>
    <w:p w:rsidR="00000000" w:rsidRPr="00125193" w:rsidP="00125193">
      <w:pPr>
        <w:pStyle w:val="AllowPageBreak"/>
      </w:pPr>
    </w:p>
    <w:p w:rsidR="00000000" w:rsidRPr="00125193" w:rsidP="00125193">
      <w:pPr>
        <w:pStyle w:val="Heading1"/>
      </w:pPr>
      <w:bookmarkStart w:id="2" w:name="O_402427"/>
      <w:bookmarkEnd w:id="2"/>
      <w:r w:rsidRPr="00125193">
        <w:t>Unit Descriptor</w:t>
      </w:r>
    </w:p>
    <w:tbl>
      <w:tblPr>
        <w:tblW w:w="0" w:type="auto"/>
        <w:tblLayout w:type="fixed"/>
        <w:tblCellMar>
          <w:left w:w="62" w:type="dxa"/>
          <w:right w:w="62" w:type="dxa"/>
        </w:tblCellMar>
        <w:tblLook w:val="0000"/>
      </w:tblPr>
      <w:tblGrid>
        <w:gridCol w:w="2700"/>
        <w:gridCol w:w="5760"/>
      </w:tblGrid>
      <w:tr w:rsidTr="003A16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1) Scope:</w:t>
            </w:r>
          </w:p>
        </w:tc>
      </w:tr>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519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1.1) Descriptor</w:t>
            </w:r>
          </w:p>
        </w:tc>
      </w:tr>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This Competency Standard Unit covers the aerial surveillance of transmission pipelines, easements and/or surrounding environs. The competency standard is applied against the procedures found under latest edition of AS 2885.3 Australian and New Zealand Stan</w:t>
            </w:r>
            <w:r w:rsidRPr="00125193">
              <w:t>dard. The competency standard also refers to threat mitigation through identification of system non-conformance. The competency standard outlines the areas to be monitored; inspection of areas; system's pipe work; structures; fittings; equipment; organisat</w:t>
            </w:r>
            <w:r w:rsidRPr="00125193">
              <w:t>ional and statutory requirements and recording and reporting.</w:t>
            </w:r>
          </w:p>
        </w:tc>
      </w:tr>
    </w:tbl>
    <w:p w:rsidR="00000000" w:rsidRPr="00125193" w:rsidP="00125193">
      <w:pPr>
        <w:pStyle w:val="BodyText"/>
      </w:pPr>
    </w:p>
    <w:p w:rsidR="00000000" w:rsidRPr="00125193" w:rsidP="00125193">
      <w:pPr>
        <w:pStyle w:val="AllowPageBreak"/>
      </w:pPr>
    </w:p>
    <w:p w:rsidR="00000000" w:rsidRPr="00125193" w:rsidP="00125193">
      <w:pPr>
        <w:pStyle w:val="Heading1"/>
      </w:pPr>
      <w:bookmarkStart w:id="3" w:name="O_402411"/>
      <w:bookmarkEnd w:id="3"/>
      <w:r w:rsidRPr="00125193">
        <w:t>Application of the Unit</w:t>
      </w:r>
    </w:p>
    <w:tbl>
      <w:tblPr>
        <w:tblW w:w="0" w:type="auto"/>
        <w:tblLayout w:type="fixed"/>
        <w:tblCellMar>
          <w:left w:w="62" w:type="dxa"/>
          <w:right w:w="62" w:type="dxa"/>
        </w:tblCellMar>
        <w:tblLook w:val="0000"/>
      </w:tblPr>
      <w:tblGrid>
        <w:gridCol w:w="2672"/>
        <w:gridCol w:w="5699"/>
      </w:tblGrid>
      <w:tr w:rsidTr="003A161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2)</w:t>
            </w:r>
          </w:p>
        </w:tc>
      </w:tr>
      <w:tr w:rsidTr="003A161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This competency standard shall apply to any basic and safe work site where Gas Industry operations occur.</w:t>
            </w:r>
          </w:p>
        </w:tc>
      </w:tr>
    </w:tbl>
    <w:p w:rsidR="00000000" w:rsidRPr="00125193" w:rsidP="00125193">
      <w:pPr>
        <w:pStyle w:val="BodyText"/>
      </w:pPr>
    </w:p>
    <w:p w:rsidR="00000000" w:rsidRPr="00125193" w:rsidP="00125193">
      <w:pPr>
        <w:pStyle w:val="AllowPageBreak"/>
      </w:pPr>
    </w:p>
    <w:p w:rsidR="00000000" w:rsidRPr="00125193" w:rsidP="00125193">
      <w:pPr>
        <w:pStyle w:val="Heading1"/>
      </w:pPr>
      <w:bookmarkStart w:id="4" w:name="O_402418"/>
      <w:bookmarkEnd w:id="4"/>
      <w:r w:rsidRPr="00125193">
        <w:t>Licensing/Regulatory Information</w:t>
      </w:r>
    </w:p>
    <w:tbl>
      <w:tblPr>
        <w:tblW w:w="0" w:type="auto"/>
        <w:tblLayout w:type="fixed"/>
        <w:tblCellMar>
          <w:left w:w="62" w:type="dxa"/>
          <w:right w:w="62" w:type="dxa"/>
        </w:tblCellMar>
        <w:tblLook w:val="0000"/>
      </w:tblPr>
      <w:tblGrid>
        <w:gridCol w:w="2700"/>
        <w:gridCol w:w="5760"/>
      </w:tblGrid>
      <w:tr w:rsidTr="003A16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 xml:space="preserve">3) </w:t>
            </w:r>
          </w:p>
        </w:tc>
      </w:tr>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The skills and knowledge described in this unit are not subject to licence regulation other than those directly related to Occupational Health and Safety, gas/petrochemical liquid/electrici</w:t>
            </w:r>
            <w:r w:rsidRPr="00125193">
              <w:t xml:space="preserve">ty/water industry safety and compliance, industrial relations, environmental protection, telecommunications, anti discrimination and </w:t>
            </w:r>
            <w:r w:rsidRPr="00125193">
              <w:t>training. Commonwealth, State/Territory or Local Government legislation and regulations may exist that limits the age of pe</w:t>
            </w:r>
            <w:r w:rsidRPr="00125193">
              <w:t>rsons who can operate certain equipment.</w:t>
            </w:r>
          </w:p>
        </w:tc>
      </w:tr>
    </w:tbl>
    <w:p w:rsidR="00000000" w:rsidRPr="00125193" w:rsidP="00125193">
      <w:pPr>
        <w:pStyle w:val="BodyText"/>
      </w:pPr>
    </w:p>
    <w:p w:rsidR="00000000" w:rsidRPr="00125193" w:rsidP="00125193">
      <w:pPr>
        <w:pStyle w:val="AllowPageBreak"/>
      </w:pPr>
    </w:p>
    <w:p w:rsidR="00000000" w:rsidRPr="00125193" w:rsidP="00125193">
      <w:pPr>
        <w:pStyle w:val="Heading1"/>
      </w:pPr>
      <w:bookmarkStart w:id="5" w:name="O_402419"/>
      <w:bookmarkEnd w:id="5"/>
      <w:r w:rsidRPr="00125193">
        <w:t>Pre-Requisites</w:t>
      </w:r>
    </w:p>
    <w:tbl>
      <w:tblPr>
        <w:tblW w:w="0" w:type="auto"/>
        <w:tblLayout w:type="fixed"/>
        <w:tblCellMar>
          <w:left w:w="62" w:type="dxa"/>
          <w:right w:w="62" w:type="dxa"/>
        </w:tblCellMar>
        <w:tblLook w:val="0000"/>
      </w:tblPr>
      <w:tblGrid>
        <w:gridCol w:w="2700"/>
        <w:gridCol w:w="1800"/>
        <w:gridCol w:w="3960"/>
      </w:tblGrid>
      <w:tr w:rsidTr="003A16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 xml:space="preserve">4) </w:t>
            </w:r>
          </w:p>
        </w:tc>
      </w:tr>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4.1)</w:t>
            </w:r>
          </w:p>
        </w:tc>
      </w:tr>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Granting of competency in this unit shall be made only after competency in the following unit(s) has/have been confirmed:</w:t>
            </w:r>
          </w:p>
        </w:tc>
      </w:tr>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Nil</w:t>
            </w:r>
          </w:p>
        </w:tc>
        <w:tc>
          <w:tcPr>
            <w:tcW w:w="3960" w:type="dxa"/>
            <w:tcBorders>
              <w:top w:val="nil"/>
              <w:left w:val="nil"/>
              <w:bottom w:val="nil"/>
              <w:right w:val="nil"/>
            </w:tcBorders>
            <w:tcMar>
              <w:top w:w="0" w:type="dxa"/>
              <w:left w:w="62" w:type="dxa"/>
              <w:bottom w:w="0" w:type="dxa"/>
              <w:right w:w="62" w:type="dxa"/>
            </w:tcMar>
          </w:tcPr>
          <w:p w:rsidR="00000000" w:rsidRPr="00125193" w:rsidP="00125193">
            <w:pPr>
              <w:pStyle w:val="BodyText"/>
            </w:pPr>
          </w:p>
        </w:tc>
      </w:tr>
    </w:tbl>
    <w:p w:rsidR="00000000" w:rsidRPr="00125193" w:rsidP="0012519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 xml:space="preserve">4.2) </w:t>
            </w:r>
          </w:p>
          <w:p w:rsidR="00000000" w:rsidP="00125193">
            <w:pPr>
              <w:pStyle w:val="BodyText"/>
              <w:rPr>
                <w:lang w:val="en-NZ"/>
              </w:rPr>
            </w:pPr>
            <w:r w:rsidRPr="00125193">
              <w:t>Participants are best equipped to achieve this unit if they have reading, writing and numeracy skills indicated by the following scales. Description of each scale is given in Volume 2, Part 3 ‘Literacy and Numeracy’</w:t>
            </w:r>
          </w:p>
        </w:tc>
      </w:tr>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Reading</w:t>
            </w:r>
          </w:p>
        </w:tc>
        <w:tc>
          <w:tcPr>
            <w:tcW w:w="81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4</w:t>
            </w: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Writing</w:t>
            </w: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4</w:t>
            </w:r>
          </w:p>
        </w:tc>
        <w:tc>
          <w:tcPr>
            <w:tcW w:w="12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Numeracy</w:t>
            </w:r>
          </w:p>
        </w:tc>
        <w:tc>
          <w:tcPr>
            <w:tcW w:w="72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4</w:t>
            </w:r>
          </w:p>
        </w:tc>
      </w:tr>
    </w:tbl>
    <w:p w:rsidR="00000000" w:rsidRPr="00125193" w:rsidP="00125193">
      <w:pPr>
        <w:pStyle w:val="BodyText"/>
      </w:pPr>
    </w:p>
    <w:p w:rsidR="00000000" w:rsidRPr="00125193" w:rsidP="00125193">
      <w:pPr>
        <w:pStyle w:val="AllowPageBreak"/>
      </w:pPr>
    </w:p>
    <w:p w:rsidR="00000000" w:rsidRPr="00125193" w:rsidP="00125193">
      <w:pPr>
        <w:pStyle w:val="Heading1"/>
      </w:pPr>
      <w:bookmarkStart w:id="6" w:name="O_402415"/>
      <w:bookmarkEnd w:id="6"/>
      <w:r w:rsidRPr="00125193">
        <w:t>Employability Skills Information</w:t>
      </w:r>
    </w:p>
    <w:tbl>
      <w:tblPr>
        <w:tblW w:w="0" w:type="auto"/>
        <w:tblLayout w:type="fixed"/>
        <w:tblCellMar>
          <w:left w:w="62" w:type="dxa"/>
          <w:right w:w="62" w:type="dxa"/>
        </w:tblCellMar>
        <w:tblLook w:val="0000"/>
      </w:tblPr>
      <w:tblGrid>
        <w:gridCol w:w="2700"/>
        <w:gridCol w:w="5760"/>
      </w:tblGrid>
      <w:tr w:rsidTr="003A16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 xml:space="preserve">5) </w:t>
            </w:r>
          </w:p>
        </w:tc>
      </w:tr>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This unit contains Employability Skills</w:t>
            </w:r>
          </w:p>
        </w:tc>
      </w:tr>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25193">
              <w:t>requirements.</w:t>
            </w:r>
          </w:p>
        </w:tc>
      </w:tr>
    </w:tbl>
    <w:p w:rsidR="00000000" w:rsidRPr="00125193" w:rsidP="00125193">
      <w:pPr>
        <w:pStyle w:val="BodyText"/>
      </w:pPr>
    </w:p>
    <w:p w:rsidR="00000000" w:rsidRPr="00125193" w:rsidP="00125193">
      <w:pPr>
        <w:pStyle w:val="AllowPageBreak"/>
      </w:pPr>
    </w:p>
    <w:p w:rsidR="00000000" w:rsidRPr="00125193" w:rsidP="00125193">
      <w:pPr>
        <w:pStyle w:val="Heading1"/>
      </w:pPr>
      <w:bookmarkStart w:id="7" w:name="O_402414"/>
      <w:bookmarkEnd w:id="7"/>
      <w:r w:rsidRPr="00125193">
        <w:t>Elements and Performance Criteria Pre-Content</w:t>
      </w:r>
    </w:p>
    <w:tbl>
      <w:tblPr>
        <w:tblW w:w="0" w:type="auto"/>
        <w:tblLayout w:type="fixed"/>
        <w:tblCellMar>
          <w:left w:w="62" w:type="dxa"/>
          <w:right w:w="62" w:type="dxa"/>
        </w:tblCellMar>
        <w:tblLook w:val="0000"/>
      </w:tblPr>
      <w:tblGrid>
        <w:gridCol w:w="2700"/>
        <w:gridCol w:w="5760"/>
      </w:tblGrid>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6)</w:t>
            </w:r>
            <w:r w:rsidRPr="0012519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Performance Criteria describe the required performance needed to demonstrate achievement of the element</w:t>
            </w:r>
            <w:r w:rsidRPr="00125193">
              <w:t>. Assessment of performance is to be consistent with the Evidence Guide.</w:t>
            </w:r>
          </w:p>
        </w:tc>
      </w:tr>
    </w:tbl>
    <w:p w:rsidR="00000000" w:rsidRPr="00125193" w:rsidP="00125193">
      <w:pPr>
        <w:pStyle w:val="BodyText"/>
      </w:pPr>
    </w:p>
    <w:p w:rsidR="00000000" w:rsidRPr="00125193" w:rsidP="00125193">
      <w:pPr>
        <w:pStyle w:val="AllowPageBreak"/>
      </w:pPr>
    </w:p>
    <w:p w:rsidR="00000000" w:rsidRPr="00125193" w:rsidP="00125193">
      <w:pPr>
        <w:pStyle w:val="Heading1"/>
      </w:pPr>
      <w:bookmarkStart w:id="8" w:name="O_402413"/>
      <w:bookmarkEnd w:id="8"/>
      <w:r w:rsidRPr="0012519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A161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PERFORMANCE CRITERIA</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1</w:t>
            </w:r>
          </w:p>
        </w:tc>
        <w:tc>
          <w:tcPr>
            <w:tcW w:w="2296"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Prepare to conduct aerial surveillance of transmission pipelines, easements and/or surrounding environs</w:t>
            </w: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1.1</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Routine surveillance of pipeline is conducted and faults reported in a timely manner against work schedule(s) and established procedures and confirm</w:t>
            </w:r>
            <w:r w:rsidRPr="00125193">
              <w:t>ed if necessary by site inspection</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1.2</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Relevant requirements and established procedures for the work are communicated to all persons</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1.3</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 xml:space="preserve">OHS, environmental and sustainable energy policies and procedures related to requirements and established procedures for gas pipeline surveillance are obtained and confirmed for the purposes of the work performed and communicated </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1.4</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Work is prioritise</w:t>
            </w:r>
            <w:r w:rsidRPr="00125193">
              <w:t>d and sequenced following consultation with others for completion within acceptable timeframes and in accordance with established procedures</w:t>
            </w:r>
          </w:p>
        </w:tc>
      </w:tr>
      <w:tr w:rsidTr="003A161C">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1.5</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Risk control measures for identified hazards are prioritised, implemented and monitored against the work sch</w:t>
            </w:r>
            <w:r w:rsidRPr="00125193">
              <w:t>edule</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1.6</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Relevant work permits are obtained to access and perform work according to requirements and established procedures</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1.7</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Resources including persons, equipment, tools and personal protective equipment required for pipeline surveillance are identified, scheduled and obtained and confirmed in working order</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1.8</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Liaison and communication issues with authorised persons, author</w:t>
            </w:r>
            <w:r w:rsidRPr="00125193">
              <w:t>ities, clients and land owners are resolved and activities coordinated to carry out work</w:t>
            </w:r>
          </w:p>
        </w:tc>
      </w:tr>
      <w:tr w:rsidTr="003A161C">
        <w:tblPrEx>
          <w:tblW w:w="0" w:type="auto"/>
          <w:tblLayout w:type="fixed"/>
          <w:tblCellMar>
            <w:left w:w="62" w:type="dxa"/>
            <w:right w:w="62" w:type="dxa"/>
          </w:tblCellMar>
          <w:tblLook w:val="0000"/>
        </w:tblPrEx>
        <w:trPr>
          <w:trHeight w:val="21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1.9</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 xml:space="preserve">Persons participating in the work, including plant operators and contractors are fully briefed and respective responsibilities confirmed where </w:t>
            </w:r>
            <w:r w:rsidRPr="00125193">
              <w:t xml:space="preserve">applicable in accordance with established procedures </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2</w:t>
            </w:r>
          </w:p>
        </w:tc>
        <w:tc>
          <w:tcPr>
            <w:tcW w:w="2296"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Conduct aerial surveillance of transmission pipelines, easements and/or surrounding environs and identify non-conformance</w:t>
            </w: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2.1</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 xml:space="preserve">Analysis of information to identify key issues is undertaken as required </w:t>
            </w:r>
            <w:r w:rsidRPr="00125193">
              <w:t>and information is evaluated for relevance and validity to the requirements</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2.2</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 xml:space="preserve">Dealings with customers are consistent with standard operating procedures and the special needs of customers are identified and considered in targeting client service </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2.3</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Essential Knowledge and Associated Skills for the pipeline surveillance are applied to ensure completion in an agreed timeframe and to quality standards with a minimum of waste according to requirements</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2.4</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Leakages and damaged pipes, fittings and a</w:t>
            </w:r>
            <w:r w:rsidRPr="00125193">
              <w:t xml:space="preserve">ppurtenances are recorded in accordance with the work schedule and established procedures </w:t>
            </w:r>
          </w:p>
        </w:tc>
      </w:tr>
      <w:tr w:rsidTr="003A161C">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2.5</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Hazard warnings and safety signs are recognised and hazards and assessed OHS risks are reported to the immediate authorised persons for directions according t</w:t>
            </w:r>
            <w:r w:rsidRPr="00125193">
              <w:t>o established procedures</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2.6</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 xml:space="preserve">Unplanned events in pipeline surveillance are undertaken with the scope of established procedures </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2.7</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System faults and the operational condition of the pipelines are identified and reported and known solutions are applied using Essential Knowledge and Associated Skills</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2.8</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Works in the vicinity of the pipeline are identified and reported and known solu</w:t>
            </w:r>
            <w:r w:rsidRPr="00125193">
              <w:t>tions are applied using Essential Knowledge and Associated Skills</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3</w:t>
            </w:r>
          </w:p>
        </w:tc>
        <w:tc>
          <w:tcPr>
            <w:tcW w:w="2296"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Review, record and report on transmission pipelines, easements and/or surrounding environ work</w:t>
            </w: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3.1</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Solutions are developed based on consideration of relevant information and options and proposed solutions are communicated and implemented as required against works schedule, anomalies are reported in accordance with established procedures</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3.2</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Accidents</w:t>
            </w:r>
            <w:r w:rsidRPr="00125193">
              <w:t xml:space="preserve"> and injuries are reported in accordance with requirements and established procedures where applicable</w:t>
            </w:r>
          </w:p>
        </w:tc>
      </w:tr>
      <w:tr w:rsidTr="003A161C">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3.3</w:t>
            </w:r>
          </w:p>
        </w:tc>
        <w:tc>
          <w:tcPr>
            <w:tcW w:w="48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Solution is implemented in accordance with standard operating procedures ensuring that action is correctly documented, the transaction is accurate</w:t>
            </w:r>
            <w:r w:rsidRPr="00125193">
              <w:t>ly processed and the customer is advised</w:t>
            </w:r>
          </w:p>
        </w:tc>
      </w:tr>
      <w:tr w:rsidTr="003A16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3.4</w:t>
            </w:r>
          </w:p>
        </w:tc>
        <w:tc>
          <w:tcPr>
            <w:tcW w:w="486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Work completion records, reports and documentation are finalised and processed and appropriate persons notified</w:t>
            </w:r>
          </w:p>
        </w:tc>
      </w:tr>
    </w:tbl>
    <w:p w:rsidR="00000000" w:rsidRPr="00125193" w:rsidP="00125193">
      <w:pPr>
        <w:pStyle w:val="BodyText"/>
      </w:pPr>
    </w:p>
    <w:p w:rsidR="00000000" w:rsidRPr="00125193" w:rsidP="00125193">
      <w:pPr>
        <w:pStyle w:val="AllowPageBreak"/>
      </w:pPr>
    </w:p>
    <w:p w:rsidR="00000000" w:rsidRPr="00125193" w:rsidP="00125193">
      <w:pPr>
        <w:pStyle w:val="Heading1"/>
      </w:pPr>
      <w:bookmarkStart w:id="9" w:name="O_402422"/>
      <w:bookmarkEnd w:id="9"/>
      <w:r w:rsidRPr="00125193">
        <w:t>Required Skills and Knowledge</w:t>
      </w:r>
    </w:p>
    <w:tbl>
      <w:tblPr>
        <w:tblW w:w="0" w:type="auto"/>
        <w:tblLayout w:type="fixed"/>
        <w:tblCellMar>
          <w:left w:w="62" w:type="dxa"/>
          <w:right w:w="62" w:type="dxa"/>
        </w:tblCellMar>
        <w:tblLook w:val="0000"/>
      </w:tblPr>
      <w:tblGrid>
        <w:gridCol w:w="8460"/>
      </w:tblGrid>
      <w:tr w:rsidTr="003A161C">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REQUIRED SKILLS AND KNOWLEDGE</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8)</w:t>
            </w:r>
            <w:r w:rsidRPr="00125193">
              <w:t xml:space="preserve"> This describes the essential skills and knowledge and their level, required for this unit.</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Evidence shall show that knowledge has been acquired of safe working practices for aerial transmission pipeline surveillance.</w:t>
            </w:r>
          </w:p>
        </w:tc>
      </w:tr>
      <w:tr w:rsidTr="003A161C">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All knowledge and skills detailed in</w:t>
            </w:r>
            <w:r w:rsidRPr="00125193">
              <w:t xml:space="preserve"> this unit should be contextualised to current industry practices and technologies.</w:t>
            </w:r>
          </w:p>
        </w:tc>
      </w:tr>
    </w:tbl>
    <w:p w:rsidR="00000000" w:rsidRPr="00125193" w:rsidP="00125193">
      <w:pPr>
        <w:pStyle w:val="BodyText"/>
      </w:pPr>
    </w:p>
    <w:tbl>
      <w:tblPr>
        <w:tblW w:w="0" w:type="auto"/>
        <w:tblLayout w:type="fixed"/>
        <w:tblCellMar>
          <w:left w:w="62" w:type="dxa"/>
          <w:right w:w="62" w:type="dxa"/>
        </w:tblCellMar>
        <w:tblLook w:val="0000"/>
      </w:tblPr>
      <w:tblGrid>
        <w:gridCol w:w="1440"/>
        <w:gridCol w:w="990"/>
        <w:gridCol w:w="6030"/>
      </w:tblGrid>
      <w:tr w:rsidTr="003A161C">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KS01-G315B</w:t>
            </w:r>
          </w:p>
        </w:tc>
        <w:tc>
          <w:tcPr>
            <w:tcW w:w="7020" w:type="dxa"/>
            <w:gridSpan w:val="2"/>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Transmission pipeline aerial surveillance</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3.3.1</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Consulting appropriate persons to coordinate work and persons</w:t>
            </w:r>
          </w:p>
          <w:p w:rsidR="00000000" w:rsidRPr="00125193" w:rsidP="00125193">
            <w:pPr>
              <w:pStyle w:val="BodyText"/>
            </w:pPr>
            <w:r w:rsidRPr="00125193">
              <w:t>Evidence shall show an understanding of consulting appropriate persons to coordinate work and persons on Gas Industry pipeline (Transmission) systems, indicated by the following:</w:t>
            </w:r>
          </w:p>
          <w:p w:rsidR="00000000" w:rsidRPr="00125193" w:rsidP="00125193">
            <w:pPr>
              <w:pStyle w:val="ListBullet"/>
            </w:pPr>
            <w:r w:rsidRPr="00125193">
              <w:t>personal requirements for an order</w:t>
            </w:r>
          </w:p>
          <w:p w:rsidR="00000000" w:rsidRPr="00125193" w:rsidP="00125193">
            <w:pPr>
              <w:pStyle w:val="ListBullet"/>
            </w:pPr>
            <w:r w:rsidRPr="00125193">
              <w:t>reporting structures for equipment faults</w:t>
            </w:r>
            <w:r w:rsidRPr="00125193">
              <w:t xml:space="preserve"> and dangerous work</w:t>
            </w:r>
          </w:p>
          <w:p w:rsidR="00000000" w:rsidRPr="00125193" w:rsidP="00125193">
            <w:pPr>
              <w:pStyle w:val="ListBullet"/>
            </w:pPr>
            <w:r w:rsidRPr="00125193">
              <w:t>communication with appropriate persons, customers and third parties</w:t>
            </w:r>
          </w:p>
          <w:p w:rsidR="00000000" w:rsidRPr="00125193" w:rsidP="00125193">
            <w:pPr>
              <w:pStyle w:val="ListBullet"/>
            </w:pPr>
            <w:r w:rsidRPr="00125193">
              <w:t>strategies to facilitate coordination or work with other persons</w:t>
            </w:r>
          </w:p>
          <w:p w:rsidR="00000000" w:rsidP="00125193">
            <w:pPr>
              <w:pStyle w:val="ListBullet"/>
              <w:rPr>
                <w:lang w:val="en-NZ"/>
              </w:rPr>
            </w:pPr>
            <w:r w:rsidRPr="00125193">
              <w:t>requirements for and use of qualified specialists</w:t>
            </w:r>
          </w:p>
        </w:tc>
      </w:tr>
      <w:tr w:rsidTr="003A161C">
        <w:tblPrEx>
          <w:tblW w:w="0" w:type="auto"/>
          <w:tblLayout w:type="fixed"/>
          <w:tblCellMar>
            <w:left w:w="62" w:type="dxa"/>
            <w:right w:w="62" w:type="dxa"/>
          </w:tblCellMar>
          <w:tblLook w:val="0000"/>
        </w:tblPrEx>
        <w:trPr>
          <w:trHeight w:val="3893"/>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3.3.4</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Liaise and communicate with relevant authorities</w:t>
            </w:r>
          </w:p>
          <w:p w:rsidR="00000000" w:rsidRPr="00125193" w:rsidP="00125193">
            <w:pPr>
              <w:pStyle w:val="BodyText"/>
            </w:pPr>
            <w:r w:rsidRPr="00125193">
              <w:t>Evidence shall show an understanding of liaising with the relevant authorities in relation to Gas Industry pipelines (Transmission), indicated by the following:</w:t>
            </w:r>
          </w:p>
          <w:p w:rsidR="00000000" w:rsidRPr="00125193" w:rsidP="00125193">
            <w:pPr>
              <w:pStyle w:val="ListBullet"/>
            </w:pPr>
            <w:r w:rsidRPr="00125193">
              <w:t>legislative, OHS and environmental requiremen</w:t>
            </w:r>
            <w:r w:rsidRPr="00125193">
              <w:t>ts applicable to a specific commissioning/decommissioning of a pipeline</w:t>
            </w:r>
          </w:p>
          <w:p w:rsidR="00000000" w:rsidRPr="00125193" w:rsidP="00125193">
            <w:pPr>
              <w:pStyle w:val="ListBullet"/>
            </w:pPr>
            <w:r w:rsidRPr="00125193">
              <w:t>authorities that need to be contacted when planning the commissioning/decommissioning of pipeline</w:t>
            </w:r>
          </w:p>
          <w:p w:rsidR="00000000" w:rsidRPr="00125193" w:rsidP="00125193">
            <w:pPr>
              <w:pStyle w:val="ListBullet"/>
            </w:pPr>
            <w:r w:rsidRPr="00125193">
              <w:t>requirements and procedures to obtain approvals/permits from relevant authorities</w:t>
            </w:r>
          </w:p>
          <w:p w:rsidR="00000000" w:rsidRPr="00125193" w:rsidP="00125193">
            <w:pPr>
              <w:pStyle w:val="ListBullet"/>
            </w:pPr>
            <w:r w:rsidRPr="00125193">
              <w:t>requ</w:t>
            </w:r>
            <w:r w:rsidRPr="00125193">
              <w:t>irements for advising relevant authorities of intended activities</w:t>
            </w:r>
          </w:p>
          <w:p w:rsidR="00000000" w:rsidP="00125193">
            <w:pPr>
              <w:pStyle w:val="ListBullet"/>
              <w:rPr>
                <w:lang w:val="en-NZ"/>
              </w:rPr>
            </w:pPr>
            <w:r w:rsidRPr="00125193">
              <w:t>accurate and complete records of all communications with relevant authorities.</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3.3.7</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Prepare reports</w:t>
            </w:r>
          </w:p>
          <w:p w:rsidR="00000000" w:rsidRPr="00125193" w:rsidP="00125193">
            <w:pPr>
              <w:pStyle w:val="BodyText"/>
            </w:pPr>
            <w:r w:rsidRPr="00125193">
              <w:t>Evidence shall show an understanding of the preparing of reports applicable to Gas Industry pipelines (Transmission), indicated by the following:</w:t>
            </w:r>
          </w:p>
          <w:p w:rsidR="00000000" w:rsidRPr="00125193" w:rsidP="00125193">
            <w:pPr>
              <w:pStyle w:val="ListBullet"/>
            </w:pPr>
            <w:r w:rsidRPr="00125193">
              <w:t>procedures and legislative requirements for maintaining appropriate reporting and recording systems</w:t>
            </w:r>
          </w:p>
          <w:p w:rsidR="00000000" w:rsidRPr="00125193" w:rsidP="00125193">
            <w:pPr>
              <w:pStyle w:val="ListBullet"/>
            </w:pPr>
            <w:r w:rsidRPr="00125193">
              <w:t>job recor</w:t>
            </w:r>
            <w:r w:rsidRPr="00125193">
              <w:t>ds and process information to appropriate/relevant department</w:t>
            </w:r>
          </w:p>
          <w:p w:rsidR="00000000" w:rsidP="00125193">
            <w:pPr>
              <w:pStyle w:val="ListBullet"/>
              <w:rPr>
                <w:lang w:val="en-NZ"/>
              </w:rPr>
            </w:pPr>
            <w:r w:rsidRPr="00125193">
              <w:t>non-conformances and incidents in accordance with procedures and legislative requirements.</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3.3.10</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Notify of completion of work</w:t>
            </w:r>
          </w:p>
          <w:p w:rsidR="00000000" w:rsidRPr="00125193" w:rsidP="00125193">
            <w:pPr>
              <w:pStyle w:val="BodyText"/>
            </w:pPr>
            <w:r w:rsidRPr="00125193">
              <w:t>Evidence shall show an understanding of the notification of completion of work procedures in Gas Industry pipelines (Transmission), indicated by the following:</w:t>
            </w:r>
          </w:p>
          <w:p w:rsidR="00000000" w:rsidRPr="00125193" w:rsidP="00125193">
            <w:pPr>
              <w:pStyle w:val="ListBullet"/>
            </w:pPr>
            <w:r w:rsidRPr="00125193">
              <w:t>documentation to be completed and processed when the work is completed</w:t>
            </w:r>
          </w:p>
          <w:p w:rsidR="00000000" w:rsidRPr="00125193" w:rsidP="00125193">
            <w:pPr>
              <w:pStyle w:val="ListBullet"/>
            </w:pPr>
            <w:r w:rsidRPr="00125193">
              <w:t>authorities/councils tha</w:t>
            </w:r>
            <w:r w:rsidRPr="00125193">
              <w:t>t need to be notified in relation to site reinstatement</w:t>
            </w:r>
          </w:p>
          <w:p w:rsidR="00000000" w:rsidP="00125193">
            <w:pPr>
              <w:pStyle w:val="ListBullet"/>
              <w:rPr>
                <w:lang w:val="en-NZ"/>
              </w:rPr>
            </w:pPr>
            <w:r w:rsidRPr="00125193">
              <w:t>recording and reporting system accurately and in accordance with procedures.</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4.1.1</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Operate and supervise in the Gas Industry</w:t>
            </w:r>
          </w:p>
          <w:p w:rsidR="00000000" w:rsidRPr="00125193" w:rsidP="00125193">
            <w:pPr>
              <w:pStyle w:val="BodyText"/>
            </w:pPr>
            <w:r w:rsidRPr="00125193">
              <w:t xml:space="preserve">Evidence shall show an understanding of supervising and operating in a </w:t>
            </w:r>
            <w:r w:rsidRPr="00125193">
              <w:t>Gas Industry environment, indicated by the following:</w:t>
            </w:r>
          </w:p>
          <w:p w:rsidR="00000000" w:rsidRPr="00125193" w:rsidP="00125193">
            <w:pPr>
              <w:pStyle w:val="ListBullet"/>
            </w:pPr>
            <w:r w:rsidRPr="00125193">
              <w:t>understanding and application of enterprise applicable standard operating procedures</w:t>
            </w:r>
          </w:p>
          <w:p w:rsidR="00000000" w:rsidRPr="00125193" w:rsidP="00125193">
            <w:pPr>
              <w:pStyle w:val="ListBullet"/>
            </w:pPr>
            <w:r w:rsidRPr="00125193">
              <w:t>understanding and application of relevant enterprise permit to work systems</w:t>
            </w:r>
          </w:p>
          <w:p w:rsidR="00000000" w:rsidRPr="00125193" w:rsidP="00125193">
            <w:pPr>
              <w:pStyle w:val="ListBullet"/>
            </w:pPr>
            <w:r w:rsidRPr="00125193">
              <w:t xml:space="preserve">understanding and application of alarm and communication systems </w:t>
            </w:r>
          </w:p>
          <w:p w:rsidR="00000000" w:rsidRPr="00125193" w:rsidP="00125193">
            <w:pPr>
              <w:pStyle w:val="ListBullet"/>
            </w:pPr>
            <w:r w:rsidRPr="00125193">
              <w:t>understanding and application of relevant OHS and environmental legislative requirements including applicable emergency procedures</w:t>
            </w:r>
          </w:p>
          <w:p w:rsidR="00000000" w:rsidP="00125193">
            <w:pPr>
              <w:pStyle w:val="ListBullet"/>
              <w:rPr>
                <w:lang w:val="en-NZ"/>
              </w:rPr>
            </w:pPr>
            <w:r w:rsidRPr="00125193">
              <w:t>demonstrate an understanding and application of planning, p</w:t>
            </w:r>
            <w:r w:rsidRPr="00125193">
              <w:t>rioritisation and working autonomously in the Gas Industry.</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4.1.3</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Communicate effectively in the Gas Industry at a supervisory level</w:t>
            </w:r>
          </w:p>
          <w:p w:rsidR="00000000" w:rsidRPr="00125193" w:rsidP="00125193">
            <w:pPr>
              <w:pStyle w:val="BodyText"/>
            </w:pPr>
            <w:r w:rsidRPr="00125193">
              <w:t>Evidence shall show an understanding of communication techniques required in supervisory roles in the Gas Industry, ind</w:t>
            </w:r>
            <w:r w:rsidRPr="00125193">
              <w:t>icated by the following:</w:t>
            </w:r>
          </w:p>
          <w:p w:rsidR="00000000" w:rsidRPr="00125193" w:rsidP="00125193">
            <w:pPr>
              <w:pStyle w:val="ListBullet"/>
            </w:pPr>
            <w:r w:rsidRPr="00125193">
              <w:t>communicate effectively with a variety of Gas Industry stakeholders, using strategies for dealing with difficult situations. The communication  includes oral, written or electronic communications, : with various stakeholders inclu</w:t>
            </w:r>
            <w:r w:rsidRPr="00125193">
              <w:t>ding:</w:t>
            </w:r>
          </w:p>
          <w:p w:rsidR="00000000" w:rsidRPr="00125193" w:rsidP="00125193">
            <w:pPr>
              <w:pStyle w:val="ListBullet2"/>
            </w:pPr>
            <w:r w:rsidRPr="00125193">
              <w:t>workplace colleagues</w:t>
            </w:r>
          </w:p>
          <w:p w:rsidR="00000000" w:rsidRPr="00125193" w:rsidP="00125193">
            <w:pPr>
              <w:pStyle w:val="ListBullet2"/>
            </w:pPr>
            <w:r w:rsidRPr="00125193">
              <w:t>workplace managers</w:t>
            </w:r>
          </w:p>
          <w:p w:rsidR="00000000" w:rsidRPr="00125193" w:rsidP="00125193">
            <w:pPr>
              <w:pStyle w:val="ListBullet2"/>
            </w:pPr>
            <w:r w:rsidRPr="00125193">
              <w:t>relevant customers and suppliers</w:t>
            </w:r>
          </w:p>
          <w:p w:rsidR="00000000" w:rsidRPr="00125193" w:rsidP="00125193">
            <w:pPr>
              <w:pStyle w:val="ListBullet2"/>
            </w:pPr>
            <w:r w:rsidRPr="00125193">
              <w:t>regulatory bodies</w:t>
            </w:r>
          </w:p>
          <w:p w:rsidR="00000000" w:rsidRPr="00125193" w:rsidP="00125193">
            <w:pPr>
              <w:pStyle w:val="ListBullet2"/>
            </w:pPr>
            <w:r w:rsidRPr="00125193">
              <w:t>property/land owners (including traditional land owners) and tenants</w:t>
            </w:r>
          </w:p>
          <w:p w:rsidR="00000000" w:rsidP="00125193">
            <w:pPr>
              <w:pStyle w:val="ListBullet2"/>
              <w:rPr>
                <w:lang w:val="en-NZ"/>
              </w:rPr>
            </w:pPr>
            <w:r w:rsidRPr="00125193">
              <w:t>emergency response organisations</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4.1.4</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Understand Gas Industry products, processes and characteristics</w:t>
            </w:r>
          </w:p>
          <w:p w:rsidR="00000000" w:rsidRPr="00125193" w:rsidP="00125193">
            <w:pPr>
              <w:pStyle w:val="BodyText"/>
            </w:pPr>
            <w:r w:rsidRPr="00125193">
              <w:t>Evidence shall show a comprehensive understanding of Gas Industry products and characteristics, indicated by the following:</w:t>
            </w:r>
          </w:p>
          <w:p w:rsidR="00000000" w:rsidRPr="00125193" w:rsidP="00125193">
            <w:pPr>
              <w:pStyle w:val="ListBullet"/>
            </w:pPr>
            <w:r w:rsidRPr="00125193">
              <w:t>understand the Gas Industry products and the characteristics and to</w:t>
            </w:r>
            <w:r w:rsidRPr="00125193">
              <w:t>lerances of the product including:</w:t>
            </w:r>
          </w:p>
          <w:p w:rsidR="00000000" w:rsidRPr="00125193" w:rsidP="00125193">
            <w:pPr>
              <w:pStyle w:val="ListBullet2"/>
            </w:pPr>
            <w:r w:rsidRPr="00125193">
              <w:t>principles of applicable gas laws</w:t>
            </w:r>
          </w:p>
          <w:p w:rsidR="00000000" w:rsidRPr="00125193" w:rsidP="00125193">
            <w:pPr>
              <w:pStyle w:val="ListBullet3"/>
            </w:pPr>
            <w:r w:rsidRPr="00125193">
              <w:t>gas pressure</w:t>
            </w:r>
          </w:p>
          <w:p w:rsidR="00000000" w:rsidRPr="00125193" w:rsidP="00125193">
            <w:pPr>
              <w:pStyle w:val="ListBullet3"/>
            </w:pPr>
            <w:r w:rsidRPr="00125193">
              <w:t>gas temperature</w:t>
            </w:r>
          </w:p>
          <w:p w:rsidR="00000000" w:rsidRPr="00125193" w:rsidP="00125193">
            <w:pPr>
              <w:pStyle w:val="ListBullet3"/>
            </w:pPr>
            <w:r w:rsidRPr="00125193">
              <w:t>compressibility</w:t>
            </w:r>
          </w:p>
          <w:p w:rsidR="00000000" w:rsidRPr="00125193" w:rsidP="00125193">
            <w:pPr>
              <w:pStyle w:val="ListBullet2"/>
            </w:pPr>
            <w:r w:rsidRPr="00125193">
              <w:t xml:space="preserve">relative density – specific gravity </w:t>
            </w:r>
          </w:p>
          <w:p w:rsidR="00000000" w:rsidRPr="00125193" w:rsidP="00125193">
            <w:pPr>
              <w:pStyle w:val="ListBullet2"/>
            </w:pPr>
            <w:r w:rsidRPr="00125193">
              <w:t>hydrocarbon and water dew points</w:t>
            </w:r>
          </w:p>
          <w:p w:rsidR="00000000" w:rsidRPr="00125193" w:rsidP="00125193">
            <w:pPr>
              <w:pStyle w:val="ListBullet2"/>
            </w:pPr>
            <w:r w:rsidRPr="00125193">
              <w:t>components of applicable natural gases including LPG</w:t>
            </w:r>
          </w:p>
          <w:p w:rsidR="00000000" w:rsidRPr="00125193" w:rsidP="00125193">
            <w:pPr>
              <w:pStyle w:val="ListBullet2"/>
            </w:pPr>
            <w:r w:rsidRPr="00125193">
              <w:t>standard gas conditions</w:t>
            </w:r>
          </w:p>
          <w:p w:rsidR="00000000" w:rsidRPr="00125193" w:rsidP="00125193">
            <w:pPr>
              <w:pStyle w:val="ListBullet2"/>
            </w:pPr>
            <w:r w:rsidRPr="00125193">
              <w:t>combustion</w:t>
            </w:r>
          </w:p>
          <w:p w:rsidR="00000000" w:rsidRPr="00125193" w:rsidP="00125193">
            <w:pPr>
              <w:pStyle w:val="ListBullet2"/>
            </w:pPr>
            <w:r w:rsidRPr="00125193">
              <w:t>venting and purging principles</w:t>
            </w:r>
          </w:p>
          <w:p w:rsidR="00000000" w:rsidP="00125193">
            <w:pPr>
              <w:pStyle w:val="ListBullet2"/>
              <w:rPr>
                <w:lang w:val="en-NZ"/>
              </w:rPr>
            </w:pPr>
            <w:r w:rsidRPr="00125193">
              <w:t>Effects of temperature and pressure on infrastructure</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4.1.5</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Interpret Gas Industry drawings</w:t>
            </w:r>
          </w:p>
          <w:p w:rsidR="00000000" w:rsidRPr="00125193" w:rsidP="00125193">
            <w:pPr>
              <w:pStyle w:val="BodyText"/>
            </w:pPr>
            <w:r w:rsidRPr="00125193">
              <w:t>Evidence shall show an ability to interpret and understand Gas Industry technical drawings, indicated by the following:</w:t>
            </w:r>
          </w:p>
          <w:p w:rsidR="00000000" w:rsidRPr="00125193" w:rsidP="00125193">
            <w:pPr>
              <w:pStyle w:val="ListBullet"/>
            </w:pPr>
            <w:r w:rsidRPr="00125193">
              <w:t>understanding and interpreting relevant technical drawings including, but not limited to:</w:t>
            </w:r>
          </w:p>
          <w:p w:rsidR="00000000" w:rsidRPr="00125193" w:rsidP="00125193">
            <w:pPr>
              <w:pStyle w:val="ListBullet2"/>
            </w:pPr>
            <w:r w:rsidRPr="00125193">
              <w:t>Process and Instrumentation Diagrams (PID)</w:t>
            </w:r>
          </w:p>
          <w:p w:rsidR="00000000" w:rsidRPr="00125193" w:rsidP="00125193">
            <w:pPr>
              <w:pStyle w:val="ListBullet2"/>
            </w:pPr>
            <w:r w:rsidRPr="00125193">
              <w:t>Facility and pipeline construction and as-built drawings</w:t>
            </w:r>
          </w:p>
          <w:p w:rsidR="00000000" w:rsidRPr="00125193" w:rsidP="00125193">
            <w:pPr>
              <w:pStyle w:val="ListBullet2"/>
            </w:pPr>
            <w:r w:rsidRPr="00125193">
              <w:t>Geographical Information System (GIS) drawings and data</w:t>
            </w:r>
          </w:p>
          <w:p w:rsidR="00000000" w:rsidRPr="00125193" w:rsidP="00125193">
            <w:pPr>
              <w:pStyle w:val="ListBullet2"/>
            </w:pPr>
            <w:r w:rsidRPr="00125193">
              <w:t>Electrical drawings</w:t>
            </w:r>
          </w:p>
          <w:p w:rsidR="00000000" w:rsidRPr="00125193" w:rsidP="00125193">
            <w:pPr>
              <w:pStyle w:val="ListBullet2"/>
            </w:pPr>
            <w:r w:rsidRPr="00125193">
              <w:t>Survey maps</w:t>
            </w:r>
          </w:p>
          <w:p w:rsidR="00000000" w:rsidP="00125193">
            <w:pPr>
              <w:pStyle w:val="ListBullet2"/>
              <w:rPr>
                <w:lang w:val="en-NZ"/>
              </w:rPr>
            </w:pPr>
            <w:r w:rsidRPr="00125193">
              <w:t xml:space="preserve">Pipeline route maps and alignment sheets </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4.1.6</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 xml:space="preserve">Understand OHS and First Aid requirements for Gas Industry </w:t>
            </w:r>
            <w:r w:rsidRPr="00125193">
              <w:t>supervisors</w:t>
            </w:r>
          </w:p>
          <w:p w:rsidR="00000000" w:rsidRPr="00125193" w:rsidP="00125193">
            <w:pPr>
              <w:pStyle w:val="BodyText"/>
            </w:pPr>
            <w:r w:rsidRPr="00125193">
              <w:t>Evidence shall show an understanding of OHS and First Aid requirements for gas industry supervisors and autonomous working staff, indicated by the following:</w:t>
            </w:r>
          </w:p>
          <w:p w:rsidR="00000000" w:rsidRPr="00125193" w:rsidP="00125193">
            <w:pPr>
              <w:pStyle w:val="ListBullet"/>
            </w:pPr>
            <w:r w:rsidRPr="00125193">
              <w:t>understanding of applicable enterprise Occupational Health and Safety systems and pro</w:t>
            </w:r>
            <w:r w:rsidRPr="00125193">
              <w:t>cedures</w:t>
            </w:r>
          </w:p>
          <w:p w:rsidR="00000000" w:rsidP="00125193">
            <w:pPr>
              <w:pStyle w:val="ListBullet"/>
              <w:rPr>
                <w:lang w:val="en-NZ"/>
              </w:rPr>
            </w:pPr>
            <w:r w:rsidRPr="00125193">
              <w:t>understanding of requirements and reasons for providing First Aid equipment and training for employees in the gas industry</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4.1.7</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Create Gas Industry reports and documentation</w:t>
            </w:r>
          </w:p>
          <w:p w:rsidR="00000000" w:rsidRPr="00125193" w:rsidP="00125193">
            <w:pPr>
              <w:pStyle w:val="BodyText"/>
            </w:pPr>
            <w:r w:rsidRPr="00125193">
              <w:t>Evidence shall show an understanding and application of completing and interpreting enterprise-specific supervisory level Gas Industry reports including ,but not limited to:</w:t>
            </w:r>
          </w:p>
          <w:p w:rsidR="00000000" w:rsidRPr="00125193" w:rsidP="00125193">
            <w:pPr>
              <w:pStyle w:val="ListBullet"/>
            </w:pPr>
            <w:r w:rsidRPr="00125193">
              <w:t>periodic operational reports</w:t>
            </w:r>
          </w:p>
          <w:p w:rsidR="00000000" w:rsidRPr="00125193" w:rsidP="00125193">
            <w:pPr>
              <w:pStyle w:val="ListBullet"/>
            </w:pPr>
            <w:r w:rsidRPr="00125193">
              <w:t>budget reports and summaries</w:t>
            </w:r>
          </w:p>
          <w:p w:rsidR="00000000" w:rsidP="00125193">
            <w:pPr>
              <w:pStyle w:val="ListBullet"/>
              <w:rPr>
                <w:lang w:val="en-NZ"/>
              </w:rPr>
            </w:pPr>
            <w:r w:rsidRPr="00125193">
              <w:t>regulatory reporting re</w:t>
            </w:r>
            <w:r w:rsidRPr="00125193">
              <w:t>quirements</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4.1.8</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Use a personal computer</w:t>
            </w:r>
          </w:p>
          <w:p w:rsidR="00000000" w:rsidRPr="00125193" w:rsidP="00125193">
            <w:pPr>
              <w:pStyle w:val="BodyText"/>
            </w:pPr>
            <w:r w:rsidRPr="00125193">
              <w:t>Evidence shall demonstrate requirements to use personal computer and undertake fundamental tasks, indicated by the following:</w:t>
            </w:r>
          </w:p>
          <w:p w:rsidR="00000000" w:rsidRPr="00125193" w:rsidP="00125193">
            <w:pPr>
              <w:pStyle w:val="ListBullet"/>
            </w:pPr>
            <w:r w:rsidRPr="00125193">
              <w:t xml:space="preserve">send, answer and manage emails </w:t>
            </w:r>
          </w:p>
          <w:p w:rsidR="00000000" w:rsidRPr="00125193" w:rsidP="00125193">
            <w:pPr>
              <w:pStyle w:val="ListBullet"/>
            </w:pPr>
            <w:r w:rsidRPr="00125193">
              <w:t>access the Internet for research purposes</w:t>
            </w:r>
          </w:p>
          <w:p w:rsidR="00000000" w:rsidRPr="00125193" w:rsidP="00125193">
            <w:pPr>
              <w:pStyle w:val="ListBullet"/>
            </w:pPr>
            <w:r w:rsidRPr="00125193">
              <w:t>write documents using a word processing program</w:t>
            </w:r>
          </w:p>
          <w:p w:rsidR="00000000" w:rsidRPr="00125193" w:rsidP="00125193">
            <w:pPr>
              <w:pStyle w:val="ListBullet"/>
            </w:pPr>
            <w:r w:rsidRPr="00125193">
              <w:t>develop a basic spreadsheet using a spreadsheet program</w:t>
            </w:r>
          </w:p>
          <w:p w:rsidR="00000000" w:rsidP="00125193">
            <w:pPr>
              <w:pStyle w:val="ListBullet"/>
              <w:rPr>
                <w:lang w:val="en-NZ"/>
              </w:rPr>
            </w:pPr>
            <w:r w:rsidRPr="00125193">
              <w:t>apply formatting including cutting and pasting across a variety of computer applications (eg from excel to word)</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4.1.10</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Understanding security breac</w:t>
            </w:r>
            <w:r w:rsidRPr="00125193">
              <w:t>h procedures</w:t>
            </w:r>
          </w:p>
          <w:p w:rsidR="00000000" w:rsidRPr="00125193" w:rsidP="00125193">
            <w:pPr>
              <w:pStyle w:val="BodyText"/>
            </w:pPr>
            <w:r w:rsidRPr="00125193">
              <w:t>Evidence shall show an understanding required to identify security breaches and the required action in dealing with such breaches, indicated by the following as applicable:</w:t>
            </w:r>
          </w:p>
          <w:p w:rsidR="00000000" w:rsidRPr="00125193" w:rsidP="00125193">
            <w:pPr>
              <w:pStyle w:val="ListBullet"/>
            </w:pPr>
            <w:r w:rsidRPr="00125193">
              <w:t>identification of different types of security incidents including but</w:t>
            </w:r>
            <w:r w:rsidRPr="00125193">
              <w:t xml:space="preserve"> not limited to:</w:t>
            </w:r>
          </w:p>
          <w:p w:rsidR="00000000" w:rsidRPr="00125193" w:rsidP="00125193">
            <w:pPr>
              <w:pStyle w:val="ListBullet2"/>
            </w:pPr>
            <w:r w:rsidRPr="00125193">
              <w:t>physical security breaches at gas infrastructure</w:t>
            </w:r>
          </w:p>
          <w:p w:rsidR="00000000" w:rsidRPr="00125193" w:rsidP="00125193">
            <w:pPr>
              <w:pStyle w:val="ListBullet2"/>
            </w:pPr>
            <w:r w:rsidRPr="00125193">
              <w:t>threat assessment and management</w:t>
            </w:r>
          </w:p>
          <w:p w:rsidR="00000000" w:rsidRPr="00125193" w:rsidP="00125193">
            <w:pPr>
              <w:pStyle w:val="ListBullet2"/>
            </w:pPr>
            <w:r w:rsidRPr="00125193">
              <w:t>confidential information security</w:t>
            </w:r>
          </w:p>
          <w:p w:rsidR="00000000" w:rsidRPr="00125193" w:rsidP="00125193">
            <w:pPr>
              <w:pStyle w:val="ListBullet"/>
            </w:pPr>
            <w:r w:rsidRPr="00125193">
              <w:t>communication with applicable emergency service and regulatory organisations</w:t>
            </w:r>
          </w:p>
          <w:p w:rsidR="00000000" w:rsidP="00125193">
            <w:pPr>
              <w:pStyle w:val="ListBullet"/>
              <w:rPr>
                <w:lang w:val="en-NZ"/>
              </w:rPr>
            </w:pPr>
            <w:r w:rsidRPr="00125193">
              <w:t>compliance with applicable enterprise security policies and procedures</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4.1.15</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Drive Gas Industry vehicles</w:t>
            </w:r>
          </w:p>
          <w:p w:rsidR="00000000" w:rsidRPr="00125193" w:rsidP="00125193">
            <w:pPr>
              <w:pStyle w:val="BodyText"/>
            </w:pPr>
            <w:r w:rsidRPr="00125193">
              <w:t>Evidence shall show an understanding of requirements and capability of driving applicable Gas Industry vehicles including but not limited to:</w:t>
            </w:r>
          </w:p>
          <w:p w:rsidR="00000000" w:rsidRPr="00125193" w:rsidP="00125193">
            <w:pPr>
              <w:pStyle w:val="ListBullet"/>
            </w:pPr>
            <w:r w:rsidRPr="00125193">
              <w:t>Driving vehicles appropriate to the organisation. Vehicles may include any of the following (dependent on the needs of the organisation):</w:t>
            </w:r>
          </w:p>
          <w:p w:rsidR="00000000" w:rsidRPr="00125193" w:rsidP="00125193">
            <w:pPr>
              <w:pStyle w:val="ListBullet2"/>
            </w:pPr>
            <w:r w:rsidRPr="00125193">
              <w:t xml:space="preserve">sedan </w:t>
            </w:r>
          </w:p>
          <w:p w:rsidR="00000000" w:rsidRPr="00125193" w:rsidP="00125193">
            <w:pPr>
              <w:pStyle w:val="ListBullet2"/>
            </w:pPr>
            <w:r w:rsidRPr="00125193">
              <w:t>four wheel drive vehicles</w:t>
            </w:r>
          </w:p>
          <w:p w:rsidR="00000000" w:rsidRPr="00125193" w:rsidP="00125193">
            <w:pPr>
              <w:pStyle w:val="ListBullet2"/>
            </w:pPr>
            <w:r w:rsidRPr="00125193">
              <w:t xml:space="preserve">trucks </w:t>
            </w:r>
          </w:p>
          <w:p w:rsidR="00000000" w:rsidRPr="00125193" w:rsidP="00125193">
            <w:pPr>
              <w:pStyle w:val="ListBullet2"/>
            </w:pPr>
            <w:r w:rsidRPr="00125193">
              <w:t>buses</w:t>
            </w:r>
          </w:p>
          <w:p w:rsidR="00000000" w:rsidRPr="00125193" w:rsidP="00125193">
            <w:pPr>
              <w:pStyle w:val="ListBullet2"/>
            </w:pPr>
            <w:r w:rsidRPr="00125193">
              <w:t>excavation and construction equipment such as backhoes and excavators.</w:t>
            </w:r>
          </w:p>
          <w:p w:rsidR="00000000" w:rsidRPr="00125193" w:rsidP="00125193">
            <w:pPr>
              <w:pStyle w:val="BodyText"/>
            </w:pPr>
          </w:p>
          <w:p w:rsidR="00000000" w:rsidP="00125193">
            <w:pPr>
              <w:pStyle w:val="BodyText"/>
              <w:rPr>
                <w:lang w:val="en-NZ"/>
              </w:rPr>
            </w:pPr>
            <w:r w:rsidRPr="00125193">
              <w:t>Note: All vehicles included in this clause have licence or ticket requirements. The licence or ticket will need to be issued to the learner for completion of relevant sections of the EKAS Clause.</w:t>
            </w:r>
          </w:p>
        </w:tc>
      </w:tr>
      <w:tr w:rsidTr="003A161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 4.1.20</w:t>
            </w:r>
          </w:p>
        </w:tc>
        <w:tc>
          <w:tcPr>
            <w:tcW w:w="603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Understand and implement transmission pipeline environmental protection processes</w:t>
            </w:r>
          </w:p>
          <w:p w:rsidR="00000000" w:rsidRPr="00125193" w:rsidP="00125193">
            <w:pPr>
              <w:pStyle w:val="BodyText"/>
            </w:pPr>
            <w:r w:rsidRPr="00125193">
              <w:t>Evidence shall show an understanding on environmental impacts of a gas transmission pipeline, indicated by the following:</w:t>
            </w:r>
          </w:p>
          <w:p w:rsidR="00000000" w:rsidRPr="00125193" w:rsidP="00125193">
            <w:pPr>
              <w:pStyle w:val="ListBullet"/>
            </w:pPr>
            <w:r w:rsidRPr="00125193">
              <w:t>understanding of relevant environmental legislation</w:t>
            </w:r>
            <w:r w:rsidRPr="00125193">
              <w:t xml:space="preserve"> and environmental regulations</w:t>
            </w:r>
          </w:p>
          <w:p w:rsidR="00000000" w:rsidRPr="00125193" w:rsidP="00125193">
            <w:pPr>
              <w:pStyle w:val="ListBullet"/>
            </w:pPr>
            <w:r w:rsidRPr="00125193">
              <w:t>understanding of the effects a pipeline can have on flora and fauna</w:t>
            </w:r>
          </w:p>
          <w:p w:rsidR="00000000" w:rsidRPr="00125193" w:rsidP="00125193">
            <w:pPr>
              <w:pStyle w:val="ListBullet"/>
            </w:pPr>
            <w:r w:rsidRPr="00125193">
              <w:t>understanding of the effects a pipeline can have on agriculture</w:t>
            </w:r>
          </w:p>
          <w:p w:rsidR="00000000" w:rsidRPr="00125193" w:rsidP="00125193">
            <w:pPr>
              <w:pStyle w:val="ListBullet"/>
            </w:pPr>
            <w:r w:rsidRPr="00125193">
              <w:t>understanding of the effects a pipeline can have on erosion to soil.</w:t>
            </w:r>
          </w:p>
          <w:p w:rsidR="00000000" w:rsidRPr="00125193" w:rsidP="00125193">
            <w:pPr>
              <w:pStyle w:val="ListBullet"/>
            </w:pPr>
            <w:r w:rsidRPr="00125193">
              <w:t>Understanding of the eff</w:t>
            </w:r>
            <w:r w:rsidRPr="00125193">
              <w:t>ects a pipeline can have on air quality and waterways</w:t>
            </w:r>
          </w:p>
          <w:p w:rsidR="00000000" w:rsidRPr="00125193" w:rsidP="00125193">
            <w:pPr>
              <w:pStyle w:val="ListBullet"/>
            </w:pPr>
            <w:r w:rsidRPr="00125193">
              <w:t>application of relevant policies and procedures</w:t>
            </w:r>
          </w:p>
        </w:tc>
      </w:tr>
    </w:tbl>
    <w:p w:rsidR="00000000" w:rsidRPr="00125193" w:rsidP="00125193">
      <w:pPr>
        <w:pStyle w:val="BodyText"/>
      </w:pPr>
    </w:p>
    <w:p w:rsidR="00000000" w:rsidRPr="00125193" w:rsidP="00125193">
      <w:pPr>
        <w:pStyle w:val="AllowPageBreak"/>
      </w:pPr>
    </w:p>
    <w:p w:rsidR="00000000" w:rsidRPr="00125193" w:rsidP="00125193">
      <w:pPr>
        <w:pStyle w:val="Heading1"/>
      </w:pPr>
      <w:bookmarkStart w:id="10" w:name="O_402416"/>
      <w:bookmarkEnd w:id="10"/>
      <w:r w:rsidRPr="00125193">
        <w:t>Evidence Guide</w:t>
      </w:r>
    </w:p>
    <w:tbl>
      <w:tblPr>
        <w:tblW w:w="0" w:type="auto"/>
        <w:tblLayout w:type="fixed"/>
        <w:tblCellMar>
          <w:left w:w="62" w:type="dxa"/>
          <w:right w:w="62" w:type="dxa"/>
        </w:tblCellMar>
        <w:tblLook w:val="0000"/>
      </w:tblPr>
      <w:tblGrid>
        <w:gridCol w:w="8460"/>
      </w:tblGrid>
      <w:tr w:rsidTr="003A16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EVIDENCE GUIDE</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9)</w:t>
            </w:r>
            <w:r w:rsidRPr="00125193">
              <w:t xml:space="preserve"> The Evidence Guide forms an integral part of this Competency Standard Unit and shall be used </w:t>
            </w:r>
            <w:r w:rsidRPr="00125193">
              <w:t>in conjunction with all components parts of this unit and performed in accordance with the Assessment Guidelines of this Training Package.</w:t>
            </w:r>
          </w:p>
        </w:tc>
      </w:tr>
    </w:tbl>
    <w:p w:rsidR="00000000" w:rsidRPr="00125193" w:rsidP="00125193">
      <w:pPr>
        <w:pStyle w:val="BodyText"/>
      </w:pPr>
    </w:p>
    <w:tbl>
      <w:tblPr>
        <w:tblW w:w="0" w:type="auto"/>
        <w:tblLayout w:type="fixed"/>
        <w:tblCellMar>
          <w:left w:w="62" w:type="dxa"/>
          <w:right w:w="62" w:type="dxa"/>
        </w:tblCellMar>
        <w:tblLook w:val="0000"/>
      </w:tblPr>
      <w:tblGrid>
        <w:gridCol w:w="1890"/>
        <w:gridCol w:w="6570"/>
      </w:tblGrid>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9.1)</w:t>
            </w:r>
          </w:p>
        </w:tc>
      </w:tr>
      <w:tr w:rsidTr="003A161C">
        <w:tblPrEx>
          <w:tblW w:w="0" w:type="auto"/>
          <w:tblLayout w:type="fixed"/>
          <w:tblCellMar>
            <w:left w:w="62" w:type="dxa"/>
            <w:right w:w="62" w:type="dxa"/>
          </w:tblCellMar>
          <w:tblLook w:val="0000"/>
        </w:tblPrEx>
        <w:trPr>
          <w:trHeight w:val="253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Longitudinal competency develop</w:t>
            </w:r>
            <w:r w:rsidRPr="00125193">
              <w:t>ment approaches to assessment, such as Profiling, require data to be reliably gathered in a form that can be consistently interpreted over time. This approach is best utilised in Apprenticeship programs and reduces assessment intervention. It is the Indust</w:t>
            </w:r>
            <w:r w:rsidRPr="00125193">
              <w:t>ry’s preferred model for apprenticeships. However, all summative (or final) assessment is to include the application of the competency in the normal work environment or, at a minimum, its application in a realistically simulated work environment. In some c</w:t>
            </w:r>
            <w:r w:rsidRPr="00125193">
              <w:t>ircumstances, assessment in part or full can occur outside the workplace. However, it must be in accord with Industry regulatory policy in this regard.</w:t>
            </w:r>
          </w:p>
        </w:tc>
      </w:tr>
      <w:tr w:rsidTr="003A161C">
        <w:tblPrEx>
          <w:tblW w:w="0" w:type="auto"/>
          <w:tblLayout w:type="fixed"/>
          <w:tblCellMar>
            <w:left w:w="62" w:type="dxa"/>
            <w:right w:w="62" w:type="dxa"/>
          </w:tblCellMar>
          <w:tblLook w:val="0000"/>
        </w:tblPrEx>
        <w:trPr>
          <w:trHeight w:val="121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Methods chosen for a particular assessment will be influenced by various factors. These include the ex</w:t>
            </w:r>
            <w:r w:rsidRPr="00125193">
              <w:t>tent of the assessment, the most effective locations for the assessment activities to take place, access to physical resources, additional safety measures that may be required and the critical nature of the competencies being assessed.</w:t>
            </w:r>
          </w:p>
        </w:tc>
      </w:tr>
      <w:tr w:rsidTr="003A161C">
        <w:tblPrEx>
          <w:tblW w:w="0" w:type="auto"/>
          <w:tblLayout w:type="fixed"/>
          <w:tblCellMar>
            <w:left w:w="62" w:type="dxa"/>
            <w:right w:w="62" w:type="dxa"/>
          </w:tblCellMar>
          <w:tblLook w:val="0000"/>
        </w:tblPrEx>
        <w:trPr>
          <w:trHeight w:val="102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The critical safet</w:t>
            </w:r>
            <w:r w:rsidRPr="00125193">
              <w:t>y nature of working with electricity, electrical equipment, gas or any other hazardous substance/material carries risk in deeming a person competent. Hence, sources of evidence need to be ‘rich’ in nature so as to minimise error in judgment.</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Activities a</w:t>
            </w:r>
            <w:r w:rsidRPr="00125193">
              <w:t xml:space="preserve">ssociated with normal every day work have a bearing on the decision as to how much and how detailed the data gathered will contribute to its ‘richness’. Some skills are more critical to safety and operational requirements while the same skills may be more </w:t>
            </w:r>
            <w:r w:rsidRPr="00125193">
              <w:t>or less frequently practiced. These points are raised for assessors to consider when choosing an assessment method and developing assessment instruments. Sample instruments are included for Assessors in the Assessment Guidelines of this Training Package.</w:t>
            </w:r>
          </w:p>
        </w:tc>
      </w:tr>
    </w:tbl>
    <w:p w:rsidR="00000000" w:rsidRPr="00125193" w:rsidP="00125193">
      <w:pPr>
        <w:pStyle w:val="BodyText"/>
      </w:pPr>
    </w:p>
    <w:tbl>
      <w:tblPr>
        <w:tblW w:w="0" w:type="auto"/>
        <w:tblLayout w:type="fixed"/>
        <w:tblCellMar>
          <w:left w:w="62" w:type="dxa"/>
          <w:right w:w="62" w:type="dxa"/>
        </w:tblCellMar>
        <w:tblLook w:val="0000"/>
      </w:tblPr>
      <w:tblGrid>
        <w:gridCol w:w="1890"/>
        <w:gridCol w:w="6570"/>
      </w:tblGrid>
      <w:tr w:rsidTr="003A161C">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9.2)</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Before the critical aspects of evidence are considered all prerequisites shall be met.</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ListBullet"/>
              <w:rPr>
                <w:lang w:val="en-NZ"/>
              </w:rPr>
            </w:pPr>
            <w:r w:rsidRPr="00125193">
              <w:t>A representative body of work performance demonstrated within the timeframes typically expected of the discipline, work function and industrial environment. In particular this shall incorporate evidence that shows a candidate is able to:</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ListBullet2"/>
              <w:rPr>
                <w:lang w:val="en-NZ"/>
              </w:rPr>
            </w:pPr>
            <w:r w:rsidRPr="00125193">
              <w:t>Implement Occupational Health and Safety workplace procedures and practices including the use of risk control measures as specified in the Performance Criteria and range</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ListBullet2"/>
              <w:rPr>
                <w:lang w:val="en-NZ"/>
              </w:rPr>
            </w:pPr>
            <w:r w:rsidRPr="00125193">
              <w:t>Apply sustainable energy principles and practices as specified in the Performance C</w:t>
            </w:r>
            <w:r w:rsidRPr="00125193">
              <w:t>riteria and range</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ListBullet2"/>
              <w:rPr>
                <w:lang w:val="en-NZ"/>
              </w:rPr>
            </w:pPr>
            <w:r w:rsidRPr="00125193">
              <w:t>Demonstrate an understanding of the essential knowledge and associated skills as described in this unit to such an extent that the learner’</w:t>
            </w:r>
            <w:r w:rsidRPr="00125193">
              <w:t>s performance outcome is reported in accordance with the preferred approach; namely a percentile graded result, where required by the regulated environment</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ListBullet2"/>
              <w:rPr>
                <w:lang w:val="en-NZ"/>
              </w:rPr>
            </w:pPr>
            <w:r w:rsidRPr="00125193">
              <w:t>Demonstrate an appropriate level of employability skills</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ListBullet2"/>
              <w:rPr>
                <w:lang w:val="en-NZ"/>
              </w:rPr>
            </w:pPr>
            <w:r w:rsidRPr="00125193">
              <w:t>Conduct work observing the relevant a</w:t>
            </w:r>
            <w:r w:rsidRPr="00125193">
              <w:t>nti-discrimination legislation, regulations, polices and workplace procedures</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125193" w:rsidP="00125193">
            <w:pPr>
              <w:pStyle w:val="ListBullet2"/>
            </w:pPr>
            <w:r w:rsidRPr="00125193">
              <w:t>Demonstrate performance across a representative range of contexts from the prescribed items below.</w:t>
            </w:r>
          </w:p>
        </w:tc>
      </w:tr>
    </w:tbl>
    <w:p w:rsidR="00000000" w:rsidRPr="00125193" w:rsidP="00125193">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3A161C">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25193">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193">
            <w:pPr>
              <w:pStyle w:val="BodyText"/>
              <w:rPr>
                <w:lang w:val="en-NZ"/>
              </w:rPr>
            </w:pPr>
            <w:r w:rsidRPr="00125193">
              <w:rPr>
                <w:rStyle w:val="SpecialBold"/>
              </w:rPr>
              <w:t>Range of tools/equipment/procedures/workplace</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2519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193" w:rsidP="00125193">
            <w:pPr>
              <w:pStyle w:val="BodyText"/>
            </w:pPr>
            <w:r w:rsidRPr="00125193">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193" w:rsidP="00125193">
            <w:pPr>
              <w:pStyle w:val="BodyText"/>
            </w:pPr>
            <w:r w:rsidRPr="0012519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193">
            <w:pPr>
              <w:pStyle w:val="BodyText"/>
              <w:rPr>
                <w:lang w:val="en-NZ"/>
              </w:rPr>
            </w:pPr>
            <w:r w:rsidRPr="00125193">
              <w:rPr>
                <w:rStyle w:val="SpecialBold"/>
              </w:rPr>
              <w:t>Item List</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193">
            <w:pPr>
              <w:pStyle w:val="BodyText"/>
              <w:rPr>
                <w:lang w:val="en-NZ"/>
              </w:rPr>
            </w:pPr>
            <w:r w:rsidRPr="00125193">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193">
            <w:pPr>
              <w:pStyle w:val="BodyText"/>
              <w:rPr>
                <w:lang w:val="en-NZ"/>
              </w:rPr>
            </w:pPr>
            <w:r w:rsidRPr="0012519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193" w:rsidP="00125193">
            <w:pPr>
              <w:pStyle w:val="BodyText"/>
            </w:pPr>
            <w:r w:rsidRPr="00125193">
              <w:t>Identify threats to the integrity of transmission pipelines</w:t>
            </w:r>
          </w:p>
          <w:p w:rsidR="00000000" w:rsidRPr="00125193" w:rsidP="00125193">
            <w:pPr>
              <w:pStyle w:val="BodyText"/>
            </w:pPr>
            <w:r w:rsidRPr="00125193">
              <w:t>Evaluate threats to the integrity of transmission pipelines</w:t>
            </w:r>
          </w:p>
          <w:p w:rsidR="00000000" w:rsidRPr="00125193" w:rsidP="00125193">
            <w:pPr>
              <w:pStyle w:val="BodyText"/>
            </w:pPr>
            <w:r w:rsidRPr="00125193">
              <w:t xml:space="preserve">Control of the escalation of threats to the public, environment, transmission pipelines and facilities </w:t>
            </w:r>
          </w:p>
          <w:p w:rsidR="00000000" w:rsidRPr="00125193" w:rsidP="00125193">
            <w:pPr>
              <w:pStyle w:val="BodyText"/>
            </w:pPr>
            <w:r w:rsidRPr="00125193">
              <w:t>Working knowledge of relevant sections of latest edition of AS2885.3 Pipelines-Gas and Liquid Petroleum Gas Operations and Maintenance: Sections 3, 4.3,</w:t>
            </w:r>
            <w:r w:rsidRPr="00125193">
              <w:t xml:space="preserve"> 5.3.6.1, 5.4.1, 5.4.3, 5.5 section 6 threat mitigation</w:t>
            </w:r>
          </w:p>
          <w:p w:rsidR="00000000" w:rsidRPr="00125193" w:rsidP="00125193">
            <w:pPr>
              <w:pStyle w:val="BodyText"/>
            </w:pPr>
            <w:r w:rsidRPr="00125193">
              <w:t>Demonstration of the practical use of communication equipment</w:t>
            </w:r>
          </w:p>
          <w:p w:rsidR="00000000" w:rsidRPr="00125193" w:rsidP="00125193">
            <w:pPr>
              <w:pStyle w:val="BodyText"/>
            </w:pPr>
            <w:r w:rsidRPr="00125193">
              <w:t>Identifying faults</w:t>
            </w:r>
          </w:p>
          <w:p w:rsidR="00000000" w:rsidP="00125193">
            <w:pPr>
              <w:pStyle w:val="BodyText"/>
              <w:rPr>
                <w:lang w:val="en-NZ"/>
              </w:rPr>
            </w:pPr>
            <w:r w:rsidRPr="00125193">
              <w:t>Recording information</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193">
            <w:pPr>
              <w:pStyle w:val="BodyText"/>
              <w:rPr>
                <w:lang w:val="en-NZ"/>
              </w:rPr>
            </w:pPr>
            <w:r w:rsidRPr="00125193">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193">
            <w:pPr>
              <w:pStyle w:val="BodyText"/>
              <w:rPr>
                <w:lang w:val="en-NZ"/>
              </w:rPr>
            </w:pPr>
            <w:r w:rsidRPr="0012519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193" w:rsidP="00125193">
            <w:pPr>
              <w:pStyle w:val="BodyText"/>
            </w:pPr>
            <w:r w:rsidRPr="00125193">
              <w:t>Interpret technical drawings and symbols</w:t>
            </w:r>
          </w:p>
          <w:p w:rsidR="00000000" w:rsidRPr="00125193" w:rsidP="00125193">
            <w:pPr>
              <w:pStyle w:val="BodyText"/>
            </w:pPr>
            <w:r w:rsidRPr="00125193">
              <w:t>Work using relevant OHS and legislation, regula</w:t>
            </w:r>
            <w:r w:rsidRPr="00125193">
              <w:t>tions, codes of practice, policies, procedures</w:t>
            </w:r>
          </w:p>
          <w:p w:rsidR="00000000" w:rsidRPr="00125193" w:rsidP="00125193">
            <w:pPr>
              <w:pStyle w:val="BodyText"/>
            </w:pPr>
            <w:r w:rsidRPr="00125193">
              <w:br/>
              <w:t>Maintain a safe and clean workplace</w:t>
            </w:r>
          </w:p>
          <w:p w:rsidR="00000000" w:rsidRPr="00125193" w:rsidP="00125193">
            <w:pPr>
              <w:pStyle w:val="BodyText"/>
            </w:pPr>
            <w:r w:rsidRPr="00125193">
              <w:t>Work safely with hazardous materials and equipment</w:t>
            </w:r>
          </w:p>
          <w:p w:rsidR="00000000" w:rsidRPr="00125193" w:rsidP="00125193">
            <w:pPr>
              <w:pStyle w:val="BodyText"/>
            </w:pPr>
            <w:r w:rsidRPr="00125193">
              <w:t>Apply safe manual handling techniques</w:t>
            </w:r>
          </w:p>
          <w:p w:rsidR="00000000" w:rsidRPr="00125193" w:rsidP="00125193">
            <w:pPr>
              <w:pStyle w:val="BodyText"/>
            </w:pPr>
            <w:r w:rsidRPr="00125193">
              <w:t>Communicate effectively in the workplace</w:t>
            </w:r>
          </w:p>
          <w:p w:rsidR="00000000" w:rsidRPr="00125193" w:rsidP="00125193">
            <w:pPr>
              <w:pStyle w:val="BodyText"/>
            </w:pPr>
            <w:r w:rsidRPr="00125193">
              <w:t>Practical knowledge of the properties of product being transported</w:t>
            </w:r>
          </w:p>
          <w:p w:rsidR="00000000" w:rsidRPr="00125193" w:rsidP="00125193">
            <w:pPr>
              <w:pStyle w:val="BodyText"/>
            </w:pPr>
            <w:r w:rsidRPr="00125193">
              <w:t>Apply basic planning skills</w:t>
            </w:r>
          </w:p>
          <w:p w:rsidR="00000000" w:rsidP="00125193">
            <w:pPr>
              <w:pStyle w:val="BodyText"/>
              <w:rPr>
                <w:lang w:val="en-NZ"/>
              </w:rPr>
            </w:pPr>
            <w:r w:rsidRPr="00125193">
              <w:t>First Aid certificate level 1</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193">
            <w:pPr>
              <w:pStyle w:val="BodyText"/>
              <w:rPr>
                <w:lang w:val="en-NZ"/>
              </w:rPr>
            </w:pPr>
            <w:r w:rsidRPr="00125193">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193">
            <w:pPr>
              <w:pStyle w:val="BodyText"/>
              <w:rPr>
                <w:lang w:val="en-NZ"/>
              </w:rPr>
            </w:pPr>
            <w:r w:rsidRPr="00125193">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193" w:rsidP="00125193">
            <w:pPr>
              <w:pStyle w:val="BodyText"/>
            </w:pPr>
            <w:r w:rsidRPr="00125193">
              <w:t>Deal with an unplanned event by drawing on essential knowledge and associated skills to provide appropri</w:t>
            </w:r>
            <w:r w:rsidRPr="00125193">
              <w:t xml:space="preserve">ate solutions incorporated in the holistic assessment with the above listed items </w:t>
            </w:r>
          </w:p>
        </w:tc>
      </w:tr>
    </w:tbl>
    <w:p w:rsidR="00000000" w:rsidRPr="00125193" w:rsidP="00125193">
      <w:pPr>
        <w:pStyle w:val="BodyText"/>
      </w:pPr>
    </w:p>
    <w:tbl>
      <w:tblPr>
        <w:tblW w:w="0" w:type="auto"/>
        <w:tblLayout w:type="fixed"/>
        <w:tblCellMar>
          <w:left w:w="62" w:type="dxa"/>
          <w:right w:w="62" w:type="dxa"/>
        </w:tblCellMar>
        <w:tblLook w:val="0000"/>
      </w:tblPr>
      <w:tblGrid>
        <w:gridCol w:w="1890"/>
        <w:gridCol w:w="6570"/>
      </w:tblGrid>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9.3)</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This unit contains Employability Skills</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This unit should be assessed as it relates to normal work practice using procedures, information and resources typical of a workplace. This should include:</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ListBullet"/>
              <w:rPr>
                <w:lang w:val="en-NZ"/>
              </w:rPr>
            </w:pPr>
            <w:r w:rsidRPr="00125193">
              <w:t>OHS policy and work procedures and instructions.</w:t>
            </w:r>
          </w:p>
        </w:tc>
      </w:tr>
      <w:tr w:rsidTr="003A161C">
        <w:tblPrEx>
          <w:tblW w:w="0" w:type="auto"/>
          <w:tblLayout w:type="fixed"/>
          <w:tblCellMar>
            <w:left w:w="62" w:type="dxa"/>
            <w:right w:w="62" w:type="dxa"/>
          </w:tblCellMar>
          <w:tblLook w:val="0000"/>
        </w:tblPrEx>
        <w:trPr>
          <w:trHeight w:val="521"/>
        </w:trPr>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ListBullet"/>
              <w:rPr>
                <w:lang w:val="en-NZ"/>
              </w:rPr>
            </w:pPr>
            <w:r w:rsidRPr="00125193">
              <w:t>Suitable work environment, facilities, equipm</w:t>
            </w:r>
            <w:r w:rsidRPr="00125193">
              <w:t>ent and materials to undertake actual work as prescribed by this Competency Standard Unit.</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ListBullet"/>
              <w:rPr>
                <w:lang w:val="en-NZ"/>
              </w:rPr>
            </w:pPr>
            <w:r w:rsidRPr="00125193">
              <w:t>Appropriate environmental regulation and work practices.</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ListBullet"/>
              <w:rPr>
                <w:lang w:val="en-NZ"/>
              </w:rPr>
            </w:pPr>
            <w:r w:rsidRPr="00125193">
              <w:t>Appropriate organisational requirements.</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ListBullet"/>
              <w:rPr>
                <w:lang w:val="en-NZ"/>
              </w:rPr>
            </w:pPr>
            <w:r w:rsidRPr="00125193">
              <w:t>Appropriate work environment, equipment and tools.</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In addition to the resources listed above, in Context of and specific resources for assessment, evidence should show demonstrated competency in aerial transmission pipeline surveillance.</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 xml:space="preserve">Assessment of this competency must also be undertaken in either an </w:t>
            </w:r>
            <w:r w:rsidRPr="00125193">
              <w:t>actual workplace or under a simulated work environment. Assessment must also integrate the employability skills.</w:t>
            </w:r>
          </w:p>
        </w:tc>
      </w:tr>
    </w:tbl>
    <w:p w:rsidR="00000000" w:rsidRPr="00125193" w:rsidP="00125193">
      <w:pPr>
        <w:pStyle w:val="BodyText"/>
      </w:pPr>
    </w:p>
    <w:tbl>
      <w:tblPr>
        <w:tblW w:w="0" w:type="auto"/>
        <w:tblLayout w:type="fixed"/>
        <w:tblCellMar>
          <w:left w:w="62" w:type="dxa"/>
          <w:right w:w="62" w:type="dxa"/>
        </w:tblCellMar>
        <w:tblLook w:val="0000"/>
      </w:tblPr>
      <w:tblGrid>
        <w:gridCol w:w="1890"/>
        <w:gridCol w:w="6570"/>
      </w:tblGrid>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9.4)</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This Competency Standard Unit shall be assessed by methods given in Volume 1, Part 3 ‘Assessment Guidelines’.</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N</w:t>
            </w:r>
            <w:r w:rsidRPr="00125193">
              <w:t xml:space="preserve">ote: Competent performance with inherent safe working practices is expected in the Industry to which this Competency Standard Unit applies. This requires that the specified Essential Knowledge and Associated Skills are assessed in a structured environment </w:t>
            </w:r>
            <w:r w:rsidRPr="00125193">
              <w:t>which is primarily intended for learning/assessment and incorporates all necessary equipment and facilities for learners to develop and demonstrate the essential knowledge and associated skills described in this unit.</w:t>
            </w:r>
          </w:p>
        </w:tc>
      </w:tr>
    </w:tbl>
    <w:p w:rsidR="00000000" w:rsidRPr="00125193" w:rsidP="00125193">
      <w:pPr>
        <w:pStyle w:val="BodyText"/>
      </w:pPr>
    </w:p>
    <w:tbl>
      <w:tblPr>
        <w:tblW w:w="0" w:type="auto"/>
        <w:tblLayout w:type="fixed"/>
        <w:tblCellMar>
          <w:left w:w="62" w:type="dxa"/>
          <w:right w:w="62" w:type="dxa"/>
        </w:tblCellMar>
        <w:tblLook w:val="0000"/>
      </w:tblPr>
      <w:tblGrid>
        <w:gridCol w:w="1890"/>
        <w:gridCol w:w="1620"/>
        <w:gridCol w:w="4950"/>
      </w:tblGrid>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Concurrent assessment and relationsh</w:t>
            </w:r>
            <w:r w:rsidRPr="00125193">
              <w:rPr>
                <w:rStyle w:val="SpecialBold"/>
              </w:rPr>
              <w:t>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9.5)</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 xml:space="preserve">There are no recommended concurrent assessments with this unit, however in some cases efficiencies may be gained in terms of learning and assessment </w:t>
            </w:r>
            <w:r w:rsidRPr="00125193">
              <w:t>effort being concurrently managed with allied Competency Standard Units where listed.</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UEGNSG302B</w:t>
            </w:r>
          </w:p>
        </w:tc>
        <w:tc>
          <w:tcPr>
            <w:tcW w:w="495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Maintain pipeline easements</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UEGNSG329A</w:t>
            </w:r>
          </w:p>
        </w:tc>
        <w:tc>
          <w:tcPr>
            <w:tcW w:w="495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Gas transmission pipeline surveillance</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UEGNSG308B</w:t>
            </w:r>
          </w:p>
        </w:tc>
        <w:tc>
          <w:tcPr>
            <w:tcW w:w="495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Identify, evaluate and control threats to transmission pipeline</w:t>
            </w:r>
            <w:r w:rsidRPr="00125193">
              <w:t>s</w:t>
            </w:r>
          </w:p>
        </w:tc>
      </w:tr>
      <w:tr w:rsidTr="003A161C">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UEGNSG309B</w:t>
            </w:r>
          </w:p>
        </w:tc>
        <w:tc>
          <w:tcPr>
            <w:tcW w:w="495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First on site emergency response on a transmission pipeline</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UEGNSG310B</w:t>
            </w:r>
          </w:p>
        </w:tc>
        <w:tc>
          <w:tcPr>
            <w:tcW w:w="495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Supervise and monitor contract work</w:t>
            </w:r>
          </w:p>
        </w:tc>
      </w:tr>
      <w:tr w:rsidTr="003A1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UEGNSG311B</w:t>
            </w:r>
          </w:p>
        </w:tc>
        <w:tc>
          <w:tcPr>
            <w:tcW w:w="495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Site control of third party works in the vicinity of a transmission pipeline</w:t>
            </w:r>
          </w:p>
        </w:tc>
      </w:tr>
    </w:tbl>
    <w:p w:rsidR="003A161C" w:rsidP="00125193">
      <w:pPr>
        <w:pStyle w:val="BodyText"/>
      </w:pPr>
    </w:p>
    <w:p w:rsidR="003A161C" w:rsidP="00125193">
      <w:pPr>
        <w:pStyle w:val="BodyText"/>
      </w:pPr>
    </w:p>
    <w:p w:rsidR="00000000" w:rsidRPr="00125193" w:rsidP="00125193">
      <w:pPr>
        <w:pStyle w:val="Heading1"/>
      </w:pPr>
      <w:bookmarkStart w:id="11" w:name="O_402420"/>
      <w:bookmarkEnd w:id="11"/>
      <w:r w:rsidRPr="00125193">
        <w:t>Range Statement</w:t>
      </w:r>
    </w:p>
    <w:tbl>
      <w:tblPr>
        <w:tblW w:w="0" w:type="auto"/>
        <w:tblLayout w:type="fixed"/>
        <w:tblCellMar>
          <w:left w:w="62" w:type="dxa"/>
          <w:right w:w="62" w:type="dxa"/>
        </w:tblCellMar>
        <w:tblLook w:val="0000"/>
      </w:tblPr>
      <w:tblGrid>
        <w:gridCol w:w="8460"/>
      </w:tblGrid>
      <w:tr w:rsidTr="003A16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RANGE STATEMENT</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10)</w:t>
            </w:r>
            <w:r w:rsidRPr="00125193">
              <w:t xml:space="preserve"> This relates to the competency standard unit as a whole providing the range of contexts and conditions to which the Performance Criteria apply. It allows for different work environments and situations that will affect performance.</w:t>
            </w:r>
          </w:p>
        </w:tc>
      </w:tr>
      <w:tr w:rsidTr="003A161C">
        <w:tblPrEx>
          <w:tblW w:w="0" w:type="auto"/>
          <w:tblLayout w:type="fixed"/>
          <w:tblCellMar>
            <w:left w:w="62" w:type="dxa"/>
            <w:right w:w="62" w:type="dxa"/>
          </w:tblCellMar>
          <w:tblLook w:val="0000"/>
        </w:tblPrEx>
        <w:trPr>
          <w:trHeight w:val="1084"/>
        </w:trPr>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Thi</w:t>
            </w:r>
            <w:r w:rsidRPr="00125193">
              <w:t>s Competency Standard Unit shall be demonstrated in relation to aerial transmission pipeline surveillance. The following constants and variables included in the element/Performance Criteria in this unit are fully described in the Definitions Section of thi</w:t>
            </w:r>
            <w:r w:rsidRPr="00125193">
              <w:t>s volume and form an integral part of the Range Statement of this unit:</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Areas to be monitored</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Inspection of areas</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Systems pipe work</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Structures</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Fittings and appurtenances</w:t>
            </w:r>
          </w:p>
        </w:tc>
      </w:tr>
      <w:tr w:rsidTr="003A161C">
        <w:tblPrEx>
          <w:tblW w:w="0" w:type="auto"/>
          <w:tblLayout w:type="fixed"/>
          <w:tblCellMar>
            <w:left w:w="62" w:type="dxa"/>
            <w:right w:w="62" w:type="dxa"/>
          </w:tblCellMar>
          <w:tblLook w:val="0000"/>
        </w:tblPrEx>
        <w:trPr>
          <w:trHeight w:val="266"/>
        </w:trPr>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Organisational and statutory requirements (3)</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Recording and reporting</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Tools and equipment (4)</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Maps and drawings</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Established procedures</w:t>
            </w:r>
          </w:p>
        </w:tc>
      </w:tr>
      <w:tr w:rsidTr="003A161C">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PPE and First Aid equipment</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External interference</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Aerial</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Aerial hazards</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t>Transmission pipeline standards</w:t>
            </w:r>
          </w:p>
        </w:tc>
      </w:tr>
      <w:tr w:rsidTr="003A1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Maps and drawings</w:t>
            </w:r>
          </w:p>
        </w:tc>
      </w:tr>
    </w:tbl>
    <w:p w:rsidR="00000000" w:rsidRPr="00125193" w:rsidP="00125193">
      <w:pPr>
        <w:pStyle w:val="BodyText"/>
      </w:pPr>
    </w:p>
    <w:p w:rsidR="00000000" w:rsidRPr="00125193" w:rsidP="00125193">
      <w:pPr>
        <w:pStyle w:val="AllowPageBreak"/>
      </w:pPr>
    </w:p>
    <w:p w:rsidR="00000000" w:rsidRPr="00125193" w:rsidP="00125193">
      <w:pPr>
        <w:pStyle w:val="Heading1"/>
      </w:pPr>
      <w:bookmarkStart w:id="12" w:name="O_402428"/>
      <w:bookmarkEnd w:id="12"/>
      <w:r w:rsidRPr="00125193">
        <w:t>Unit Sector(s)</w:t>
      </w:r>
    </w:p>
    <w:p w:rsidR="00000000" w:rsidRPr="00125193" w:rsidP="00125193">
      <w:pPr>
        <w:pStyle w:val="BodyText"/>
      </w:pPr>
      <w:r w:rsidRPr="00125193">
        <w:t>Not applicable.</w:t>
      </w:r>
    </w:p>
    <w:p w:rsidR="00000000" w:rsidRPr="00125193" w:rsidP="00125193">
      <w:pPr>
        <w:pStyle w:val="AllowPageBreak"/>
      </w:pPr>
    </w:p>
    <w:p w:rsidR="00000000" w:rsidRPr="00125193" w:rsidP="00125193">
      <w:pPr>
        <w:pStyle w:val="Heading1"/>
      </w:pPr>
      <w:bookmarkStart w:id="13" w:name="O_402412"/>
      <w:bookmarkEnd w:id="13"/>
      <w:r w:rsidRPr="00125193">
        <w:t>Competency Field</w:t>
      </w:r>
    </w:p>
    <w:tbl>
      <w:tblPr>
        <w:tblW w:w="0" w:type="auto"/>
        <w:tblLayout w:type="fixed"/>
        <w:tblCellMar>
          <w:left w:w="62" w:type="dxa"/>
          <w:right w:w="62" w:type="dxa"/>
        </w:tblCellMar>
        <w:tblLook w:val="0000"/>
      </w:tblPr>
      <w:tblGrid>
        <w:gridCol w:w="2700"/>
        <w:gridCol w:w="5760"/>
      </w:tblGrid>
      <w:tr w:rsidTr="003A16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25193">
            <w:pPr>
              <w:pStyle w:val="BodyText"/>
              <w:rPr>
                <w:lang w:val="en-NZ"/>
              </w:rPr>
            </w:pPr>
            <w:r w:rsidRPr="00125193">
              <w:rPr>
                <w:rStyle w:val="SpecialBold"/>
              </w:rPr>
              <w:t xml:space="preserve">11) </w:t>
            </w:r>
          </w:p>
        </w:tc>
      </w:tr>
      <w:tr w:rsidTr="003A1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193" w:rsidP="00125193">
            <w:pPr>
              <w:pStyle w:val="BodyText"/>
            </w:pPr>
            <w:r w:rsidRPr="00125193">
              <w:t>Transmission.</w:t>
            </w:r>
          </w:p>
        </w:tc>
      </w:tr>
    </w:tbl>
    <w:p w:rsidR="00000000" w:rsidRPr="00125193" w:rsidP="00125193">
      <w:pPr>
        <w:pStyle w:val="BodyText"/>
      </w:pPr>
    </w:p>
    <w:p w:rsidR="00000000" w:rsidRPr="00125193" w:rsidP="00125193"/>
    <w:sectPr w:rsidSect="001251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61C" w:rsidP="003A1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61C" w:rsidP="00125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A161C" w:rsidP="001251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A161C" w:rsidP="001251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61C" w:rsidP="003A16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61C" w:rsidP="00125193">
    <w:pPr>
      <w:pStyle w:val="Header"/>
      <w:framePr w:wrap="around"/>
    </w:pPr>
    <w:r>
      <w:fldChar w:fldCharType="begin"/>
    </w:r>
    <w:r>
      <w:instrText xml:space="preserve"> TITLE   \* MERGEFORMAT </w:instrText>
    </w:r>
    <w:r>
      <w:fldChar w:fldCharType="separate"/>
    </w:r>
    <w:r>
      <w:t>UEGNSG315B Aerial transmission pipeline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161C" w:rsidP="001251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A8A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74E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A00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1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5193"/>
    <w:pPr>
      <w:spacing w:before="360" w:after="60"/>
      <w:outlineLvl w:val="0"/>
    </w:pPr>
    <w:rPr>
      <w:sz w:val="32"/>
    </w:rPr>
  </w:style>
  <w:style w:type="paragraph" w:styleId="Heading2">
    <w:name w:val="heading 2"/>
    <w:basedOn w:val="HeadingBase"/>
    <w:next w:val="BodyText"/>
    <w:link w:val="Heading2Char"/>
    <w:qFormat/>
    <w:rsid w:val="00125193"/>
    <w:pPr>
      <w:keepLines/>
      <w:spacing w:before="240" w:after="120"/>
      <w:outlineLvl w:val="1"/>
    </w:pPr>
    <w:rPr>
      <w:sz w:val="28"/>
      <w:szCs w:val="40"/>
    </w:rPr>
  </w:style>
  <w:style w:type="paragraph" w:styleId="Heading3">
    <w:name w:val="heading 3"/>
    <w:basedOn w:val="HeadingBase"/>
    <w:next w:val="BodyText"/>
    <w:link w:val="Heading3Char"/>
    <w:qFormat/>
    <w:rsid w:val="00125193"/>
    <w:pPr>
      <w:spacing w:before="180" w:after="120"/>
      <w:outlineLvl w:val="2"/>
    </w:pPr>
    <w:rPr>
      <w:spacing w:val="-10"/>
      <w:kern w:val="32"/>
    </w:rPr>
  </w:style>
  <w:style w:type="paragraph" w:styleId="Heading4">
    <w:name w:val="heading 4"/>
    <w:basedOn w:val="HeadingBase"/>
    <w:next w:val="BodyText"/>
    <w:link w:val="Heading4Char"/>
    <w:qFormat/>
    <w:rsid w:val="00125193"/>
    <w:pPr>
      <w:spacing w:before="160" w:after="120"/>
      <w:outlineLvl w:val="3"/>
    </w:pPr>
    <w:rPr>
      <w:sz w:val="22"/>
    </w:rPr>
  </w:style>
  <w:style w:type="paragraph" w:styleId="Heading5">
    <w:name w:val="heading 5"/>
    <w:basedOn w:val="HeadingBase"/>
    <w:next w:val="Normal"/>
    <w:link w:val="Heading5Char"/>
    <w:qFormat/>
    <w:rsid w:val="00125193"/>
    <w:pPr>
      <w:spacing w:before="80"/>
      <w:outlineLvl w:val="4"/>
    </w:pPr>
    <w:rPr>
      <w:color w:val="918585"/>
      <w:sz w:val="20"/>
    </w:rPr>
  </w:style>
  <w:style w:type="paragraph" w:styleId="Heading6">
    <w:name w:val="heading 6"/>
    <w:basedOn w:val="HeadingBase"/>
    <w:next w:val="Normal"/>
    <w:link w:val="Heading6Char"/>
    <w:qFormat/>
    <w:rsid w:val="00125193"/>
    <w:pPr>
      <w:spacing w:before="60"/>
      <w:outlineLvl w:val="5"/>
    </w:pPr>
    <w:rPr>
      <w:color w:val="918585"/>
      <w:sz w:val="20"/>
    </w:rPr>
  </w:style>
  <w:style w:type="paragraph" w:styleId="Heading7">
    <w:name w:val="heading 7"/>
    <w:basedOn w:val="Normal"/>
    <w:next w:val="Normal"/>
    <w:link w:val="Heading7Char"/>
    <w:qFormat/>
    <w:rsid w:val="00125193"/>
    <w:pPr>
      <w:ind w:left="720"/>
      <w:outlineLvl w:val="6"/>
    </w:pPr>
    <w:rPr>
      <w:i/>
    </w:rPr>
  </w:style>
  <w:style w:type="paragraph" w:styleId="Heading8">
    <w:name w:val="heading 8"/>
    <w:basedOn w:val="Normal"/>
    <w:next w:val="Normal"/>
    <w:link w:val="Heading8Char"/>
    <w:qFormat/>
    <w:rsid w:val="00125193"/>
    <w:pPr>
      <w:ind w:left="720"/>
      <w:outlineLvl w:val="7"/>
    </w:pPr>
    <w:rPr>
      <w:i/>
    </w:rPr>
  </w:style>
  <w:style w:type="paragraph" w:styleId="Heading9">
    <w:name w:val="heading 9"/>
    <w:basedOn w:val="Normal"/>
    <w:next w:val="Normal"/>
    <w:link w:val="Heading9Char"/>
    <w:qFormat/>
    <w:rsid w:val="00125193"/>
    <w:pPr>
      <w:ind w:left="720"/>
      <w:outlineLvl w:val="8"/>
    </w:pPr>
    <w:rPr>
      <w:i/>
    </w:rPr>
  </w:style>
  <w:style w:type="character" w:default="1" w:styleId="DefaultParagraphFont">
    <w:name w:val="Default Paragraph Font"/>
    <w:uiPriority w:val="1"/>
    <w:unhideWhenUsed/>
    <w:rsid w:val="00125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193"/>
  </w:style>
  <w:style w:type="character" w:customStyle="1" w:styleId="Heading1Char">
    <w:name w:val="Heading 1 Char"/>
    <w:basedOn w:val="DefaultParagraphFont"/>
    <w:link w:val="Heading1"/>
    <w:rsid w:val="00125193"/>
    <w:rPr>
      <w:rFonts w:ascii="Times New Roman" w:eastAsia="Times New Roman" w:hAnsi="Times New Roman" w:cs="Times New Roman"/>
      <w:b/>
      <w:sz w:val="32"/>
      <w:szCs w:val="20"/>
      <w:lang w:eastAsia="en-US"/>
    </w:rPr>
  </w:style>
  <w:style w:type="paragraph" w:styleId="BodyText">
    <w:name w:val="Body Text"/>
    <w:basedOn w:val="Normal"/>
    <w:link w:val="BodyTextChar"/>
    <w:rsid w:val="001251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5193"/>
    <w:rPr>
      <w:rFonts w:ascii="Times New Roman" w:eastAsia="Times New Roman" w:hAnsi="Times New Roman" w:cs="Times New Roman"/>
      <w:sz w:val="24"/>
      <w:lang w:val="en-US" w:eastAsia="en-US"/>
    </w:rPr>
  </w:style>
  <w:style w:type="paragraph" w:styleId="Footer">
    <w:name w:val="footer"/>
    <w:basedOn w:val="Normal"/>
    <w:link w:val="FooterChar"/>
    <w:rsid w:val="00125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193"/>
    <w:rPr>
      <w:rFonts w:ascii="Times New Roman" w:eastAsia="Times New Roman" w:hAnsi="Times New Roman" w:cs="Times New Roman"/>
      <w:sz w:val="16"/>
      <w:lang w:val="en-US" w:eastAsia="en-US"/>
    </w:rPr>
  </w:style>
  <w:style w:type="paragraph" w:styleId="ListBullet">
    <w:name w:val="List Bullet"/>
    <w:basedOn w:val="List"/>
    <w:rsid w:val="00125193"/>
    <w:pPr>
      <w:numPr>
        <w:numId w:val="14"/>
      </w:numPr>
      <w:tabs>
        <w:tab w:val="clear" w:pos="340"/>
      </w:tabs>
      <w:spacing w:before="40" w:after="40"/>
    </w:pPr>
  </w:style>
  <w:style w:type="character" w:customStyle="1" w:styleId="SpecialBold">
    <w:name w:val="Special Bold"/>
    <w:basedOn w:val="DefaultParagraphFont"/>
    <w:rsid w:val="00125193"/>
    <w:rPr>
      <w:b/>
      <w:spacing w:val="0"/>
    </w:rPr>
  </w:style>
  <w:style w:type="paragraph" w:styleId="ListBullet2">
    <w:name w:val="List Bullet 2"/>
    <w:basedOn w:val="List2"/>
    <w:rsid w:val="00125193"/>
    <w:pPr>
      <w:numPr>
        <w:numId w:val="15"/>
      </w:numPr>
      <w:tabs>
        <w:tab w:val="clear" w:pos="680"/>
      </w:tabs>
    </w:pPr>
  </w:style>
  <w:style w:type="paragraph" w:styleId="Header">
    <w:name w:val="header"/>
    <w:basedOn w:val="Normal"/>
    <w:link w:val="HeaderChar"/>
    <w:rsid w:val="00125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1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5193"/>
    <w:pPr>
      <w:spacing w:before="240" w:after="120"/>
      <w:outlineLvl w:val="0"/>
    </w:pPr>
    <w:rPr>
      <w:rFonts w:ascii="Times New Roman" w:hAnsi="Times New Roman"/>
      <w:b/>
      <w:sz w:val="28"/>
    </w:rPr>
  </w:style>
  <w:style w:type="paragraph" w:customStyle="1" w:styleId="AllowPageBreak">
    <w:name w:val="AllowPageBreak"/>
    <w:rsid w:val="001251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5193"/>
    <w:pPr>
      <w:numPr>
        <w:numId w:val="3"/>
      </w:numPr>
      <w:tabs>
        <w:tab w:val="clear" w:pos="1021"/>
      </w:tabs>
      <w:ind w:left="1037" w:hanging="357"/>
    </w:pPr>
  </w:style>
  <w:style w:type="character" w:customStyle="1" w:styleId="Heading2Char">
    <w:name w:val="Heading 2 Char"/>
    <w:basedOn w:val="DefaultParagraphFont"/>
    <w:link w:val="Heading2"/>
    <w:rsid w:val="00125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1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51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5193"/>
    <w:rPr>
      <w:rFonts w:ascii="Courier New" w:eastAsia="Times New Roman" w:hAnsi="Courier New" w:cs="Times New Roman"/>
      <w:i/>
      <w:szCs w:val="20"/>
      <w:lang w:val="en-US" w:eastAsia="en-US"/>
    </w:rPr>
  </w:style>
  <w:style w:type="paragraph" w:customStyle="1" w:styleId="HeadingBase">
    <w:name w:val="Heading Base"/>
    <w:rsid w:val="00125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193"/>
    <w:pPr>
      <w:tabs>
        <w:tab w:val="right" w:leader="dot" w:pos="9072"/>
      </w:tabs>
      <w:ind w:left="567"/>
    </w:pPr>
    <w:rPr>
      <w:szCs w:val="22"/>
    </w:rPr>
  </w:style>
  <w:style w:type="paragraph" w:customStyle="1" w:styleId="TOCBase">
    <w:name w:val="TOC Base"/>
    <w:rsid w:val="00125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193"/>
    <w:pPr>
      <w:tabs>
        <w:tab w:val="right" w:leader="dot" w:pos="9072"/>
      </w:tabs>
      <w:spacing w:before="40" w:after="40"/>
      <w:ind w:left="284"/>
    </w:pPr>
    <w:rPr>
      <w:rFonts w:ascii="Times New Roman" w:hAnsi="Times New Roman"/>
    </w:rPr>
  </w:style>
  <w:style w:type="paragraph" w:styleId="TOC1">
    <w:name w:val="toc 1"/>
    <w:basedOn w:val="TOCBase"/>
    <w:next w:val="Normal"/>
    <w:rsid w:val="001251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5193"/>
    <w:pPr>
      <w:spacing w:before="5040"/>
      <w:jc w:val="center"/>
    </w:pPr>
    <w:rPr>
      <w:sz w:val="48"/>
      <w:szCs w:val="72"/>
      <w:lang w:val="en-US"/>
    </w:rPr>
  </w:style>
  <w:style w:type="character" w:customStyle="1" w:styleId="TitleChar">
    <w:name w:val="Title Char"/>
    <w:basedOn w:val="DefaultParagraphFont"/>
    <w:link w:val="Title"/>
    <w:rsid w:val="00125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193"/>
    <w:pPr>
      <w:tabs>
        <w:tab w:val="left" w:pos="3600"/>
        <w:tab w:val="left" w:pos="3958"/>
      </w:tabs>
    </w:pPr>
  </w:style>
  <w:style w:type="paragraph" w:styleId="List">
    <w:name w:val="List"/>
    <w:basedOn w:val="BodyText"/>
    <w:next w:val="BodyText"/>
    <w:rsid w:val="00125193"/>
    <w:pPr>
      <w:tabs>
        <w:tab w:val="left" w:pos="340"/>
      </w:tabs>
      <w:spacing w:before="60" w:after="60"/>
      <w:ind w:left="340" w:hanging="340"/>
    </w:pPr>
  </w:style>
  <w:style w:type="paragraph" w:customStyle="1" w:styleId="Note">
    <w:name w:val="Note"/>
    <w:basedOn w:val="BodyText"/>
    <w:rsid w:val="00125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193"/>
    <w:pPr>
      <w:framePr w:wrap="auto" w:hAnchor="text" w:y="6049"/>
    </w:pPr>
    <w:rPr>
      <w:color w:val="000000"/>
      <w:sz w:val="40"/>
    </w:rPr>
  </w:style>
  <w:style w:type="paragraph" w:customStyle="1" w:styleId="TOCTitle">
    <w:name w:val="TOCTitle"/>
    <w:basedOn w:val="Heading1"/>
    <w:rsid w:val="00125193"/>
    <w:pPr>
      <w:spacing w:after="240"/>
      <w:jc w:val="center"/>
      <w:outlineLvl w:val="9"/>
    </w:pPr>
    <w:rPr>
      <w:caps/>
    </w:rPr>
  </w:style>
  <w:style w:type="paragraph" w:customStyle="1" w:styleId="Version">
    <w:name w:val="Version"/>
    <w:rsid w:val="00125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193"/>
    <w:pPr>
      <w:keepNext w:val="0"/>
      <w:tabs>
        <w:tab w:val="right" w:pos="4176"/>
      </w:tabs>
      <w:ind w:left="198" w:hanging="198"/>
    </w:pPr>
    <w:rPr>
      <w:rFonts w:ascii="Garamond" w:hAnsi="Garamond"/>
    </w:rPr>
  </w:style>
  <w:style w:type="paragraph" w:styleId="IndexHeading">
    <w:name w:val="index heading"/>
    <w:basedOn w:val="Normal"/>
    <w:next w:val="Index1"/>
    <w:semiHidden/>
    <w:rsid w:val="00125193"/>
    <w:pPr>
      <w:spacing w:before="120" w:after="120"/>
    </w:pPr>
    <w:rPr>
      <w:rFonts w:ascii="Arial" w:hAnsi="Arial"/>
      <w:b/>
      <w:color w:val="918585"/>
      <w:sz w:val="24"/>
    </w:rPr>
  </w:style>
  <w:style w:type="paragraph" w:customStyle="1" w:styleId="Chapter">
    <w:name w:val="Chapter"/>
    <w:basedOn w:val="Normal"/>
    <w:rsid w:val="00125193"/>
    <w:pPr>
      <w:spacing w:before="240"/>
    </w:pPr>
    <w:rPr>
      <w:rFonts w:ascii="Times New Roman" w:hAnsi="Times New Roman"/>
      <w:smallCaps/>
      <w:spacing w:val="80"/>
      <w:sz w:val="28"/>
    </w:rPr>
  </w:style>
  <w:style w:type="paragraph" w:customStyle="1" w:styleId="InChapter">
    <w:name w:val="InChapter"/>
    <w:basedOn w:val="Heading3"/>
    <w:rsid w:val="00125193"/>
    <w:pPr>
      <w:spacing w:after="240"/>
      <w:outlineLvl w:val="9"/>
    </w:pPr>
    <w:rPr>
      <w:noProof/>
    </w:rPr>
  </w:style>
  <w:style w:type="paragraph" w:styleId="Index2">
    <w:name w:val="index 2"/>
    <w:basedOn w:val="Normal"/>
    <w:next w:val="Normal"/>
    <w:semiHidden/>
    <w:rsid w:val="00125193"/>
    <w:pPr>
      <w:tabs>
        <w:tab w:val="right" w:pos="4176"/>
      </w:tabs>
      <w:ind w:left="568" w:hanging="284"/>
    </w:pPr>
    <w:rPr>
      <w:rFonts w:ascii="Garamond" w:hAnsi="Garamond"/>
    </w:rPr>
  </w:style>
  <w:style w:type="paragraph" w:customStyle="1" w:styleId="Byline">
    <w:name w:val="Byline"/>
    <w:rsid w:val="00125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193"/>
    <w:pPr>
      <w:tabs>
        <w:tab w:val="clear" w:pos="3600"/>
        <w:tab w:val="clear" w:pos="3958"/>
      </w:tabs>
      <w:jc w:val="right"/>
    </w:pPr>
  </w:style>
  <w:style w:type="character" w:styleId="Emphasis">
    <w:name w:val="Emphasis"/>
    <w:basedOn w:val="DefaultParagraphFont"/>
    <w:qFormat/>
    <w:rsid w:val="00125193"/>
    <w:rPr>
      <w:i/>
    </w:rPr>
  </w:style>
  <w:style w:type="paragraph" w:styleId="Caption">
    <w:name w:val="caption"/>
    <w:basedOn w:val="BodyText"/>
    <w:next w:val="Normal"/>
    <w:qFormat/>
    <w:rsid w:val="00125193"/>
    <w:pPr>
      <w:framePr w:w="2268" w:hSpace="181" w:vSpace="181" w:wrap="around" w:vAnchor="text" w:hAnchor="page" w:x="1135" w:y="285" w:anchorLock="1"/>
    </w:pPr>
    <w:rPr>
      <w:i/>
    </w:rPr>
  </w:style>
  <w:style w:type="paragraph" w:customStyle="1" w:styleId="MiniTOCTitle">
    <w:name w:val="MiniTOCTitle"/>
    <w:basedOn w:val="Heading4"/>
    <w:rsid w:val="00125193"/>
    <w:pPr>
      <w:spacing w:before="240"/>
      <w:outlineLvl w:val="9"/>
    </w:pPr>
    <w:rPr>
      <w:noProof/>
      <w:sz w:val="24"/>
    </w:rPr>
  </w:style>
  <w:style w:type="paragraph" w:customStyle="1" w:styleId="MiniTOCItem">
    <w:name w:val="MiniTOCItem"/>
    <w:basedOn w:val="ListBullet"/>
    <w:rsid w:val="00125193"/>
    <w:pPr>
      <w:numPr>
        <w:numId w:val="0"/>
      </w:numPr>
      <w:tabs>
        <w:tab w:val="right" w:leader="dot" w:pos="6521"/>
      </w:tabs>
      <w:spacing w:before="0" w:after="0"/>
    </w:pPr>
  </w:style>
  <w:style w:type="paragraph" w:customStyle="1" w:styleId="TOFTitle">
    <w:name w:val="TOFTitle"/>
    <w:basedOn w:val="TOCTitle"/>
    <w:rsid w:val="00125193"/>
  </w:style>
  <w:style w:type="paragraph" w:styleId="TableofFigures">
    <w:name w:val="table of figures"/>
    <w:basedOn w:val="Normal"/>
    <w:next w:val="Normal"/>
    <w:semiHidden/>
    <w:rsid w:val="00125193"/>
    <w:pPr>
      <w:tabs>
        <w:tab w:val="right" w:leader="dot" w:pos="9072"/>
      </w:tabs>
      <w:ind w:left="970" w:hanging="403"/>
    </w:pPr>
    <w:rPr>
      <w:rFonts w:ascii="Times New Roman" w:hAnsi="Times New Roman"/>
      <w:b/>
    </w:rPr>
  </w:style>
  <w:style w:type="paragraph" w:styleId="ListNumber">
    <w:name w:val="List Number"/>
    <w:basedOn w:val="List"/>
    <w:rsid w:val="00125193"/>
    <w:pPr>
      <w:numPr>
        <w:numId w:val="12"/>
      </w:numPr>
    </w:pPr>
  </w:style>
  <w:style w:type="character" w:customStyle="1" w:styleId="WingdingSymbols">
    <w:name w:val="Wingding Symbols"/>
    <w:rsid w:val="00125193"/>
    <w:rPr>
      <w:rFonts w:ascii="Wingdings" w:hAnsi="Wingdings"/>
    </w:rPr>
  </w:style>
  <w:style w:type="paragraph" w:customStyle="1" w:styleId="TableHeading">
    <w:name w:val="Table Heading"/>
    <w:basedOn w:val="HeadingBase"/>
    <w:rsid w:val="00125193"/>
    <w:pPr>
      <w:keepLines/>
      <w:pBdr>
        <w:bottom w:val="single" w:sz="6" w:space="1" w:color="918585"/>
      </w:pBdr>
      <w:spacing w:before="240"/>
    </w:pPr>
  </w:style>
  <w:style w:type="character" w:customStyle="1" w:styleId="HotSpot">
    <w:name w:val="HotSpot"/>
    <w:rsid w:val="00125193"/>
    <w:rPr>
      <w:color w:val="0033CC"/>
      <w:u w:val="none"/>
    </w:rPr>
  </w:style>
  <w:style w:type="paragraph" w:customStyle="1" w:styleId="BodyTextRight">
    <w:name w:val="Body Text Right"/>
    <w:basedOn w:val="BodyText"/>
    <w:rsid w:val="00125193"/>
    <w:pPr>
      <w:spacing w:before="0" w:after="0"/>
      <w:jc w:val="right"/>
    </w:pPr>
  </w:style>
  <w:style w:type="paragraph" w:styleId="Index3">
    <w:name w:val="index 3"/>
    <w:basedOn w:val="ListNumber2"/>
    <w:next w:val="Normal"/>
    <w:semiHidden/>
    <w:rsid w:val="00125193"/>
    <w:pPr>
      <w:numPr>
        <w:numId w:val="0"/>
      </w:numPr>
      <w:tabs>
        <w:tab w:val="right" w:leader="dot" w:pos="4176"/>
      </w:tabs>
    </w:pPr>
  </w:style>
  <w:style w:type="paragraph" w:styleId="ListNumber2">
    <w:name w:val="List Number 2"/>
    <w:basedOn w:val="List2"/>
    <w:rsid w:val="00125193"/>
    <w:pPr>
      <w:numPr>
        <w:numId w:val="11"/>
      </w:numPr>
      <w:tabs>
        <w:tab w:val="clear" w:pos="1060"/>
      </w:tabs>
    </w:pPr>
  </w:style>
  <w:style w:type="paragraph" w:customStyle="1" w:styleId="MarginNote">
    <w:name w:val="Margin Note"/>
    <w:basedOn w:val="BodyText"/>
    <w:rsid w:val="00125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1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5193"/>
    <w:rPr>
      <w:sz w:val="32"/>
    </w:rPr>
  </w:style>
  <w:style w:type="paragraph" w:customStyle="1" w:styleId="HeadingProcedure">
    <w:name w:val="Heading Procedure"/>
    <w:basedOn w:val="HeadingBase"/>
    <w:next w:val="Normal"/>
    <w:rsid w:val="00125193"/>
    <w:pPr>
      <w:tabs>
        <w:tab w:val="left" w:pos="0"/>
      </w:tabs>
      <w:spacing w:before="120" w:after="60"/>
    </w:pPr>
    <w:rPr>
      <w:i/>
      <w:color w:val="918585"/>
      <w:sz w:val="22"/>
    </w:rPr>
  </w:style>
  <w:style w:type="paragraph" w:customStyle="1" w:styleId="TableBodyText">
    <w:name w:val="Table Body Text"/>
    <w:basedOn w:val="BodyText"/>
    <w:rsid w:val="00125193"/>
    <w:pPr>
      <w:spacing w:before="60" w:after="60"/>
    </w:pPr>
  </w:style>
  <w:style w:type="paragraph" w:styleId="ListContinue">
    <w:name w:val="List Continue"/>
    <w:basedOn w:val="List"/>
    <w:rsid w:val="00125193"/>
    <w:pPr>
      <w:ind w:firstLine="0"/>
    </w:pPr>
  </w:style>
  <w:style w:type="paragraph" w:customStyle="1" w:styleId="ListNote">
    <w:name w:val="List Note"/>
    <w:basedOn w:val="List"/>
    <w:rsid w:val="00125193"/>
    <w:pPr>
      <w:pBdr>
        <w:top w:val="single" w:sz="6" w:space="2" w:color="918585"/>
        <w:bottom w:val="single" w:sz="6" w:space="2" w:color="918585"/>
      </w:pBdr>
      <w:tabs>
        <w:tab w:val="left" w:pos="1021"/>
      </w:tabs>
      <w:ind w:firstLine="0"/>
    </w:pPr>
  </w:style>
  <w:style w:type="paragraph" w:customStyle="1" w:styleId="Warning">
    <w:name w:val="Warning"/>
    <w:basedOn w:val="BodyText"/>
    <w:rsid w:val="00125193"/>
    <w:pPr>
      <w:shd w:val="clear" w:color="auto" w:fill="D9D9D9"/>
      <w:tabs>
        <w:tab w:val="left" w:pos="992"/>
      </w:tabs>
      <w:ind w:left="119" w:right="119"/>
    </w:pPr>
    <w:rPr>
      <w:sz w:val="20"/>
    </w:rPr>
  </w:style>
  <w:style w:type="paragraph" w:customStyle="1" w:styleId="MarginIcons">
    <w:name w:val="Margin Icons"/>
    <w:basedOn w:val="BodyText"/>
    <w:rsid w:val="00125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193"/>
    <w:rPr>
      <w:rFonts w:ascii="Courier New" w:hAnsi="Courier New"/>
    </w:rPr>
  </w:style>
  <w:style w:type="paragraph" w:customStyle="1" w:styleId="NoteBullet">
    <w:name w:val="Note Bullet"/>
    <w:basedOn w:val="Note"/>
    <w:rsid w:val="00125193"/>
    <w:pPr>
      <w:tabs>
        <w:tab w:val="clear" w:pos="680"/>
      </w:tabs>
      <w:spacing w:before="60" w:after="60"/>
    </w:pPr>
  </w:style>
  <w:style w:type="paragraph" w:customStyle="1" w:styleId="SubHeading2">
    <w:name w:val="SubHeading2"/>
    <w:basedOn w:val="HeadingBase"/>
    <w:rsid w:val="00125193"/>
    <w:pPr>
      <w:spacing w:before="240" w:after="60"/>
    </w:pPr>
    <w:rPr>
      <w:sz w:val="20"/>
    </w:rPr>
  </w:style>
  <w:style w:type="paragraph" w:customStyle="1" w:styleId="SubHeading1">
    <w:name w:val="SubHeading1"/>
    <w:basedOn w:val="HeadingBase"/>
    <w:rsid w:val="00125193"/>
    <w:pPr>
      <w:spacing w:before="240" w:after="60"/>
    </w:pPr>
    <w:rPr>
      <w:color w:val="918585"/>
      <w:sz w:val="22"/>
    </w:rPr>
  </w:style>
  <w:style w:type="paragraph" w:customStyle="1" w:styleId="SideHeading">
    <w:name w:val="Side Heading"/>
    <w:basedOn w:val="HeadingBase"/>
    <w:rsid w:val="00125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193"/>
    <w:pPr>
      <w:numPr>
        <w:numId w:val="13"/>
      </w:numPr>
    </w:pPr>
  </w:style>
  <w:style w:type="paragraph" w:styleId="PlainText">
    <w:name w:val="Plain Text"/>
    <w:basedOn w:val="Normal"/>
    <w:link w:val="PlainTextChar"/>
    <w:rsid w:val="00125193"/>
    <w:rPr>
      <w:sz w:val="20"/>
    </w:rPr>
  </w:style>
  <w:style w:type="character" w:customStyle="1" w:styleId="PlainTextChar">
    <w:name w:val="Plain Text Char"/>
    <w:basedOn w:val="DefaultParagraphFont"/>
    <w:link w:val="PlainText"/>
    <w:rsid w:val="001251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5193"/>
    <w:rPr>
      <w:b/>
      <w:smallCaps/>
    </w:rPr>
  </w:style>
  <w:style w:type="paragraph" w:customStyle="1" w:styleId="TableListNumber">
    <w:name w:val="Table List Number"/>
    <w:basedOn w:val="ListNumber"/>
    <w:rsid w:val="00125193"/>
    <w:pPr>
      <w:numPr>
        <w:numId w:val="0"/>
      </w:numPr>
    </w:pPr>
  </w:style>
  <w:style w:type="paragraph" w:styleId="TOC4">
    <w:name w:val="toc 4"/>
    <w:basedOn w:val="TOCBase"/>
    <w:next w:val="Normal"/>
    <w:semiHidden/>
    <w:rsid w:val="00125193"/>
    <w:pPr>
      <w:tabs>
        <w:tab w:val="right" w:leader="dot" w:pos="9071"/>
      </w:tabs>
      <w:ind w:left="1701"/>
    </w:pPr>
  </w:style>
  <w:style w:type="paragraph" w:customStyle="1" w:styleId="ListAlpha">
    <w:name w:val="List Alpha"/>
    <w:basedOn w:val="List"/>
    <w:rsid w:val="00125193"/>
    <w:pPr>
      <w:numPr>
        <w:numId w:val="10"/>
      </w:numPr>
    </w:pPr>
  </w:style>
  <w:style w:type="paragraph" w:customStyle="1" w:styleId="ListAlpha2">
    <w:name w:val="List Alpha 2"/>
    <w:basedOn w:val="List2"/>
    <w:rsid w:val="00125193"/>
    <w:pPr>
      <w:numPr>
        <w:numId w:val="9"/>
      </w:numPr>
    </w:pPr>
  </w:style>
  <w:style w:type="paragraph" w:styleId="List2">
    <w:name w:val="List 2"/>
    <w:basedOn w:val="BodyText"/>
    <w:rsid w:val="00125193"/>
    <w:pPr>
      <w:tabs>
        <w:tab w:val="left" w:pos="680"/>
      </w:tabs>
      <w:spacing w:before="60" w:after="60"/>
      <w:ind w:left="680" w:hanging="340"/>
    </w:pPr>
  </w:style>
  <w:style w:type="paragraph" w:styleId="List3">
    <w:name w:val="List 3"/>
    <w:basedOn w:val="BodyText"/>
    <w:rsid w:val="00125193"/>
    <w:pPr>
      <w:tabs>
        <w:tab w:val="left" w:pos="1021"/>
      </w:tabs>
      <w:spacing w:before="60" w:after="60"/>
      <w:ind w:left="1020" w:hanging="340"/>
    </w:pPr>
  </w:style>
  <w:style w:type="paragraph" w:styleId="List4">
    <w:name w:val="List 4"/>
    <w:basedOn w:val="BodyText"/>
    <w:rsid w:val="00125193"/>
    <w:pPr>
      <w:tabs>
        <w:tab w:val="left" w:pos="1361"/>
      </w:tabs>
      <w:spacing w:before="60" w:after="60"/>
      <w:ind w:left="1361" w:hanging="340"/>
    </w:pPr>
  </w:style>
  <w:style w:type="paragraph" w:styleId="List5">
    <w:name w:val="List 5"/>
    <w:basedOn w:val="BodyText"/>
    <w:rsid w:val="00125193"/>
    <w:pPr>
      <w:tabs>
        <w:tab w:val="left" w:pos="1701"/>
      </w:tabs>
      <w:spacing w:before="60" w:after="60"/>
      <w:ind w:left="1701" w:hanging="340"/>
    </w:pPr>
  </w:style>
  <w:style w:type="paragraph" w:styleId="ListBullet4">
    <w:name w:val="List Bullet 4"/>
    <w:basedOn w:val="List4"/>
    <w:rsid w:val="00125193"/>
    <w:pPr>
      <w:numPr>
        <w:numId w:val="4"/>
      </w:numPr>
    </w:pPr>
  </w:style>
  <w:style w:type="paragraph" w:styleId="ListBullet5">
    <w:name w:val="List Bullet 5"/>
    <w:basedOn w:val="List5"/>
    <w:rsid w:val="00125193"/>
    <w:pPr>
      <w:numPr>
        <w:numId w:val="5"/>
      </w:numPr>
    </w:pPr>
  </w:style>
  <w:style w:type="paragraph" w:styleId="ListContinue2">
    <w:name w:val="List Continue 2"/>
    <w:basedOn w:val="List2"/>
    <w:rsid w:val="00125193"/>
    <w:pPr>
      <w:ind w:firstLine="0"/>
    </w:pPr>
  </w:style>
  <w:style w:type="paragraph" w:styleId="ListContinue3">
    <w:name w:val="List Continue 3"/>
    <w:basedOn w:val="List3"/>
    <w:rsid w:val="00125193"/>
    <w:pPr>
      <w:ind w:left="1021" w:firstLine="0"/>
    </w:pPr>
  </w:style>
  <w:style w:type="paragraph" w:styleId="ListContinue4">
    <w:name w:val="List Continue 4"/>
    <w:basedOn w:val="List4"/>
    <w:rsid w:val="00125193"/>
    <w:pPr>
      <w:ind w:firstLine="0"/>
    </w:pPr>
  </w:style>
  <w:style w:type="paragraph" w:styleId="ListContinue5">
    <w:name w:val="List Continue 5"/>
    <w:basedOn w:val="List5"/>
    <w:rsid w:val="00125193"/>
    <w:pPr>
      <w:ind w:firstLine="0"/>
    </w:pPr>
  </w:style>
  <w:style w:type="paragraph" w:styleId="ListNumber3">
    <w:name w:val="List Number 3"/>
    <w:basedOn w:val="List3"/>
    <w:rsid w:val="00125193"/>
    <w:pPr>
      <w:numPr>
        <w:numId w:val="6"/>
      </w:numPr>
    </w:pPr>
  </w:style>
  <w:style w:type="paragraph" w:styleId="ListNumber4">
    <w:name w:val="List Number 4"/>
    <w:basedOn w:val="List4"/>
    <w:rsid w:val="00125193"/>
    <w:pPr>
      <w:numPr>
        <w:numId w:val="7"/>
      </w:numPr>
    </w:pPr>
  </w:style>
  <w:style w:type="paragraph" w:styleId="ListNumber5">
    <w:name w:val="List Number 5"/>
    <w:basedOn w:val="List5"/>
    <w:rsid w:val="00125193"/>
    <w:pPr>
      <w:numPr>
        <w:numId w:val="8"/>
      </w:numPr>
    </w:pPr>
  </w:style>
  <w:style w:type="paragraph" w:styleId="BlockText">
    <w:name w:val="Block Text"/>
    <w:basedOn w:val="Normal"/>
    <w:rsid w:val="00125193"/>
    <w:pPr>
      <w:spacing w:after="120"/>
      <w:ind w:left="1440" w:right="1440"/>
    </w:pPr>
  </w:style>
  <w:style w:type="character" w:customStyle="1" w:styleId="Subscript">
    <w:name w:val="Subscript"/>
    <w:basedOn w:val="DefaultParagraphFont"/>
    <w:rsid w:val="00125193"/>
    <w:rPr>
      <w:sz w:val="16"/>
      <w:vertAlign w:val="subscript"/>
    </w:rPr>
  </w:style>
  <w:style w:type="character" w:customStyle="1" w:styleId="Superscript">
    <w:name w:val="Superscript"/>
    <w:basedOn w:val="DefaultParagraphFont"/>
    <w:rsid w:val="00125193"/>
    <w:rPr>
      <w:sz w:val="16"/>
      <w:vertAlign w:val="superscript"/>
    </w:rPr>
  </w:style>
  <w:style w:type="character" w:customStyle="1" w:styleId="Symbols">
    <w:name w:val="Symbols"/>
    <w:basedOn w:val="DefaultParagraphFont"/>
    <w:rsid w:val="00125193"/>
    <w:rPr>
      <w:rFonts w:ascii="Symbol" w:hAnsi="Symbol"/>
    </w:rPr>
  </w:style>
  <w:style w:type="character" w:customStyle="1" w:styleId="MenuOptions">
    <w:name w:val="Menu Options"/>
    <w:basedOn w:val="DefaultParagraphFont"/>
    <w:rsid w:val="00125193"/>
    <w:rPr>
      <w:rFonts w:ascii="Arial Narrow" w:hAnsi="Arial Narrow"/>
      <w:smallCaps/>
    </w:rPr>
  </w:style>
  <w:style w:type="character" w:customStyle="1" w:styleId="Buttons">
    <w:name w:val="Buttons"/>
    <w:basedOn w:val="DefaultParagraphFont"/>
    <w:rsid w:val="00125193"/>
    <w:rPr>
      <w:b/>
    </w:rPr>
  </w:style>
  <w:style w:type="character" w:customStyle="1" w:styleId="Underlined">
    <w:name w:val="Underlined"/>
    <w:basedOn w:val="DefaultParagraphFont"/>
    <w:rsid w:val="00125193"/>
    <w:rPr>
      <w:u w:val="single"/>
    </w:rPr>
  </w:style>
  <w:style w:type="paragraph" w:customStyle="1" w:styleId="TableBodyTextRight">
    <w:name w:val="Table Body Text Right"/>
    <w:basedOn w:val="TableBodyText"/>
    <w:rsid w:val="00125193"/>
    <w:pPr>
      <w:widowControl w:val="0"/>
      <w:autoSpaceDE w:val="0"/>
      <w:autoSpaceDN w:val="0"/>
      <w:adjustRightInd w:val="0"/>
      <w:jc w:val="right"/>
    </w:pPr>
    <w:rPr>
      <w:rFonts w:cs="Arial"/>
      <w:szCs w:val="18"/>
    </w:rPr>
  </w:style>
  <w:style w:type="paragraph" w:customStyle="1" w:styleId="CopyrightText">
    <w:name w:val="Copyright Text"/>
    <w:basedOn w:val="BodyText"/>
    <w:rsid w:val="00125193"/>
    <w:rPr>
      <w:sz w:val="18"/>
    </w:rPr>
  </w:style>
  <w:style w:type="paragraph" w:customStyle="1" w:styleId="BodySmallRight">
    <w:name w:val="Body Small Right"/>
    <w:basedOn w:val="BodyTextRight"/>
    <w:rsid w:val="00125193"/>
    <w:rPr>
      <w:sz w:val="18"/>
      <w:szCs w:val="18"/>
    </w:rPr>
  </w:style>
  <w:style w:type="paragraph" w:customStyle="1" w:styleId="MarginEdition">
    <w:name w:val="Margin Edition"/>
    <w:basedOn w:val="MarginNote"/>
    <w:rsid w:val="00125193"/>
    <w:pPr>
      <w:spacing w:before="0" w:after="0"/>
    </w:pPr>
    <w:rPr>
      <w:rFonts w:ascii="Times New Roman" w:hAnsi="Times New Roman"/>
      <w:color w:val="999999"/>
    </w:rPr>
  </w:style>
  <w:style w:type="paragraph" w:customStyle="1" w:styleId="Spacer">
    <w:name w:val="Spacer"/>
    <w:basedOn w:val="Normal"/>
    <w:rsid w:val="00125193"/>
    <w:rPr>
      <w:sz w:val="2"/>
      <w:szCs w:val="2"/>
    </w:rPr>
  </w:style>
  <w:style w:type="character" w:customStyle="1" w:styleId="Small">
    <w:name w:val="Small"/>
    <w:basedOn w:val="DefaultParagraphFont"/>
    <w:rsid w:val="00125193"/>
    <w:rPr>
      <w:sz w:val="16"/>
    </w:rPr>
  </w:style>
  <w:style w:type="paragraph" w:customStyle="1" w:styleId="WideTable">
    <w:name w:val="Wide Table"/>
    <w:basedOn w:val="Normal"/>
    <w:rsid w:val="00125193"/>
    <w:pPr>
      <w:ind w:left="-1418"/>
    </w:pPr>
    <w:rPr>
      <w:sz w:val="2"/>
      <w:szCs w:val="2"/>
    </w:rPr>
  </w:style>
  <w:style w:type="character" w:styleId="PageNumber">
    <w:name w:val="page number"/>
    <w:basedOn w:val="DefaultParagraphFont"/>
    <w:rsid w:val="00125193"/>
  </w:style>
  <w:style w:type="paragraph" w:styleId="Quote">
    <w:name w:val="Quote"/>
    <w:basedOn w:val="Heading1"/>
    <w:link w:val="QuoteChar"/>
    <w:qFormat/>
    <w:rsid w:val="00125193"/>
    <w:rPr>
      <w:b w:val="0"/>
      <w:sz w:val="72"/>
      <w:szCs w:val="72"/>
      <w:lang w:val="en-NZ"/>
    </w:rPr>
  </w:style>
  <w:style w:type="character" w:customStyle="1" w:styleId="QuoteChar">
    <w:name w:val="Quote Char"/>
    <w:basedOn w:val="DefaultParagraphFont"/>
    <w:link w:val="Quote"/>
    <w:rsid w:val="00125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193"/>
    <w:pPr>
      <w:pageBreakBefore/>
    </w:pPr>
  </w:style>
  <w:style w:type="paragraph" w:customStyle="1" w:styleId="Border">
    <w:name w:val="Border"/>
    <w:basedOn w:val="Normal"/>
    <w:qFormat/>
    <w:rsid w:val="00125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193"/>
    <w:rPr>
      <w:b/>
      <w:bCs/>
      <w:i/>
      <w:iCs/>
      <w:color w:val="auto"/>
    </w:rPr>
  </w:style>
  <w:style w:type="paragraph" w:styleId="IntenseQuote">
    <w:name w:val="Intense Quote"/>
    <w:basedOn w:val="Normal"/>
    <w:next w:val="Normal"/>
    <w:link w:val="IntenseQuoteChar"/>
    <w:uiPriority w:val="30"/>
    <w:qFormat/>
    <w:rsid w:val="00125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1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5193"/>
    <w:rPr>
      <w:smallCaps/>
      <w:color w:val="auto"/>
      <w:u w:val="single"/>
    </w:rPr>
  </w:style>
  <w:style w:type="character" w:styleId="IntenseReference">
    <w:name w:val="Intense Reference"/>
    <w:basedOn w:val="DefaultParagraphFont"/>
    <w:uiPriority w:val="32"/>
    <w:qFormat/>
    <w:rsid w:val="00125193"/>
    <w:rPr>
      <w:b/>
      <w:bCs/>
      <w:smallCaps/>
      <w:color w:val="auto"/>
      <w:spacing w:val="5"/>
      <w:u w:val="single"/>
    </w:rPr>
  </w:style>
  <w:style w:type="paragraph" w:customStyle="1" w:styleId="2ColumnHeading">
    <w:name w:val="2Column Heading"/>
    <w:basedOn w:val="BodyText"/>
    <w:qFormat/>
    <w:rsid w:val="00125193"/>
    <w:pPr>
      <w:spacing w:after="60"/>
      <w:ind w:left="-2268"/>
    </w:pPr>
    <w:rPr>
      <w:b/>
    </w:rPr>
  </w:style>
  <w:style w:type="paragraph" w:customStyle="1" w:styleId="Heading1TOC">
    <w:name w:val="Heading1 TOC"/>
    <w:basedOn w:val="Normal"/>
    <w:qFormat/>
    <w:rsid w:val="00125193"/>
    <w:pPr>
      <w:spacing w:before="240" w:after="120"/>
    </w:pPr>
    <w:rPr>
      <w:rFonts w:ascii="Times New Roman" w:hAnsi="Times New Roman"/>
      <w:b/>
      <w:sz w:val="32"/>
    </w:rPr>
  </w:style>
  <w:style w:type="paragraph" w:customStyle="1" w:styleId="Heading2TOC">
    <w:name w:val="Heading2 TOC"/>
    <w:basedOn w:val="Normal"/>
    <w:qFormat/>
    <w:rsid w:val="00125193"/>
    <w:pPr>
      <w:spacing w:before="240" w:after="60"/>
    </w:pPr>
    <w:rPr>
      <w:rFonts w:ascii="Times New Roman" w:hAnsi="Times New Roman"/>
      <w:b/>
      <w:sz w:val="28"/>
    </w:rPr>
  </w:style>
  <w:style w:type="character" w:customStyle="1" w:styleId="Underline">
    <w:name w:val="Underline"/>
    <w:basedOn w:val="DefaultParagraphFont"/>
    <w:qFormat/>
    <w:rsid w:val="00125193"/>
    <w:rPr>
      <w:u w:val="single"/>
    </w:rPr>
  </w:style>
  <w:style w:type="character" w:customStyle="1" w:styleId="BoldandItalics">
    <w:name w:val="Bold and Italics"/>
    <w:qFormat/>
    <w:rsid w:val="00125193"/>
    <w:rPr>
      <w:b/>
      <w:i/>
      <w:u w:val="none"/>
    </w:rPr>
  </w:style>
  <w:style w:type="paragraph" w:styleId="BalloonText">
    <w:name w:val="Balloon Text"/>
    <w:basedOn w:val="Normal"/>
    <w:link w:val="BalloonTextChar"/>
    <w:rsid w:val="00125193"/>
    <w:rPr>
      <w:rFonts w:ascii="Tahoma" w:hAnsi="Tahoma" w:cs="Tahoma"/>
      <w:sz w:val="16"/>
      <w:szCs w:val="16"/>
    </w:rPr>
  </w:style>
  <w:style w:type="character" w:customStyle="1" w:styleId="BalloonTextChar">
    <w:name w:val="Balloon Text Char"/>
    <w:basedOn w:val="DefaultParagraphFont"/>
    <w:link w:val="BalloonText"/>
    <w:rsid w:val="001251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51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51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3088</Words>
  <Characters>19538</Characters>
  <Application>Microsoft Office Word</Application>
  <DocSecurity>0</DocSecurity>
  <Lines>783</Lines>
  <Paragraphs>321</Paragraphs>
  <ScaleCrop>false</ScaleCrop>
  <Company>Author-it Software Corporation Ltd.</Company>
  <LinksUpToDate>false</LinksUpToDate>
  <CharactersWithSpaces>22413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UEGNSG315B Aerial transmission pipeline surveillance</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2012-05-26T22:07:00Z</dcterms:created>
  <dcterms:modified xsi:type="dcterms:W3CDTF">2012-05-26T22:07:00Z</dcterms:modified>
</cp:coreProperties>
</file>