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00A2" w:rsidP="004100A2">
      <w:pPr>
        <w:pStyle w:val="Title"/>
      </w:pPr>
      <w:bookmarkStart w:id="0" w:name="_GoBack"/>
      <w:bookmarkEnd w:id="0"/>
      <w:r>
        <w:fldChar w:fldCharType="begin"/>
      </w:r>
      <w:r>
        <w:instrText xml:space="preserve"> TITLE   \* MERGEFORMAT </w:instrText>
      </w:r>
      <w:r>
        <w:fldChar w:fldCharType="separate"/>
      </w:r>
      <w:r>
        <w:t>UEGNSG314B Liaise with third party and the community to maintain pipeline integrity and community safety</w:t>
      </w:r>
      <w:r>
        <w:fldChar w:fldCharType="end"/>
      </w:r>
    </w:p>
    <w:p w:rsidR="004100A2" w:rsidP="004100A2">
      <w:pPr>
        <w:pStyle w:val="Version"/>
        <w:sectPr w:rsidSect="00D66C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6C9F" w:rsidP="00D66C9F">
      <w:pPr>
        <w:pStyle w:val="SuperHeading"/>
      </w:pPr>
      <w:r w:rsidRPr="00D66C9F">
        <w:t>UEGNSG314B Liaise with third party and the community to maintain pipeline integrity and community safety</w:t>
      </w:r>
    </w:p>
    <w:p w:rsidR="00000000" w:rsidRPr="00D66C9F" w:rsidP="00D66C9F">
      <w:pPr>
        <w:pStyle w:val="Heading1"/>
      </w:pPr>
      <w:bookmarkStart w:id="1" w:name="O_402398"/>
      <w:bookmarkEnd w:id="1"/>
      <w:r w:rsidRPr="00D66C9F">
        <w:t>Modification History</w:t>
      </w:r>
    </w:p>
    <w:p w:rsidR="00000000" w:rsidRPr="00D66C9F" w:rsidP="00D66C9F">
      <w:pPr>
        <w:pStyle w:val="BodyText"/>
      </w:pPr>
      <w:r w:rsidRPr="00D66C9F">
        <w:t>Not applicable.</w:t>
      </w:r>
    </w:p>
    <w:p w:rsidR="00000000" w:rsidRPr="00D66C9F" w:rsidP="00D66C9F">
      <w:pPr>
        <w:pStyle w:val="AllowPageBreak"/>
      </w:pPr>
    </w:p>
    <w:p w:rsidR="00000000" w:rsidRPr="00D66C9F" w:rsidP="00D66C9F">
      <w:pPr>
        <w:pStyle w:val="Heading1"/>
      </w:pPr>
      <w:bookmarkStart w:id="2" w:name="O_402396"/>
      <w:bookmarkEnd w:id="2"/>
      <w:r w:rsidRPr="00D66C9F">
        <w:t>Unit Descriptor</w:t>
      </w:r>
    </w:p>
    <w:tbl>
      <w:tblPr>
        <w:tblW w:w="0" w:type="auto"/>
        <w:tblLayout w:type="fixed"/>
        <w:tblCellMar>
          <w:left w:w="62" w:type="dxa"/>
          <w:right w:w="62" w:type="dxa"/>
        </w:tblCellMar>
        <w:tblLook w:val="0000"/>
      </w:tblPr>
      <w:tblGrid>
        <w:gridCol w:w="2700"/>
        <w:gridCol w:w="5760"/>
      </w:tblGrid>
      <w:tr w:rsidTr="004100A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66C9F" w:rsidP="00D66C9F">
            <w:pPr>
              <w:pStyle w:val="BodyText"/>
            </w:pPr>
            <w:r w:rsidRPr="00D66C9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rPr>
                <w:rStyle w:val="SpecialBold"/>
              </w:rPr>
              <w:t>1) Scope:</w:t>
            </w:r>
          </w:p>
        </w:tc>
      </w:tr>
      <w:tr w:rsidTr="004100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66C9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rPr>
                <w:rStyle w:val="SpecialBold"/>
              </w:rPr>
              <w:t>1.1) Descriptor</w:t>
            </w:r>
          </w:p>
        </w:tc>
      </w:tr>
      <w:tr w:rsidTr="004100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66C9F" w:rsidP="00D66C9F">
            <w:pPr>
              <w:pStyle w:val="BodyText"/>
            </w:pPr>
            <w:r w:rsidRPr="00D66C9F">
              <w:t xml:space="preserve">This competency standard covers the liaison with third parties and the community for purposes of maintaining the integrity of a transmission </w:t>
            </w:r>
            <w:r w:rsidRPr="00D66C9F">
              <w:t>pipeline. The competency standard is applied against the procedures found under the latest version of AS 2885.3 Australian and New Zealand Standard. It includes third party liaison, community awareness, communication or communication strategy and negotiati</w:t>
            </w:r>
            <w:r w:rsidRPr="00D66C9F">
              <w:t>ng skills.</w:t>
            </w:r>
          </w:p>
        </w:tc>
      </w:tr>
    </w:tbl>
    <w:p w:rsidR="00000000" w:rsidRPr="00D66C9F" w:rsidP="00D66C9F">
      <w:pPr>
        <w:pStyle w:val="BodyText"/>
      </w:pPr>
    </w:p>
    <w:p w:rsidR="00000000" w:rsidRPr="00D66C9F" w:rsidP="00D66C9F">
      <w:pPr>
        <w:pStyle w:val="AllowPageBreak"/>
      </w:pPr>
    </w:p>
    <w:p w:rsidR="00000000" w:rsidRPr="00D66C9F" w:rsidP="00D66C9F">
      <w:pPr>
        <w:pStyle w:val="Heading1"/>
      </w:pPr>
      <w:bookmarkStart w:id="3" w:name="O_402385"/>
      <w:bookmarkEnd w:id="3"/>
      <w:r w:rsidRPr="00D66C9F">
        <w:t>Application of the Unit</w:t>
      </w:r>
    </w:p>
    <w:tbl>
      <w:tblPr>
        <w:tblW w:w="0" w:type="auto"/>
        <w:tblLayout w:type="fixed"/>
        <w:tblCellMar>
          <w:left w:w="62" w:type="dxa"/>
          <w:right w:w="62" w:type="dxa"/>
        </w:tblCellMar>
        <w:tblLook w:val="0000"/>
      </w:tblPr>
      <w:tblGrid>
        <w:gridCol w:w="2672"/>
        <w:gridCol w:w="5699"/>
      </w:tblGrid>
      <w:tr w:rsidTr="004100A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66C9F" w:rsidP="00D66C9F">
            <w:pPr>
              <w:pStyle w:val="BodyText"/>
            </w:pPr>
            <w:r w:rsidRPr="00D66C9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rPr>
                <w:rStyle w:val="SpecialBold"/>
              </w:rPr>
              <w:t>2)</w:t>
            </w:r>
          </w:p>
        </w:tc>
      </w:tr>
      <w:tr w:rsidTr="004100A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66C9F" w:rsidP="00D66C9F">
            <w:pPr>
              <w:pStyle w:val="BodyText"/>
            </w:pPr>
            <w:r w:rsidRPr="00D66C9F">
              <w:t>This competency standard shall apply to any basic and safe work site where Gas Industry operations occur.</w:t>
            </w:r>
          </w:p>
        </w:tc>
      </w:tr>
    </w:tbl>
    <w:p w:rsidR="00000000" w:rsidRPr="00D66C9F" w:rsidP="00D66C9F">
      <w:pPr>
        <w:pStyle w:val="BodyText"/>
      </w:pPr>
    </w:p>
    <w:p w:rsidR="00000000" w:rsidRPr="00D66C9F" w:rsidP="00D66C9F">
      <w:pPr>
        <w:pStyle w:val="AllowPageBreak"/>
      </w:pPr>
    </w:p>
    <w:p w:rsidR="00000000" w:rsidRPr="00D66C9F" w:rsidP="00D66C9F">
      <w:pPr>
        <w:pStyle w:val="Heading1"/>
      </w:pPr>
      <w:bookmarkStart w:id="4" w:name="O_402392"/>
      <w:bookmarkEnd w:id="4"/>
      <w:r w:rsidRPr="00D66C9F">
        <w:t>Licensing/Regulatory Information</w:t>
      </w:r>
    </w:p>
    <w:tbl>
      <w:tblPr>
        <w:tblW w:w="0" w:type="auto"/>
        <w:tblLayout w:type="fixed"/>
        <w:tblCellMar>
          <w:left w:w="62" w:type="dxa"/>
          <w:right w:w="62" w:type="dxa"/>
        </w:tblCellMar>
        <w:tblLook w:val="0000"/>
      </w:tblPr>
      <w:tblGrid>
        <w:gridCol w:w="2700"/>
        <w:gridCol w:w="5760"/>
      </w:tblGrid>
      <w:tr w:rsidTr="004100A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66C9F" w:rsidP="00D66C9F">
            <w:pPr>
              <w:pStyle w:val="BodyText"/>
            </w:pPr>
            <w:r w:rsidRPr="00D66C9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rPr>
                <w:rStyle w:val="SpecialBold"/>
              </w:rPr>
              <w:t xml:space="preserve">3) </w:t>
            </w:r>
          </w:p>
        </w:tc>
      </w:tr>
      <w:tr w:rsidTr="004100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66C9F" w:rsidP="00D66C9F">
            <w:pPr>
              <w:pStyle w:val="BodyText"/>
            </w:pPr>
            <w:r w:rsidRPr="00D66C9F">
              <w:t>The skills and knowledge described in this unit are not subject to licence regulation other than those directly related to Occupational Health and Safety, gas/electricity/water industry safety and compliance, industrial relations,</w:t>
            </w:r>
            <w:r w:rsidRPr="00D66C9F">
              <w:t xml:space="preserve"> environmental protection, telecommunications, anti discrimination and training. Commonwealth, State/Territory or Local Government legislation and regulations may exist that limits the age of </w:t>
            </w:r>
            <w:r w:rsidRPr="00D66C9F">
              <w:t>persons who can operate certain equipment.</w:t>
            </w:r>
          </w:p>
        </w:tc>
      </w:tr>
    </w:tbl>
    <w:p w:rsidR="00000000" w:rsidRPr="00D66C9F" w:rsidP="00D66C9F">
      <w:pPr>
        <w:pStyle w:val="BodyText"/>
      </w:pPr>
    </w:p>
    <w:p w:rsidR="00000000" w:rsidRPr="00D66C9F" w:rsidP="00D66C9F">
      <w:pPr>
        <w:pStyle w:val="AllowPageBreak"/>
      </w:pPr>
    </w:p>
    <w:p w:rsidR="00000000" w:rsidRPr="00D66C9F" w:rsidP="00D66C9F">
      <w:pPr>
        <w:pStyle w:val="Heading1"/>
      </w:pPr>
      <w:bookmarkStart w:id="5" w:name="O_402393"/>
      <w:bookmarkEnd w:id="5"/>
      <w:r w:rsidRPr="00D66C9F">
        <w:t>Pre-Requisites</w:t>
      </w:r>
    </w:p>
    <w:tbl>
      <w:tblPr>
        <w:tblW w:w="0" w:type="auto"/>
        <w:tblLayout w:type="fixed"/>
        <w:tblCellMar>
          <w:left w:w="62" w:type="dxa"/>
          <w:right w:w="62" w:type="dxa"/>
        </w:tblCellMar>
        <w:tblLook w:val="0000"/>
      </w:tblPr>
      <w:tblGrid>
        <w:gridCol w:w="2700"/>
        <w:gridCol w:w="1800"/>
        <w:gridCol w:w="3960"/>
      </w:tblGrid>
      <w:tr w:rsidTr="004100A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66C9F" w:rsidP="00D66C9F">
            <w:pPr>
              <w:pStyle w:val="BodyText"/>
            </w:pPr>
            <w:r w:rsidRPr="00D66C9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rPr>
                <w:rStyle w:val="SpecialBold"/>
              </w:rPr>
              <w:t xml:space="preserve">4) </w:t>
            </w:r>
          </w:p>
        </w:tc>
      </w:tr>
      <w:tr w:rsidTr="004100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66C9F" w:rsidP="00D66C9F">
            <w:pPr>
              <w:pStyle w:val="BodyText"/>
            </w:pPr>
            <w:r w:rsidRPr="00D66C9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rPr>
                <w:rStyle w:val="SpecialBold"/>
              </w:rPr>
              <w:t>4.1)</w:t>
            </w:r>
          </w:p>
        </w:tc>
      </w:tr>
      <w:tr w:rsidTr="004100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Granting of competency in this unit shall be made only after competency in the following unit(s) has/have been confirmed:</w:t>
            </w:r>
          </w:p>
        </w:tc>
      </w:tr>
      <w:tr w:rsidTr="004100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Nil</w:t>
            </w:r>
          </w:p>
        </w:tc>
        <w:tc>
          <w:tcPr>
            <w:tcW w:w="3960" w:type="dxa"/>
            <w:tcBorders>
              <w:top w:val="nil"/>
              <w:left w:val="nil"/>
              <w:bottom w:val="nil"/>
              <w:right w:val="nil"/>
            </w:tcBorders>
            <w:tcMar>
              <w:top w:w="0" w:type="dxa"/>
              <w:left w:w="62" w:type="dxa"/>
              <w:bottom w:w="0" w:type="dxa"/>
              <w:right w:w="62" w:type="dxa"/>
            </w:tcMar>
          </w:tcPr>
          <w:p w:rsidR="00000000" w:rsidRPr="00D66C9F" w:rsidP="00D66C9F">
            <w:pPr>
              <w:pStyle w:val="BodyText"/>
            </w:pPr>
          </w:p>
        </w:tc>
      </w:tr>
    </w:tbl>
    <w:p w:rsidR="00000000" w:rsidRPr="00D66C9F" w:rsidP="00D66C9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100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66C9F" w:rsidP="00D66C9F">
            <w:pPr>
              <w:pStyle w:val="BodyText"/>
            </w:pPr>
            <w:r w:rsidRPr="00D66C9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D66C9F" w:rsidP="00D66C9F">
            <w:pPr>
              <w:pStyle w:val="BodyText"/>
            </w:pPr>
            <w:r w:rsidRPr="00D66C9F">
              <w:rPr>
                <w:rStyle w:val="SpecialBold"/>
              </w:rPr>
              <w:t xml:space="preserve">4.2) </w:t>
            </w:r>
          </w:p>
          <w:p w:rsidR="00000000" w:rsidP="00D66C9F">
            <w:pPr>
              <w:pStyle w:val="BodyText"/>
              <w:rPr>
                <w:lang w:val="en-NZ"/>
              </w:rPr>
            </w:pPr>
            <w:r w:rsidRPr="00D66C9F">
              <w:t>Participants are best equipped to achieve this unit if they have reading, writing and numeracy skills indicated by the following scales. Description of each scale is given in Volume 2, Part 3 ‘Literacy and Numeracy’</w:t>
            </w:r>
          </w:p>
        </w:tc>
      </w:tr>
      <w:tr w:rsidTr="004100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Reading</w:t>
            </w:r>
          </w:p>
        </w:tc>
        <w:tc>
          <w:tcPr>
            <w:tcW w:w="81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4</w:t>
            </w:r>
          </w:p>
        </w:tc>
        <w:tc>
          <w:tcPr>
            <w:tcW w:w="99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Writing</w:t>
            </w:r>
          </w:p>
        </w:tc>
        <w:tc>
          <w:tcPr>
            <w:tcW w:w="90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4</w:t>
            </w:r>
          </w:p>
        </w:tc>
        <w:tc>
          <w:tcPr>
            <w:tcW w:w="126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Numeracy</w:t>
            </w:r>
          </w:p>
        </w:tc>
        <w:tc>
          <w:tcPr>
            <w:tcW w:w="720" w:type="dxa"/>
            <w:tcBorders>
              <w:top w:val="nil"/>
              <w:left w:val="nil"/>
              <w:bottom w:val="nil"/>
              <w:right w:val="nil"/>
            </w:tcBorders>
            <w:tcMar>
              <w:top w:w="0" w:type="dxa"/>
              <w:left w:w="62" w:type="dxa"/>
              <w:bottom w:w="0" w:type="dxa"/>
              <w:right w:w="62" w:type="dxa"/>
            </w:tcMar>
          </w:tcPr>
          <w:p w:rsidR="00000000" w:rsidRPr="00D66C9F" w:rsidP="00D66C9F">
            <w:pPr>
              <w:pStyle w:val="BodyText"/>
            </w:pPr>
            <w:r w:rsidRPr="00D66C9F">
              <w:t>4</w:t>
            </w:r>
          </w:p>
        </w:tc>
      </w:tr>
    </w:tbl>
    <w:p w:rsidR="00000000" w:rsidRPr="00D66C9F" w:rsidP="00D66C9F">
      <w:pPr>
        <w:pStyle w:val="BodyText"/>
      </w:pPr>
    </w:p>
    <w:p w:rsidR="00000000" w:rsidRPr="00D66C9F" w:rsidP="00D66C9F">
      <w:pPr>
        <w:pStyle w:val="AllowPageBreak"/>
      </w:pPr>
    </w:p>
    <w:p w:rsidR="00000000" w:rsidRPr="00D66C9F" w:rsidP="00D66C9F">
      <w:pPr>
        <w:pStyle w:val="Heading1"/>
      </w:pPr>
      <w:bookmarkStart w:id="6" w:name="O_402389"/>
      <w:bookmarkEnd w:id="6"/>
      <w:r w:rsidRPr="00D66C9F">
        <w:t>Employability Skills Information</w:t>
      </w:r>
    </w:p>
    <w:tbl>
      <w:tblPr>
        <w:tblW w:w="0" w:type="auto"/>
        <w:tblLayout w:type="fixed"/>
        <w:tblCellMar>
          <w:left w:w="62" w:type="dxa"/>
          <w:right w:w="62" w:type="dxa"/>
        </w:tblCellMar>
        <w:tblLook w:val="0000"/>
      </w:tblPr>
      <w:tblGrid>
        <w:gridCol w:w="2700"/>
        <w:gridCol w:w="5760"/>
      </w:tblGrid>
      <w:tr w:rsidTr="004100A2">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D66C9F" w:rsidP="00D66C9F">
            <w:pPr>
              <w:pStyle w:val="BodyText"/>
            </w:pPr>
            <w:r w:rsidRPr="00D66C9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rPr>
                <w:rStyle w:val="SpecialBold"/>
              </w:rPr>
              <w:t xml:space="preserve">5) </w:t>
            </w:r>
          </w:p>
        </w:tc>
      </w:tr>
      <w:tr w:rsidTr="004100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This unit contains Employability Skills</w:t>
            </w:r>
          </w:p>
        </w:tc>
      </w:tr>
      <w:tr w:rsidTr="004100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66C9F" w:rsidP="00D66C9F">
            <w:pPr>
              <w:pStyle w:val="BodyText"/>
            </w:pPr>
            <w:r w:rsidRPr="00D66C9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66C9F">
              <w:t>requirements.</w:t>
            </w:r>
          </w:p>
        </w:tc>
      </w:tr>
    </w:tbl>
    <w:p w:rsidR="00000000" w:rsidRPr="00D66C9F" w:rsidP="00D66C9F">
      <w:pPr>
        <w:pStyle w:val="BodyText"/>
      </w:pPr>
    </w:p>
    <w:p w:rsidR="00000000" w:rsidRPr="00D66C9F" w:rsidP="00D66C9F">
      <w:pPr>
        <w:pStyle w:val="AllowPageBreak"/>
      </w:pPr>
    </w:p>
    <w:p w:rsidR="00000000" w:rsidRPr="00D66C9F" w:rsidP="00D66C9F">
      <w:pPr>
        <w:pStyle w:val="Heading1"/>
      </w:pPr>
      <w:bookmarkStart w:id="7" w:name="O_402388"/>
      <w:bookmarkEnd w:id="7"/>
      <w:r w:rsidRPr="00D66C9F">
        <w:t>Elements and Performance Criteria Pre-Content</w:t>
      </w:r>
    </w:p>
    <w:tbl>
      <w:tblPr>
        <w:tblW w:w="0" w:type="auto"/>
        <w:tblLayout w:type="fixed"/>
        <w:tblCellMar>
          <w:left w:w="62" w:type="dxa"/>
          <w:right w:w="62" w:type="dxa"/>
        </w:tblCellMar>
        <w:tblLook w:val="0000"/>
      </w:tblPr>
      <w:tblGrid>
        <w:gridCol w:w="2700"/>
        <w:gridCol w:w="5760"/>
      </w:tblGrid>
      <w:tr w:rsidTr="004100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rPr>
                <w:rStyle w:val="SpecialBold"/>
              </w:rPr>
              <w:t>6)</w:t>
            </w:r>
            <w:r w:rsidRPr="00D66C9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66C9F" w:rsidP="00D66C9F">
            <w:pPr>
              <w:pStyle w:val="BodyText"/>
            </w:pPr>
            <w:r w:rsidRPr="00D66C9F">
              <w:t>Performance Criteria describe the required performance needed to demonstrate achievement of the element</w:t>
            </w:r>
            <w:r w:rsidRPr="00D66C9F">
              <w:t>. Assessment of performance is to be consistent with the Evidence Guide.</w:t>
            </w:r>
          </w:p>
        </w:tc>
      </w:tr>
    </w:tbl>
    <w:p w:rsidR="00000000" w:rsidRPr="00D66C9F" w:rsidP="00D66C9F">
      <w:pPr>
        <w:pStyle w:val="BodyText"/>
      </w:pPr>
    </w:p>
    <w:p w:rsidR="00000000" w:rsidRPr="00D66C9F" w:rsidP="00D66C9F">
      <w:pPr>
        <w:pStyle w:val="AllowPageBreak"/>
      </w:pPr>
    </w:p>
    <w:p w:rsidR="00000000" w:rsidRPr="00D66C9F" w:rsidP="00D66C9F">
      <w:pPr>
        <w:pStyle w:val="Heading1"/>
      </w:pPr>
      <w:bookmarkStart w:id="8" w:name="O_402387"/>
      <w:bookmarkEnd w:id="8"/>
      <w:r w:rsidRPr="00D66C9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100A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66C9F" w:rsidP="00D66C9F">
            <w:pPr>
              <w:pStyle w:val="BodyText"/>
            </w:pPr>
            <w:r w:rsidRPr="00D66C9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rPr>
                <w:rStyle w:val="SpecialBold"/>
              </w:rPr>
              <w:t>PERFORMANCE CRITERIA</w:t>
            </w:r>
          </w:p>
        </w:tc>
      </w:tr>
      <w:tr w:rsidTr="004100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1</w:t>
            </w:r>
          </w:p>
        </w:tc>
        <w:tc>
          <w:tcPr>
            <w:tcW w:w="2296"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Plan to liaise with third party and the community to maintain pipeline integrity and community safety</w:t>
            </w:r>
          </w:p>
        </w:tc>
        <w:tc>
          <w:tcPr>
            <w:tcW w:w="90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1.1</w:t>
            </w:r>
          </w:p>
        </w:tc>
        <w:tc>
          <w:tcPr>
            <w:tcW w:w="486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Work schedules, specific requirements, drawings, plans, requirements, established procedures and material and equipment are examined. The extent of pr</w:t>
            </w:r>
            <w:r w:rsidRPr="00D66C9F">
              <w:t>eparation for the work is assessed</w:t>
            </w:r>
          </w:p>
        </w:tc>
      </w:tr>
      <w:tr w:rsidTr="004100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1.2</w:t>
            </w:r>
          </w:p>
        </w:tc>
        <w:tc>
          <w:tcPr>
            <w:tcW w:w="486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 xml:space="preserve">Work is prioritised and sequenced for the most efficient and effective outcome following consultation with others for completion within acceptable </w:t>
            </w:r>
            <w:r w:rsidRPr="00D66C9F">
              <w:t xml:space="preserve">timeframes to a quality standard and in accordance with established procedures </w:t>
            </w:r>
          </w:p>
        </w:tc>
      </w:tr>
      <w:tr w:rsidTr="004100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1.3</w:t>
            </w:r>
          </w:p>
        </w:tc>
        <w:tc>
          <w:tcPr>
            <w:tcW w:w="486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Risk control measures are identified, prioritised and evaluated against the work schedule</w:t>
            </w:r>
          </w:p>
        </w:tc>
      </w:tr>
      <w:tr w:rsidTr="004100A2">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1.4</w:t>
            </w:r>
          </w:p>
        </w:tc>
        <w:tc>
          <w:tcPr>
            <w:tcW w:w="486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Relevant requirements and established procedures for the work are commun</w:t>
            </w:r>
            <w:r w:rsidRPr="00D66C9F">
              <w:t>icated to all persons and identified for all work sites</w:t>
            </w:r>
          </w:p>
        </w:tc>
      </w:tr>
      <w:tr w:rsidTr="004100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1.5</w:t>
            </w:r>
          </w:p>
        </w:tc>
        <w:tc>
          <w:tcPr>
            <w:tcW w:w="486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OHS, environmental and sustainable energy policies and procedures related to the work are identified to ensure safe systems of work are followed</w:t>
            </w:r>
          </w:p>
        </w:tc>
      </w:tr>
      <w:tr w:rsidTr="004100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1.6</w:t>
            </w:r>
          </w:p>
        </w:tc>
        <w:tc>
          <w:tcPr>
            <w:tcW w:w="486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 xml:space="preserve">Relevant work permits are secured to coordinate the performance of work according to requirements and established procedures </w:t>
            </w:r>
          </w:p>
        </w:tc>
      </w:tr>
      <w:tr w:rsidTr="004100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1.7</w:t>
            </w:r>
          </w:p>
        </w:tc>
        <w:tc>
          <w:tcPr>
            <w:tcW w:w="486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Resources including persons, equipment, tools and personal protective equipment required for the job are identified, schedu</w:t>
            </w:r>
            <w:r w:rsidRPr="00D66C9F">
              <w:t>led, coordinated and confirmed in a safe and technical working order</w:t>
            </w:r>
          </w:p>
        </w:tc>
      </w:tr>
      <w:tr w:rsidTr="004100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1.8</w:t>
            </w:r>
          </w:p>
        </w:tc>
        <w:tc>
          <w:tcPr>
            <w:tcW w:w="486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Clients are provided with possible solutions and options within the scope, acceptable cost and requirements</w:t>
            </w:r>
          </w:p>
        </w:tc>
      </w:tr>
      <w:tr w:rsidTr="004100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1.9</w:t>
            </w:r>
          </w:p>
        </w:tc>
        <w:tc>
          <w:tcPr>
            <w:tcW w:w="486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Liaison and communication issues with authorised persons, authorities, clients and land owners are resolved and activities coordinated to carry out work</w:t>
            </w:r>
          </w:p>
        </w:tc>
      </w:tr>
      <w:tr w:rsidTr="004100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1.10</w:t>
            </w:r>
          </w:p>
        </w:tc>
        <w:tc>
          <w:tcPr>
            <w:tcW w:w="486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Persons participating in the work are fully briefed and respective responsibilities coordinated</w:t>
            </w:r>
            <w:r w:rsidRPr="00D66C9F">
              <w:t xml:space="preserve"> and authorised where applicable in accordance with establish procedures</w:t>
            </w:r>
          </w:p>
        </w:tc>
      </w:tr>
      <w:tr w:rsidTr="004100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1.11</w:t>
            </w:r>
          </w:p>
        </w:tc>
        <w:tc>
          <w:tcPr>
            <w:tcW w:w="486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Status of the system is sought through communication with pipeline control centre in accordance with established procedures</w:t>
            </w:r>
          </w:p>
        </w:tc>
      </w:tr>
      <w:tr w:rsidTr="004100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2</w:t>
            </w:r>
          </w:p>
        </w:tc>
        <w:tc>
          <w:tcPr>
            <w:tcW w:w="2296"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Carry out liaison with third party and the commu</w:t>
            </w:r>
            <w:r w:rsidRPr="00D66C9F">
              <w:t>nity to maintain pipeline integrity and community safety</w:t>
            </w:r>
          </w:p>
        </w:tc>
        <w:tc>
          <w:tcPr>
            <w:tcW w:w="90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2.1</w:t>
            </w:r>
          </w:p>
        </w:tc>
        <w:tc>
          <w:tcPr>
            <w:tcW w:w="486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OHS policies and procedures and safe work practices are followed to eliminate or minimise incidents and hazards</w:t>
            </w:r>
          </w:p>
        </w:tc>
      </w:tr>
      <w:tr w:rsidTr="004100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2.2</w:t>
            </w:r>
          </w:p>
        </w:tc>
        <w:tc>
          <w:tcPr>
            <w:tcW w:w="486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Analysis of information to identify key issues is undertaken as required and information is evaluated for relevance and validity to the requirements</w:t>
            </w:r>
          </w:p>
        </w:tc>
      </w:tr>
      <w:tr w:rsidTr="004100A2">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2.3</w:t>
            </w:r>
          </w:p>
        </w:tc>
        <w:tc>
          <w:tcPr>
            <w:tcW w:w="486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 xml:space="preserve">First Aid and other related work procedures are performed according to requirements and established </w:t>
            </w:r>
            <w:r w:rsidRPr="00D66C9F">
              <w:t xml:space="preserve">procedures </w:t>
            </w:r>
          </w:p>
        </w:tc>
      </w:tr>
      <w:tr w:rsidTr="004100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2.4</w:t>
            </w:r>
          </w:p>
        </w:tc>
        <w:tc>
          <w:tcPr>
            <w:tcW w:w="486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 xml:space="preserve">Lifting, climbing, working in confined spaces and aloft, use of power tools, techniques and practices are safely exercised according to requirements </w:t>
            </w:r>
          </w:p>
        </w:tc>
      </w:tr>
      <w:tr w:rsidTr="004100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2.5</w:t>
            </w:r>
          </w:p>
        </w:tc>
        <w:tc>
          <w:tcPr>
            <w:tcW w:w="486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Equipment faults are identified through inspection and testing of operational equipment in accordance with a work schedule and to requirements</w:t>
            </w:r>
          </w:p>
        </w:tc>
      </w:tr>
      <w:tr w:rsidTr="004100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2.6</w:t>
            </w:r>
          </w:p>
        </w:tc>
        <w:tc>
          <w:tcPr>
            <w:tcW w:w="486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Hazard warnings and safety signs are recognised and hazards and assessed OHS risks are reported to the imm</w:t>
            </w:r>
            <w:r w:rsidRPr="00D66C9F">
              <w:t>ediate authorised persons for directions according to established procedures</w:t>
            </w:r>
          </w:p>
        </w:tc>
      </w:tr>
      <w:tr w:rsidTr="004100A2">
        <w:tblPrEx>
          <w:tblW w:w="0" w:type="auto"/>
          <w:tblLayout w:type="fixed"/>
          <w:tblCellMar>
            <w:left w:w="62" w:type="dxa"/>
            <w:right w:w="62" w:type="dxa"/>
          </w:tblCellMar>
          <w:tblLook w:val="0000"/>
        </w:tblPrEx>
        <w:trPr>
          <w:trHeight w:val="989"/>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2.7</w:t>
            </w:r>
          </w:p>
        </w:tc>
        <w:tc>
          <w:tcPr>
            <w:tcW w:w="486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Essential Knowledge and Associated Skills are applied to ensure completion in an agreed timeframe and to quality standards with a minimum of waste according to requirements</w:t>
            </w:r>
          </w:p>
        </w:tc>
      </w:tr>
      <w:tr w:rsidTr="004100A2">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2.8</w:t>
            </w:r>
          </w:p>
        </w:tc>
        <w:tc>
          <w:tcPr>
            <w:tcW w:w="486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Solutions to non-routine problems are identified and actioned using Essential Knowledge and Associated Skills according to requirements</w:t>
            </w:r>
          </w:p>
        </w:tc>
      </w:tr>
      <w:tr w:rsidTr="004100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2.9</w:t>
            </w:r>
          </w:p>
        </w:tc>
        <w:tc>
          <w:tcPr>
            <w:tcW w:w="486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 xml:space="preserve">Ongoing checks of quality of the work are undertaken in accordance with requirements and established procedures to ensure a quality outcome is achieved for the client to a community and industry standard </w:t>
            </w:r>
          </w:p>
        </w:tc>
      </w:tr>
      <w:tr w:rsidTr="004100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3</w:t>
            </w:r>
          </w:p>
        </w:tc>
        <w:tc>
          <w:tcPr>
            <w:tcW w:w="2296"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Complete the liaison with third party and the community to maintain pipeline integrity and community safety</w:t>
            </w:r>
          </w:p>
        </w:tc>
        <w:tc>
          <w:tcPr>
            <w:tcW w:w="90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3.1</w:t>
            </w:r>
          </w:p>
        </w:tc>
        <w:tc>
          <w:tcPr>
            <w:tcW w:w="486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Work undertaken is checked against works schedule for conformance with requirements, anomalies are reported and solutions identified in accordan</w:t>
            </w:r>
            <w:r w:rsidRPr="00D66C9F">
              <w:t>ce with established procedures</w:t>
            </w:r>
          </w:p>
        </w:tc>
      </w:tr>
      <w:tr w:rsidTr="004100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3.2</w:t>
            </w:r>
          </w:p>
        </w:tc>
        <w:tc>
          <w:tcPr>
            <w:tcW w:w="486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 xml:space="preserve">Accidents and injuries are reported and followed up in accordance with requirements and established procedures </w:t>
            </w:r>
          </w:p>
        </w:tc>
      </w:tr>
      <w:tr w:rsidTr="004100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3.3</w:t>
            </w:r>
          </w:p>
        </w:tc>
        <w:tc>
          <w:tcPr>
            <w:tcW w:w="486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Tools, equipment and any surplus resources and materials are where appropriate, cleaned, checked an</w:t>
            </w:r>
            <w:r w:rsidRPr="00D66C9F">
              <w:t xml:space="preserve">d returned to storage in accordance with established procedures </w:t>
            </w:r>
          </w:p>
        </w:tc>
      </w:tr>
      <w:tr w:rsidTr="004100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3.4</w:t>
            </w:r>
          </w:p>
        </w:tc>
        <w:tc>
          <w:tcPr>
            <w:tcW w:w="486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Relevant work permit(s) are signed off accordance with requirements</w:t>
            </w:r>
          </w:p>
        </w:tc>
      </w:tr>
      <w:tr w:rsidTr="004100A2">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3.5</w:t>
            </w:r>
          </w:p>
        </w:tc>
        <w:tc>
          <w:tcPr>
            <w:tcW w:w="4860" w:type="dxa"/>
            <w:tcBorders>
              <w:top w:val="nil"/>
              <w:left w:val="nil"/>
              <w:bottom w:val="nil"/>
              <w:right w:val="nil"/>
            </w:tcBorders>
            <w:tcMar>
              <w:top w:w="0" w:type="dxa"/>
              <w:left w:w="62" w:type="dxa"/>
              <w:bottom w:w="0" w:type="dxa"/>
              <w:right w:w="62" w:type="dxa"/>
            </w:tcMar>
          </w:tcPr>
          <w:p w:rsidR="00000000" w:rsidRPr="00D66C9F" w:rsidP="00D66C9F">
            <w:pPr>
              <w:pStyle w:val="BodyText"/>
            </w:pPr>
            <w:r w:rsidRPr="00D66C9F">
              <w:t>Work completion records, reports as instal</w:t>
            </w:r>
            <w:r w:rsidRPr="00D66C9F">
              <w:t xml:space="preserve">led/modified drawing(s) and documentation and information is confirmed, processed and the appropriate persons notified </w:t>
            </w:r>
          </w:p>
        </w:tc>
      </w:tr>
    </w:tbl>
    <w:p w:rsidR="00000000" w:rsidRPr="00D66C9F" w:rsidP="00D66C9F">
      <w:pPr>
        <w:pStyle w:val="BodyText"/>
      </w:pPr>
    </w:p>
    <w:p w:rsidR="00000000" w:rsidRPr="00D66C9F" w:rsidP="00D66C9F">
      <w:pPr>
        <w:pStyle w:val="AllowPageBreak"/>
      </w:pPr>
    </w:p>
    <w:p w:rsidR="00000000" w:rsidRPr="00D66C9F" w:rsidP="00D66C9F">
      <w:pPr>
        <w:pStyle w:val="Heading1"/>
      </w:pPr>
      <w:bookmarkStart w:id="9" w:name="O_402395"/>
      <w:bookmarkEnd w:id="9"/>
      <w:r w:rsidRPr="00D66C9F">
        <w:t>Required Skills and Knowledge</w:t>
      </w:r>
    </w:p>
    <w:tbl>
      <w:tblPr>
        <w:tblW w:w="0" w:type="auto"/>
        <w:tblLayout w:type="fixed"/>
        <w:tblCellMar>
          <w:left w:w="62" w:type="dxa"/>
          <w:right w:w="62" w:type="dxa"/>
        </w:tblCellMar>
        <w:tblLook w:val="0000"/>
      </w:tblPr>
      <w:tblGrid>
        <w:gridCol w:w="8460"/>
      </w:tblGrid>
      <w:tr w:rsidTr="004100A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rPr>
                <w:rStyle w:val="SpecialBold"/>
              </w:rPr>
              <w:t>REQUIRED SKILLS AND KNOWLEDGE</w:t>
            </w:r>
          </w:p>
        </w:tc>
      </w:tr>
      <w:tr w:rsidTr="004100A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rPr>
                <w:rStyle w:val="SpecialBold"/>
              </w:rPr>
              <w:t>8)</w:t>
            </w:r>
            <w:r w:rsidRPr="00D66C9F">
              <w:t xml:space="preserve"> This describes the essential skills and knowledge and</w:t>
            </w:r>
            <w:r w:rsidRPr="00D66C9F">
              <w:t xml:space="preserve"> their level, required for this unit.</w:t>
            </w:r>
          </w:p>
        </w:tc>
      </w:tr>
      <w:tr w:rsidTr="004100A2">
        <w:tblPrEx>
          <w:tblW w:w="0" w:type="auto"/>
          <w:tblLayout w:type="fixed"/>
          <w:tblCellMar>
            <w:left w:w="62" w:type="dxa"/>
            <w:right w:w="62" w:type="dxa"/>
          </w:tblCellMar>
          <w:tblLook w:val="0000"/>
        </w:tblPrEx>
        <w:trPr>
          <w:trHeight w:val="602"/>
        </w:trPr>
        <w:tc>
          <w:tcPr>
            <w:tcW w:w="846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Evidence shall show that knowledge has been acquired of safe working practices for liaising with third party and the community to maintain pipeline integrity and community safety.</w:t>
            </w:r>
          </w:p>
        </w:tc>
      </w:tr>
      <w:tr w:rsidTr="004100A2">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D66C9F" w:rsidP="00D66C9F">
            <w:pPr>
              <w:pStyle w:val="BodyText"/>
            </w:pPr>
            <w:r w:rsidRPr="00D66C9F">
              <w:t>All knowledge and skills detailed in this unit should be contextualised to current industry practices and technologies.</w:t>
            </w:r>
          </w:p>
        </w:tc>
      </w:tr>
    </w:tbl>
    <w:p w:rsidR="00000000" w:rsidRPr="00D66C9F" w:rsidP="00D66C9F">
      <w:pPr>
        <w:pStyle w:val="BodyText"/>
      </w:pPr>
    </w:p>
    <w:tbl>
      <w:tblPr>
        <w:tblW w:w="0" w:type="auto"/>
        <w:tblLayout w:type="fixed"/>
        <w:tblCellMar>
          <w:left w:w="62" w:type="dxa"/>
          <w:right w:w="62" w:type="dxa"/>
        </w:tblCellMar>
        <w:tblLook w:val="0000"/>
      </w:tblPr>
      <w:tblGrid>
        <w:gridCol w:w="1440"/>
        <w:gridCol w:w="990"/>
        <w:gridCol w:w="6030"/>
      </w:tblGrid>
      <w:tr w:rsidTr="004100A2">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D66C9F" w:rsidP="00D66C9F">
            <w:pPr>
              <w:pStyle w:val="BodyText"/>
            </w:pPr>
            <w:r w:rsidRPr="00D66C9F">
              <w:rPr>
                <w:rStyle w:val="SpecialBold"/>
              </w:rPr>
              <w:t>KS01-G314B</w:t>
            </w:r>
          </w:p>
        </w:tc>
        <w:tc>
          <w:tcPr>
            <w:tcW w:w="7020" w:type="dxa"/>
            <w:gridSpan w:val="2"/>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rPr>
                <w:rStyle w:val="SpecialBold"/>
              </w:rPr>
              <w:t>Transmission pipeline integrity and safety</w:t>
            </w:r>
          </w:p>
        </w:tc>
      </w:tr>
      <w:tr w:rsidTr="004100A2">
        <w:tblPrEx>
          <w:tblW w:w="0" w:type="auto"/>
          <w:tblLayout w:type="fixed"/>
          <w:tblCellMar>
            <w:left w:w="62" w:type="dxa"/>
            <w:right w:w="62" w:type="dxa"/>
          </w:tblCellMar>
          <w:tblLook w:val="0000"/>
        </w:tblPrEx>
        <w:trPr>
          <w:trHeight w:val="348"/>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G 3.1.2</w:t>
            </w:r>
          </w:p>
        </w:tc>
        <w:tc>
          <w:tcPr>
            <w:tcW w:w="6030" w:type="dxa"/>
            <w:tcBorders>
              <w:top w:val="nil"/>
              <w:left w:val="nil"/>
              <w:bottom w:val="nil"/>
              <w:right w:val="nil"/>
            </w:tcBorders>
            <w:tcMar>
              <w:top w:w="0" w:type="dxa"/>
              <w:left w:w="62" w:type="dxa"/>
              <w:bottom w:w="0" w:type="dxa"/>
              <w:right w:w="62" w:type="dxa"/>
            </w:tcMar>
          </w:tcPr>
          <w:p w:rsidR="00000000" w:rsidRPr="00D66C9F" w:rsidP="00D66C9F">
            <w:pPr>
              <w:pStyle w:val="BodyText"/>
            </w:pPr>
            <w:r w:rsidRPr="00D66C9F">
              <w:t>Work independently in a Gas Industry environment</w:t>
            </w:r>
          </w:p>
          <w:p w:rsidR="00000000" w:rsidRPr="00D66C9F" w:rsidP="00D66C9F">
            <w:pPr>
              <w:pStyle w:val="BodyText"/>
            </w:pPr>
            <w:r w:rsidRPr="00D66C9F">
              <w:t>Evidence shall</w:t>
            </w:r>
            <w:r w:rsidRPr="00D66C9F">
              <w:t xml:space="preserve"> show an understanding of working independently in a Gas Industry environment, indicated by the following:</w:t>
            </w:r>
          </w:p>
          <w:p w:rsidR="00000000" w:rsidP="00D66C9F">
            <w:pPr>
              <w:pStyle w:val="ListBullet"/>
              <w:rPr>
                <w:lang w:val="en-NZ"/>
              </w:rPr>
            </w:pPr>
            <w:r w:rsidRPr="00D66C9F">
              <w:t>understanding of how to work autonomously or under limited/remote supervision.</w:t>
            </w:r>
          </w:p>
        </w:tc>
      </w:tr>
      <w:tr w:rsidTr="004100A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G 4.1.2</w:t>
            </w:r>
          </w:p>
        </w:tc>
        <w:tc>
          <w:tcPr>
            <w:tcW w:w="6030" w:type="dxa"/>
            <w:tcBorders>
              <w:top w:val="nil"/>
              <w:left w:val="nil"/>
              <w:bottom w:val="nil"/>
              <w:right w:val="nil"/>
            </w:tcBorders>
            <w:tcMar>
              <w:top w:w="0" w:type="dxa"/>
              <w:left w:w="62" w:type="dxa"/>
              <w:bottom w:w="0" w:type="dxa"/>
              <w:right w:w="62" w:type="dxa"/>
            </w:tcMar>
          </w:tcPr>
          <w:p w:rsidR="00000000" w:rsidRPr="00D66C9F" w:rsidP="00D66C9F">
            <w:pPr>
              <w:pStyle w:val="BodyText"/>
            </w:pPr>
            <w:r w:rsidRPr="00D66C9F">
              <w:t>Understand the effective operation of Gas Industry plant, eq</w:t>
            </w:r>
            <w:r w:rsidRPr="00D66C9F">
              <w:t>uipment and materials</w:t>
            </w:r>
          </w:p>
          <w:p w:rsidR="00000000" w:rsidRPr="00D66C9F" w:rsidP="00D66C9F">
            <w:pPr>
              <w:pStyle w:val="BodyText"/>
            </w:pPr>
            <w:r w:rsidRPr="00D66C9F">
              <w:t>Evidence shall show an understanding of the effective operation of Gas Industry plant, equipment and materials, indicated by the following:</w:t>
            </w:r>
          </w:p>
          <w:p w:rsidR="00000000" w:rsidRPr="00D66C9F" w:rsidP="00D66C9F">
            <w:pPr>
              <w:pStyle w:val="ListBullet"/>
            </w:pPr>
            <w:r w:rsidRPr="00D66C9F">
              <w:t>understand and apply of relevant industry engineering terminology and units</w:t>
            </w:r>
          </w:p>
          <w:p w:rsidR="00000000" w:rsidRPr="00D66C9F" w:rsidP="00D66C9F">
            <w:pPr>
              <w:pStyle w:val="ListBullet"/>
            </w:pPr>
            <w:r w:rsidRPr="00D66C9F">
              <w:t>understanding of p</w:t>
            </w:r>
            <w:r w:rsidRPr="00D66C9F">
              <w:t>ipeline system operating parameters</w:t>
            </w:r>
          </w:p>
          <w:p w:rsidR="00000000" w:rsidRPr="00D66C9F" w:rsidP="00D66C9F">
            <w:pPr>
              <w:pStyle w:val="ListBullet"/>
            </w:pPr>
            <w:r w:rsidRPr="00D66C9F">
              <w:t>demonstrate operational knowledge of systems such as pumps, compressors, regulation, shutdown equipment, measurement systems by on-site or remote operation as applicable.</w:t>
            </w:r>
          </w:p>
          <w:p w:rsidR="00000000" w:rsidRPr="00D66C9F" w:rsidP="00D66C9F">
            <w:pPr>
              <w:pStyle w:val="ListBullet"/>
            </w:pPr>
            <w:r w:rsidRPr="00D66C9F">
              <w:t>understanding of relevant inspection and testing procedures for applicable plant and equipment</w:t>
            </w:r>
          </w:p>
          <w:p w:rsidR="00000000" w:rsidRPr="00D66C9F" w:rsidP="00D66C9F">
            <w:pPr>
              <w:pStyle w:val="ListBullet"/>
            </w:pPr>
            <w:r w:rsidRPr="00D66C9F">
              <w:t>understanding the process of commissioning and decommissioning of relevant equipment such as pipework, vessels and compressors, including on-site and remote oper</w:t>
            </w:r>
            <w:r w:rsidRPr="00D66C9F">
              <w:t>ation as applicable.</w:t>
            </w:r>
          </w:p>
          <w:p w:rsidR="00000000" w:rsidRPr="00D66C9F" w:rsidP="00D66C9F">
            <w:pPr>
              <w:pStyle w:val="ListBullet"/>
            </w:pPr>
            <w:r w:rsidRPr="00D66C9F">
              <w:t>Understanding the characteristics of gas flows including compressed and non-compressed operations</w:t>
            </w:r>
          </w:p>
          <w:p w:rsidR="00000000" w:rsidRPr="00D66C9F" w:rsidP="00D66C9F">
            <w:pPr>
              <w:pStyle w:val="ListBullet"/>
            </w:pPr>
            <w:r w:rsidRPr="00D66C9F">
              <w:t>Understanding the characteristics, operation, capabilities and limitations of applicable tools and equipment including prime movers, comp</w:t>
            </w:r>
            <w:r w:rsidRPr="00D66C9F">
              <w:t>ression and control systems, pipeline facilities and associated equipment</w:t>
            </w:r>
          </w:p>
          <w:p w:rsidR="00000000" w:rsidP="00D66C9F">
            <w:pPr>
              <w:pStyle w:val="ListBullet"/>
              <w:rPr>
                <w:lang w:val="en-NZ"/>
              </w:rPr>
            </w:pPr>
            <w:r w:rsidRPr="00D66C9F">
              <w:t>understanding the operation of gas analysis and measuring equipment</w:t>
            </w:r>
          </w:p>
        </w:tc>
      </w:tr>
      <w:tr w:rsidTr="004100A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G 4.1.3</w:t>
            </w:r>
          </w:p>
        </w:tc>
        <w:tc>
          <w:tcPr>
            <w:tcW w:w="6030" w:type="dxa"/>
            <w:tcBorders>
              <w:top w:val="nil"/>
              <w:left w:val="nil"/>
              <w:bottom w:val="nil"/>
              <w:right w:val="nil"/>
            </w:tcBorders>
            <w:tcMar>
              <w:top w:w="0" w:type="dxa"/>
              <w:left w:w="62" w:type="dxa"/>
              <w:bottom w:w="0" w:type="dxa"/>
              <w:right w:w="62" w:type="dxa"/>
            </w:tcMar>
          </w:tcPr>
          <w:p w:rsidR="00000000" w:rsidRPr="00D66C9F" w:rsidP="00D66C9F">
            <w:pPr>
              <w:pStyle w:val="BodyText"/>
            </w:pPr>
            <w:r w:rsidRPr="00D66C9F">
              <w:t>Communicate effectively in the Gas Industry at a supervisory level</w:t>
            </w:r>
          </w:p>
          <w:p w:rsidR="00000000" w:rsidRPr="00D66C9F" w:rsidP="00D66C9F">
            <w:pPr>
              <w:pStyle w:val="BodyText"/>
            </w:pPr>
            <w:r w:rsidRPr="00D66C9F">
              <w:t xml:space="preserve">Evidence shall show an understanding </w:t>
            </w:r>
            <w:r w:rsidRPr="00D66C9F">
              <w:t>of communication techniques required in supervisory roles in the Gas Industry, indicated by the following:</w:t>
            </w:r>
          </w:p>
          <w:p w:rsidR="00000000" w:rsidRPr="00D66C9F" w:rsidP="00D66C9F">
            <w:pPr>
              <w:pStyle w:val="ListBullet"/>
            </w:pPr>
            <w:r w:rsidRPr="00D66C9F">
              <w:t>communicate effectively with a variety of Gas Industry stakeholders, using strategies for dealing with difficult situations. The communication  inclu</w:t>
            </w:r>
            <w:r w:rsidRPr="00D66C9F">
              <w:t>des oral, written or electronic communications, : with various stakeholders including:</w:t>
            </w:r>
          </w:p>
          <w:p w:rsidR="00000000" w:rsidRPr="00D66C9F" w:rsidP="00D66C9F">
            <w:pPr>
              <w:pStyle w:val="ListBullet2"/>
            </w:pPr>
            <w:r w:rsidRPr="00D66C9F">
              <w:t>workplace colleagues</w:t>
            </w:r>
          </w:p>
          <w:p w:rsidR="00000000" w:rsidRPr="00D66C9F" w:rsidP="00D66C9F">
            <w:pPr>
              <w:pStyle w:val="ListBullet2"/>
            </w:pPr>
            <w:r w:rsidRPr="00D66C9F">
              <w:t>workplace managers</w:t>
            </w:r>
          </w:p>
          <w:p w:rsidR="00000000" w:rsidRPr="00D66C9F" w:rsidP="00D66C9F">
            <w:pPr>
              <w:pStyle w:val="ListBullet2"/>
            </w:pPr>
            <w:r w:rsidRPr="00D66C9F">
              <w:t>relevant customers and suppliers</w:t>
            </w:r>
          </w:p>
          <w:p w:rsidR="00000000" w:rsidRPr="00D66C9F" w:rsidP="00D66C9F">
            <w:pPr>
              <w:pStyle w:val="ListBullet2"/>
            </w:pPr>
            <w:r w:rsidRPr="00D66C9F">
              <w:t>regulatory bodies</w:t>
            </w:r>
          </w:p>
          <w:p w:rsidR="00000000" w:rsidRPr="00D66C9F" w:rsidP="00D66C9F">
            <w:pPr>
              <w:pStyle w:val="ListBullet2"/>
            </w:pPr>
            <w:r w:rsidRPr="00D66C9F">
              <w:t>property/land owners (including traditional land owners) and tenants</w:t>
            </w:r>
          </w:p>
          <w:p w:rsidR="00000000" w:rsidP="00D66C9F">
            <w:pPr>
              <w:pStyle w:val="ListBullet2"/>
              <w:rPr>
                <w:lang w:val="en-NZ"/>
              </w:rPr>
            </w:pPr>
            <w:r w:rsidRPr="00D66C9F">
              <w:t>emergency response organisations</w:t>
            </w:r>
          </w:p>
        </w:tc>
      </w:tr>
      <w:tr w:rsidTr="004100A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G 4.1.4</w:t>
            </w:r>
          </w:p>
        </w:tc>
        <w:tc>
          <w:tcPr>
            <w:tcW w:w="6030" w:type="dxa"/>
            <w:tcBorders>
              <w:top w:val="nil"/>
              <w:left w:val="nil"/>
              <w:bottom w:val="nil"/>
              <w:right w:val="nil"/>
            </w:tcBorders>
            <w:tcMar>
              <w:top w:w="0" w:type="dxa"/>
              <w:left w:w="62" w:type="dxa"/>
              <w:bottom w:w="0" w:type="dxa"/>
              <w:right w:w="62" w:type="dxa"/>
            </w:tcMar>
          </w:tcPr>
          <w:p w:rsidR="00000000" w:rsidRPr="00D66C9F" w:rsidP="00D66C9F">
            <w:pPr>
              <w:pStyle w:val="BodyText"/>
            </w:pPr>
            <w:r w:rsidRPr="00D66C9F">
              <w:t>Understand Gas Industry products, processes and characteristics</w:t>
            </w:r>
          </w:p>
          <w:p w:rsidR="00000000" w:rsidRPr="00D66C9F" w:rsidP="00D66C9F">
            <w:pPr>
              <w:pStyle w:val="BodyText"/>
            </w:pPr>
            <w:r w:rsidRPr="00D66C9F">
              <w:t>Evidence shall show a comprehensive understanding of Gas Industry products and characteristics, indicated by the following:</w:t>
            </w:r>
          </w:p>
          <w:p w:rsidR="00000000" w:rsidRPr="00D66C9F" w:rsidP="00D66C9F">
            <w:pPr>
              <w:pStyle w:val="ListBullet"/>
            </w:pPr>
            <w:r w:rsidRPr="00D66C9F">
              <w:t>understand the Gas Indust</w:t>
            </w:r>
            <w:r w:rsidRPr="00D66C9F">
              <w:t>ry products and the characteristics and tolerances of the product including:</w:t>
            </w:r>
          </w:p>
          <w:p w:rsidR="00000000" w:rsidRPr="00D66C9F" w:rsidP="00D66C9F">
            <w:pPr>
              <w:pStyle w:val="ListBullet2"/>
            </w:pPr>
            <w:r w:rsidRPr="00D66C9F">
              <w:t>principles of applicable gas laws</w:t>
            </w:r>
          </w:p>
          <w:p w:rsidR="00000000" w:rsidRPr="00D66C9F" w:rsidP="00D66C9F">
            <w:pPr>
              <w:pStyle w:val="ListBullet3"/>
            </w:pPr>
            <w:r w:rsidRPr="00D66C9F">
              <w:t>gas pressure</w:t>
            </w:r>
          </w:p>
          <w:p w:rsidR="00000000" w:rsidRPr="00D66C9F" w:rsidP="00D66C9F">
            <w:pPr>
              <w:pStyle w:val="ListBullet3"/>
            </w:pPr>
            <w:r w:rsidRPr="00D66C9F">
              <w:t>gas temperature</w:t>
            </w:r>
          </w:p>
          <w:p w:rsidR="00000000" w:rsidRPr="00D66C9F" w:rsidP="00D66C9F">
            <w:pPr>
              <w:pStyle w:val="ListBullet3"/>
            </w:pPr>
            <w:r w:rsidRPr="00D66C9F">
              <w:t>compressibility</w:t>
            </w:r>
          </w:p>
          <w:p w:rsidR="00000000" w:rsidRPr="00D66C9F" w:rsidP="00D66C9F">
            <w:pPr>
              <w:pStyle w:val="ListBullet2"/>
            </w:pPr>
            <w:r w:rsidRPr="00D66C9F">
              <w:t xml:space="preserve">relative density – specific gravity </w:t>
            </w:r>
          </w:p>
          <w:p w:rsidR="00000000" w:rsidRPr="00D66C9F" w:rsidP="00D66C9F">
            <w:pPr>
              <w:pStyle w:val="ListBullet2"/>
            </w:pPr>
            <w:r w:rsidRPr="00D66C9F">
              <w:t>hydrocarbon and water dew points</w:t>
            </w:r>
          </w:p>
          <w:p w:rsidR="00000000" w:rsidRPr="00D66C9F" w:rsidP="00D66C9F">
            <w:pPr>
              <w:pStyle w:val="ListBullet2"/>
            </w:pPr>
            <w:r w:rsidRPr="00D66C9F">
              <w:t>components of applicable natural gases including LPG</w:t>
            </w:r>
          </w:p>
          <w:p w:rsidR="00000000" w:rsidRPr="00D66C9F" w:rsidP="00D66C9F">
            <w:pPr>
              <w:pStyle w:val="ListBullet2"/>
            </w:pPr>
            <w:r w:rsidRPr="00D66C9F">
              <w:t>standard gas conditions</w:t>
            </w:r>
          </w:p>
          <w:p w:rsidR="00000000" w:rsidRPr="00D66C9F" w:rsidP="00D66C9F">
            <w:pPr>
              <w:pStyle w:val="ListBullet2"/>
            </w:pPr>
            <w:r w:rsidRPr="00D66C9F">
              <w:t>combustion</w:t>
            </w:r>
          </w:p>
          <w:p w:rsidR="00000000" w:rsidRPr="00D66C9F" w:rsidP="00D66C9F">
            <w:pPr>
              <w:pStyle w:val="ListBullet2"/>
            </w:pPr>
            <w:r w:rsidRPr="00D66C9F">
              <w:t>venting and purging principles</w:t>
            </w:r>
          </w:p>
          <w:p w:rsidR="00000000" w:rsidP="00D66C9F">
            <w:pPr>
              <w:pStyle w:val="ListBullet2"/>
              <w:rPr>
                <w:lang w:val="en-NZ"/>
              </w:rPr>
            </w:pPr>
            <w:r w:rsidRPr="00D66C9F">
              <w:t>Effects of temperature and pressure on infrastructure</w:t>
            </w:r>
          </w:p>
        </w:tc>
      </w:tr>
      <w:tr w:rsidTr="004100A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G 4.1.5</w:t>
            </w:r>
          </w:p>
        </w:tc>
        <w:tc>
          <w:tcPr>
            <w:tcW w:w="6030" w:type="dxa"/>
            <w:tcBorders>
              <w:top w:val="nil"/>
              <w:left w:val="nil"/>
              <w:bottom w:val="nil"/>
              <w:right w:val="nil"/>
            </w:tcBorders>
            <w:tcMar>
              <w:top w:w="0" w:type="dxa"/>
              <w:left w:w="62" w:type="dxa"/>
              <w:bottom w:w="0" w:type="dxa"/>
              <w:right w:w="62" w:type="dxa"/>
            </w:tcMar>
          </w:tcPr>
          <w:p w:rsidR="00000000" w:rsidRPr="00D66C9F" w:rsidP="00D66C9F">
            <w:pPr>
              <w:pStyle w:val="BodyText"/>
            </w:pPr>
            <w:r w:rsidRPr="00D66C9F">
              <w:t>Interpret Gas Industry drawings</w:t>
            </w:r>
          </w:p>
          <w:p w:rsidR="00000000" w:rsidRPr="00D66C9F" w:rsidP="00D66C9F">
            <w:pPr>
              <w:pStyle w:val="BodyText"/>
            </w:pPr>
            <w:r w:rsidRPr="00D66C9F">
              <w:t>Evidence shall show an ability to interpret and understand Gas Industry technical drawings, indicated by the following:</w:t>
            </w:r>
          </w:p>
          <w:p w:rsidR="00000000" w:rsidRPr="00D66C9F" w:rsidP="00D66C9F">
            <w:pPr>
              <w:pStyle w:val="ListBullet"/>
            </w:pPr>
            <w:r w:rsidRPr="00D66C9F">
              <w:t>understanding and interpreting relevant technical drawings including, but not limited to:</w:t>
            </w:r>
          </w:p>
          <w:p w:rsidR="00000000" w:rsidRPr="00D66C9F" w:rsidP="00D66C9F">
            <w:pPr>
              <w:pStyle w:val="ListBullet2"/>
            </w:pPr>
            <w:r w:rsidRPr="00D66C9F">
              <w:t>Process and Instrumentation Diagrams (PID)</w:t>
            </w:r>
          </w:p>
          <w:p w:rsidR="00000000" w:rsidRPr="00D66C9F" w:rsidP="00D66C9F">
            <w:pPr>
              <w:pStyle w:val="ListBullet2"/>
            </w:pPr>
            <w:r w:rsidRPr="00D66C9F">
              <w:t>Fa</w:t>
            </w:r>
            <w:r w:rsidRPr="00D66C9F">
              <w:t>cility and pipeline construction and as-built drawings</w:t>
            </w:r>
          </w:p>
          <w:p w:rsidR="00000000" w:rsidRPr="00D66C9F" w:rsidP="00D66C9F">
            <w:pPr>
              <w:pStyle w:val="ListBullet2"/>
            </w:pPr>
            <w:r w:rsidRPr="00D66C9F">
              <w:t>Geographical Information System (GIS) drawings and data</w:t>
            </w:r>
          </w:p>
          <w:p w:rsidR="00000000" w:rsidRPr="00D66C9F" w:rsidP="00D66C9F">
            <w:pPr>
              <w:pStyle w:val="ListBullet2"/>
            </w:pPr>
            <w:r w:rsidRPr="00D66C9F">
              <w:t>Electrical drawings</w:t>
            </w:r>
          </w:p>
          <w:p w:rsidR="00000000" w:rsidRPr="00D66C9F" w:rsidP="00D66C9F">
            <w:pPr>
              <w:pStyle w:val="ListBullet2"/>
            </w:pPr>
            <w:r w:rsidRPr="00D66C9F">
              <w:t>Survey maps</w:t>
            </w:r>
          </w:p>
          <w:p w:rsidR="00000000" w:rsidP="00D66C9F">
            <w:pPr>
              <w:pStyle w:val="ListBullet2"/>
              <w:rPr>
                <w:lang w:val="en-NZ"/>
              </w:rPr>
            </w:pPr>
            <w:r w:rsidRPr="00D66C9F">
              <w:t xml:space="preserve">Pipeline route maps and alignment sheets </w:t>
            </w:r>
          </w:p>
        </w:tc>
      </w:tr>
      <w:tr w:rsidTr="004100A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G 4.1.6</w:t>
            </w:r>
          </w:p>
        </w:tc>
        <w:tc>
          <w:tcPr>
            <w:tcW w:w="6030" w:type="dxa"/>
            <w:tcBorders>
              <w:top w:val="nil"/>
              <w:left w:val="nil"/>
              <w:bottom w:val="nil"/>
              <w:right w:val="nil"/>
            </w:tcBorders>
            <w:tcMar>
              <w:top w:w="0" w:type="dxa"/>
              <w:left w:w="62" w:type="dxa"/>
              <w:bottom w:w="0" w:type="dxa"/>
              <w:right w:w="62" w:type="dxa"/>
            </w:tcMar>
          </w:tcPr>
          <w:p w:rsidR="00000000" w:rsidRPr="00D66C9F" w:rsidP="00D66C9F">
            <w:pPr>
              <w:pStyle w:val="BodyText"/>
            </w:pPr>
            <w:r w:rsidRPr="00D66C9F">
              <w:t>Understand OHS and First Aid requirements for Gas Industry supervisors</w:t>
            </w:r>
          </w:p>
          <w:p w:rsidR="00000000" w:rsidRPr="00D66C9F" w:rsidP="00D66C9F">
            <w:pPr>
              <w:pStyle w:val="BodyText"/>
            </w:pPr>
            <w:r w:rsidRPr="00D66C9F">
              <w:t>Evidence shall show an understanding of OHS and First Aid requirements for gas industry supervisors and autonomous working staff, indicated by the following:</w:t>
            </w:r>
          </w:p>
          <w:p w:rsidR="00000000" w:rsidRPr="00D66C9F" w:rsidP="00D66C9F">
            <w:pPr>
              <w:pStyle w:val="ListBullet"/>
            </w:pPr>
            <w:r w:rsidRPr="00D66C9F">
              <w:t>understanding of applicable</w:t>
            </w:r>
            <w:r w:rsidRPr="00D66C9F">
              <w:t xml:space="preserve"> enterprise Occupational Health and Safety systems and procedures</w:t>
            </w:r>
          </w:p>
          <w:p w:rsidR="00000000" w:rsidP="00D66C9F">
            <w:pPr>
              <w:pStyle w:val="ListBullet"/>
              <w:rPr>
                <w:lang w:val="en-NZ"/>
              </w:rPr>
            </w:pPr>
            <w:r w:rsidRPr="00D66C9F">
              <w:t>understanding of requirements and reasons for providing First Aid equipment and training for employees in the gas industry</w:t>
            </w:r>
          </w:p>
        </w:tc>
      </w:tr>
      <w:tr w:rsidTr="004100A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G 4.1.7</w:t>
            </w:r>
          </w:p>
        </w:tc>
        <w:tc>
          <w:tcPr>
            <w:tcW w:w="6030" w:type="dxa"/>
            <w:tcBorders>
              <w:top w:val="nil"/>
              <w:left w:val="nil"/>
              <w:bottom w:val="nil"/>
              <w:right w:val="nil"/>
            </w:tcBorders>
            <w:tcMar>
              <w:top w:w="0" w:type="dxa"/>
              <w:left w:w="62" w:type="dxa"/>
              <w:bottom w:w="0" w:type="dxa"/>
              <w:right w:w="62" w:type="dxa"/>
            </w:tcMar>
          </w:tcPr>
          <w:p w:rsidR="00000000" w:rsidRPr="00D66C9F" w:rsidP="00D66C9F">
            <w:pPr>
              <w:pStyle w:val="BodyText"/>
            </w:pPr>
            <w:r w:rsidRPr="00D66C9F">
              <w:t>Create Gas Industry reports and documentation</w:t>
            </w:r>
          </w:p>
          <w:p w:rsidR="00000000" w:rsidRPr="00D66C9F" w:rsidP="00D66C9F">
            <w:pPr>
              <w:pStyle w:val="BodyText"/>
            </w:pPr>
            <w:r w:rsidRPr="00D66C9F">
              <w:t>Evidence shall show an understanding and application of completing and interpreting enterprise-specific supervisory level Gas Industry reports including ,but not limited to:</w:t>
            </w:r>
          </w:p>
          <w:p w:rsidR="00000000" w:rsidRPr="00D66C9F" w:rsidP="00D66C9F">
            <w:pPr>
              <w:pStyle w:val="ListBullet"/>
            </w:pPr>
            <w:r w:rsidRPr="00D66C9F">
              <w:t>periodic operational reports</w:t>
            </w:r>
          </w:p>
          <w:p w:rsidR="00000000" w:rsidRPr="00D66C9F" w:rsidP="00D66C9F">
            <w:pPr>
              <w:pStyle w:val="ListBullet"/>
            </w:pPr>
            <w:r w:rsidRPr="00D66C9F">
              <w:t>budget reports and summaries</w:t>
            </w:r>
          </w:p>
          <w:p w:rsidR="00000000" w:rsidP="00D66C9F">
            <w:pPr>
              <w:pStyle w:val="ListBullet"/>
              <w:rPr>
                <w:lang w:val="en-NZ"/>
              </w:rPr>
            </w:pPr>
            <w:r w:rsidRPr="00D66C9F">
              <w:t>regulatory reporting req</w:t>
            </w:r>
            <w:r w:rsidRPr="00D66C9F">
              <w:t>uirements</w:t>
            </w:r>
          </w:p>
        </w:tc>
      </w:tr>
      <w:tr w:rsidTr="004100A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G 4.1.8</w:t>
            </w:r>
          </w:p>
        </w:tc>
        <w:tc>
          <w:tcPr>
            <w:tcW w:w="6030" w:type="dxa"/>
            <w:tcBorders>
              <w:top w:val="nil"/>
              <w:left w:val="nil"/>
              <w:bottom w:val="nil"/>
              <w:right w:val="nil"/>
            </w:tcBorders>
            <w:tcMar>
              <w:top w:w="0" w:type="dxa"/>
              <w:left w:w="62" w:type="dxa"/>
              <w:bottom w:w="0" w:type="dxa"/>
              <w:right w:w="62" w:type="dxa"/>
            </w:tcMar>
          </w:tcPr>
          <w:p w:rsidR="00000000" w:rsidRPr="00D66C9F" w:rsidP="00D66C9F">
            <w:pPr>
              <w:pStyle w:val="BodyText"/>
            </w:pPr>
            <w:r w:rsidRPr="00D66C9F">
              <w:t>Use a personal computer</w:t>
            </w:r>
          </w:p>
          <w:p w:rsidR="00000000" w:rsidRPr="00D66C9F" w:rsidP="00D66C9F">
            <w:pPr>
              <w:pStyle w:val="BodyText"/>
            </w:pPr>
            <w:r w:rsidRPr="00D66C9F">
              <w:t>Evidence shall demonstrate requirements to use personal computer and undertake fundamental tasks, indicated by the following:</w:t>
            </w:r>
          </w:p>
          <w:p w:rsidR="00000000" w:rsidRPr="00D66C9F" w:rsidP="00D66C9F">
            <w:pPr>
              <w:pStyle w:val="ListBullet"/>
            </w:pPr>
            <w:r w:rsidRPr="00D66C9F">
              <w:t xml:space="preserve">send, answer and manage emails </w:t>
            </w:r>
          </w:p>
          <w:p w:rsidR="00000000" w:rsidRPr="00D66C9F" w:rsidP="00D66C9F">
            <w:pPr>
              <w:pStyle w:val="ListBullet"/>
            </w:pPr>
            <w:r w:rsidRPr="00D66C9F">
              <w:t>access the Internet for research purposes</w:t>
            </w:r>
          </w:p>
          <w:p w:rsidR="00000000" w:rsidRPr="00D66C9F" w:rsidP="00D66C9F">
            <w:pPr>
              <w:pStyle w:val="ListBullet"/>
            </w:pPr>
            <w:r w:rsidRPr="00D66C9F">
              <w:t>write docume</w:t>
            </w:r>
            <w:r w:rsidRPr="00D66C9F">
              <w:t>nts using a word processing program</w:t>
            </w:r>
          </w:p>
          <w:p w:rsidR="00000000" w:rsidRPr="00D66C9F" w:rsidP="00D66C9F">
            <w:pPr>
              <w:pStyle w:val="ListBullet"/>
            </w:pPr>
            <w:r w:rsidRPr="00D66C9F">
              <w:t>develop a basic spreadsheet using a spreadsheet program</w:t>
            </w:r>
          </w:p>
          <w:p w:rsidR="00000000" w:rsidP="00D66C9F">
            <w:pPr>
              <w:pStyle w:val="ListBullet"/>
              <w:rPr>
                <w:lang w:val="en-NZ"/>
              </w:rPr>
            </w:pPr>
            <w:r w:rsidRPr="00D66C9F">
              <w:t>apply formatting including cutting and pasting across a variety of computer applications (eg from excel to word)</w:t>
            </w:r>
          </w:p>
        </w:tc>
      </w:tr>
      <w:tr w:rsidTr="004100A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G 4.1.10</w:t>
            </w:r>
          </w:p>
        </w:tc>
        <w:tc>
          <w:tcPr>
            <w:tcW w:w="6030" w:type="dxa"/>
            <w:tcBorders>
              <w:top w:val="nil"/>
              <w:left w:val="nil"/>
              <w:bottom w:val="nil"/>
              <w:right w:val="nil"/>
            </w:tcBorders>
            <w:tcMar>
              <w:top w:w="0" w:type="dxa"/>
              <w:left w:w="62" w:type="dxa"/>
              <w:bottom w:w="0" w:type="dxa"/>
              <w:right w:w="62" w:type="dxa"/>
            </w:tcMar>
          </w:tcPr>
          <w:p w:rsidR="00000000" w:rsidRPr="00D66C9F" w:rsidP="00D66C9F">
            <w:pPr>
              <w:pStyle w:val="BodyText"/>
            </w:pPr>
            <w:r w:rsidRPr="00D66C9F">
              <w:t>Understanding security breach procedures</w:t>
            </w:r>
          </w:p>
          <w:p w:rsidR="00000000" w:rsidRPr="00D66C9F" w:rsidP="00D66C9F">
            <w:pPr>
              <w:pStyle w:val="BodyText"/>
            </w:pPr>
            <w:r w:rsidRPr="00D66C9F">
              <w:t>Evidence shall show an understanding required to identify security breaches and the required action in dealing with such breaches, indicated by the following as applicable:</w:t>
            </w:r>
          </w:p>
          <w:p w:rsidR="00000000" w:rsidRPr="00D66C9F" w:rsidP="00D66C9F">
            <w:pPr>
              <w:pStyle w:val="ListBullet"/>
            </w:pPr>
            <w:r w:rsidRPr="00D66C9F">
              <w:t xml:space="preserve">identification of different types of security incidents including but not limited </w:t>
            </w:r>
            <w:r w:rsidRPr="00D66C9F">
              <w:t>to:</w:t>
            </w:r>
          </w:p>
          <w:p w:rsidR="00000000" w:rsidRPr="00D66C9F" w:rsidP="00D66C9F">
            <w:pPr>
              <w:pStyle w:val="ListBullet2"/>
            </w:pPr>
            <w:r w:rsidRPr="00D66C9F">
              <w:t>physical security breaches at gas infrastructure</w:t>
            </w:r>
          </w:p>
          <w:p w:rsidR="00000000" w:rsidRPr="00D66C9F" w:rsidP="00D66C9F">
            <w:pPr>
              <w:pStyle w:val="ListBullet2"/>
            </w:pPr>
            <w:r w:rsidRPr="00D66C9F">
              <w:t>threat assessment and management</w:t>
            </w:r>
          </w:p>
          <w:p w:rsidR="00000000" w:rsidRPr="00D66C9F" w:rsidP="00D66C9F">
            <w:pPr>
              <w:pStyle w:val="ListBullet2"/>
            </w:pPr>
            <w:r w:rsidRPr="00D66C9F">
              <w:t>confidential information security</w:t>
            </w:r>
          </w:p>
          <w:p w:rsidR="00000000" w:rsidRPr="00D66C9F" w:rsidP="00D66C9F">
            <w:pPr>
              <w:pStyle w:val="ListBullet"/>
            </w:pPr>
            <w:r w:rsidRPr="00D66C9F">
              <w:t>communication with applicable emergency service and regulatory organisations</w:t>
            </w:r>
          </w:p>
          <w:p w:rsidR="00000000" w:rsidP="00D66C9F">
            <w:pPr>
              <w:pStyle w:val="ListBullet"/>
              <w:rPr>
                <w:lang w:val="en-NZ"/>
              </w:rPr>
            </w:pPr>
            <w:r w:rsidRPr="00D66C9F">
              <w:t>compliance with applicable enterprise security policies an</w:t>
            </w:r>
            <w:r w:rsidRPr="00D66C9F">
              <w:t>d procedures</w:t>
            </w:r>
          </w:p>
        </w:tc>
      </w:tr>
      <w:tr w:rsidTr="004100A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G 4.1.15</w:t>
            </w:r>
          </w:p>
        </w:tc>
        <w:tc>
          <w:tcPr>
            <w:tcW w:w="6030" w:type="dxa"/>
            <w:tcBorders>
              <w:top w:val="nil"/>
              <w:left w:val="nil"/>
              <w:bottom w:val="nil"/>
              <w:right w:val="nil"/>
            </w:tcBorders>
            <w:tcMar>
              <w:top w:w="0" w:type="dxa"/>
              <w:left w:w="62" w:type="dxa"/>
              <w:bottom w:w="0" w:type="dxa"/>
              <w:right w:w="62" w:type="dxa"/>
            </w:tcMar>
          </w:tcPr>
          <w:p w:rsidR="00000000" w:rsidRPr="00D66C9F" w:rsidP="00D66C9F">
            <w:pPr>
              <w:pStyle w:val="BodyText"/>
            </w:pPr>
            <w:r w:rsidRPr="00D66C9F">
              <w:t>Drive Gas Industry vehicles</w:t>
            </w:r>
          </w:p>
          <w:p w:rsidR="00000000" w:rsidRPr="00D66C9F" w:rsidP="00D66C9F">
            <w:pPr>
              <w:pStyle w:val="BodyText"/>
            </w:pPr>
            <w:r w:rsidRPr="00D66C9F">
              <w:t>Evidence shall show an understanding of requirements and capability of driving applicable Gas Industry vehicles including but not limited to:</w:t>
            </w:r>
          </w:p>
          <w:p w:rsidR="00000000" w:rsidRPr="00D66C9F" w:rsidP="00D66C9F">
            <w:pPr>
              <w:pStyle w:val="ListBullet"/>
            </w:pPr>
            <w:r w:rsidRPr="00D66C9F">
              <w:t>Driving vehicles appropriate to the organisation. Vehicles may include any of the following (dependent on the needs of the organisation):</w:t>
            </w:r>
          </w:p>
          <w:p w:rsidR="00000000" w:rsidRPr="00D66C9F" w:rsidP="00D66C9F">
            <w:pPr>
              <w:pStyle w:val="ListBullet2"/>
            </w:pPr>
            <w:r w:rsidRPr="00D66C9F">
              <w:t xml:space="preserve">sedan </w:t>
            </w:r>
          </w:p>
          <w:p w:rsidR="00000000" w:rsidRPr="00D66C9F" w:rsidP="00D66C9F">
            <w:pPr>
              <w:pStyle w:val="ListBullet2"/>
            </w:pPr>
            <w:r w:rsidRPr="00D66C9F">
              <w:t>four wheel drive vehicles</w:t>
            </w:r>
          </w:p>
          <w:p w:rsidR="00000000" w:rsidRPr="00D66C9F" w:rsidP="00D66C9F">
            <w:pPr>
              <w:pStyle w:val="ListBullet2"/>
            </w:pPr>
            <w:r w:rsidRPr="00D66C9F">
              <w:t xml:space="preserve">trucks </w:t>
            </w:r>
          </w:p>
          <w:p w:rsidR="00000000" w:rsidRPr="00D66C9F" w:rsidP="00D66C9F">
            <w:pPr>
              <w:pStyle w:val="ListBullet2"/>
            </w:pPr>
            <w:r w:rsidRPr="00D66C9F">
              <w:t>buses</w:t>
            </w:r>
          </w:p>
          <w:p w:rsidR="00000000" w:rsidRPr="00D66C9F" w:rsidP="00D66C9F">
            <w:pPr>
              <w:pStyle w:val="ListBullet2"/>
            </w:pPr>
            <w:r w:rsidRPr="00D66C9F">
              <w:t>excavation and construction equipment such as backhoes and excavators.</w:t>
            </w:r>
          </w:p>
          <w:p w:rsidR="00000000" w:rsidRPr="00D66C9F" w:rsidP="00D66C9F">
            <w:pPr>
              <w:pStyle w:val="BodyText"/>
            </w:pPr>
          </w:p>
          <w:p w:rsidR="00000000" w:rsidP="00D66C9F">
            <w:pPr>
              <w:pStyle w:val="BodyText"/>
              <w:rPr>
                <w:lang w:val="en-NZ"/>
              </w:rPr>
            </w:pPr>
            <w:r w:rsidRPr="00D66C9F">
              <w:t>Note: All vehicles included in this clause have licence or ticket requirements. The licence or ticket will need to be issued to the learner for completion of relevant sections of the EKAS Clause.</w:t>
            </w:r>
          </w:p>
        </w:tc>
      </w:tr>
      <w:tr w:rsidTr="004100A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G 5.1.2</w:t>
            </w:r>
          </w:p>
        </w:tc>
        <w:tc>
          <w:tcPr>
            <w:tcW w:w="6030" w:type="dxa"/>
            <w:tcBorders>
              <w:top w:val="nil"/>
              <w:left w:val="nil"/>
              <w:bottom w:val="nil"/>
              <w:right w:val="nil"/>
            </w:tcBorders>
            <w:tcMar>
              <w:top w:w="0" w:type="dxa"/>
              <w:left w:w="62" w:type="dxa"/>
              <w:bottom w:w="0" w:type="dxa"/>
              <w:right w:w="62" w:type="dxa"/>
            </w:tcMar>
          </w:tcPr>
          <w:p w:rsidR="00000000" w:rsidRPr="00D66C9F" w:rsidP="00D66C9F">
            <w:pPr>
              <w:pStyle w:val="BodyText"/>
            </w:pPr>
            <w:r w:rsidRPr="00D66C9F">
              <w:t>Apply problem solving, decision making and conflict resolution techniques</w:t>
            </w:r>
          </w:p>
          <w:p w:rsidR="00000000" w:rsidRPr="00D66C9F" w:rsidP="00D66C9F">
            <w:pPr>
              <w:pStyle w:val="BodyText"/>
            </w:pPr>
            <w:r w:rsidRPr="00D66C9F">
              <w:t>Evidence shall show an understanding and application of problem solving, decision making and conflict resolution techniques in a Gas Industry environment, indicated by the following:</w:t>
            </w:r>
          </w:p>
          <w:p w:rsidR="00000000" w:rsidRPr="00D66C9F" w:rsidP="00D66C9F">
            <w:pPr>
              <w:pStyle w:val="ListBullet"/>
            </w:pPr>
            <w:r w:rsidRPr="00D66C9F">
              <w:t>problem solving and decision making techniques</w:t>
            </w:r>
          </w:p>
          <w:p w:rsidR="00000000" w:rsidRPr="00D66C9F" w:rsidP="00D66C9F">
            <w:pPr>
              <w:pStyle w:val="ListBullet2"/>
            </w:pPr>
            <w:r w:rsidRPr="00D66C9F">
              <w:t>the decision making environment</w:t>
            </w:r>
          </w:p>
          <w:p w:rsidR="00000000" w:rsidRPr="00D66C9F" w:rsidP="00D66C9F">
            <w:pPr>
              <w:pStyle w:val="ListBullet2"/>
            </w:pPr>
            <w:r w:rsidRPr="00D66C9F">
              <w:t>group decision making</w:t>
            </w:r>
          </w:p>
          <w:p w:rsidR="00000000" w:rsidRPr="00D66C9F" w:rsidP="00D66C9F">
            <w:pPr>
              <w:pStyle w:val="ListBullet2"/>
            </w:pPr>
            <w:r w:rsidRPr="00D66C9F">
              <w:t>guidelines for making decisions</w:t>
            </w:r>
          </w:p>
          <w:p w:rsidR="00000000" w:rsidRPr="00D66C9F" w:rsidP="00D66C9F">
            <w:pPr>
              <w:pStyle w:val="ListBullet2"/>
            </w:pPr>
            <w:r w:rsidRPr="00D66C9F">
              <w:t>decision making aids and support systems</w:t>
            </w:r>
          </w:p>
          <w:p w:rsidR="00000000" w:rsidRPr="00D66C9F" w:rsidP="00D66C9F">
            <w:pPr>
              <w:pStyle w:val="ListBullet2"/>
            </w:pPr>
            <w:r w:rsidRPr="00D66C9F">
              <w:t>negotiation with internal and external stakeholders</w:t>
            </w:r>
          </w:p>
          <w:p w:rsidR="00000000" w:rsidRPr="00D66C9F" w:rsidP="00D66C9F">
            <w:pPr>
              <w:pStyle w:val="ListBullet2"/>
            </w:pPr>
            <w:r w:rsidRPr="00D66C9F">
              <w:t>the nature of negotiation</w:t>
            </w:r>
          </w:p>
          <w:p w:rsidR="00000000" w:rsidRPr="00D66C9F" w:rsidP="00D66C9F">
            <w:pPr>
              <w:pStyle w:val="ListBullet2"/>
            </w:pPr>
            <w:r w:rsidRPr="00D66C9F">
              <w:t>strategy and tactics of bargaining</w:t>
            </w:r>
          </w:p>
          <w:p w:rsidR="00000000" w:rsidRPr="00D66C9F" w:rsidP="00D66C9F">
            <w:pPr>
              <w:pStyle w:val="ListBullet2"/>
            </w:pPr>
            <w:r w:rsidRPr="00D66C9F">
              <w:t>pre-negotiation essentials</w:t>
            </w:r>
          </w:p>
          <w:p w:rsidR="00000000" w:rsidRPr="00D66C9F" w:rsidP="00D66C9F">
            <w:pPr>
              <w:pStyle w:val="ListBullet2"/>
            </w:pPr>
            <w:r w:rsidRPr="00D66C9F">
              <w:t>communication in negotiation</w:t>
            </w:r>
          </w:p>
          <w:p w:rsidR="00000000" w:rsidRPr="00D66C9F" w:rsidP="00D66C9F">
            <w:pPr>
              <w:pStyle w:val="ListBullet"/>
            </w:pPr>
            <w:r w:rsidRPr="00D66C9F">
              <w:t>resolve conflict with internal or external stakeholders</w:t>
            </w:r>
          </w:p>
          <w:p w:rsidR="00000000" w:rsidRPr="00D66C9F" w:rsidP="00D66C9F">
            <w:pPr>
              <w:pStyle w:val="ListBullet2"/>
            </w:pPr>
            <w:r w:rsidRPr="00D66C9F">
              <w:t>dealing with negotiation breakdowns</w:t>
            </w:r>
          </w:p>
          <w:p w:rsidR="00000000" w:rsidRPr="00D66C9F" w:rsidP="00D66C9F">
            <w:pPr>
              <w:pStyle w:val="ListBullet2"/>
            </w:pPr>
            <w:r w:rsidRPr="00D66C9F">
              <w:t>social context of negotiation</w:t>
            </w:r>
          </w:p>
          <w:p w:rsidR="00000000" w:rsidRPr="00D66C9F" w:rsidP="00D66C9F">
            <w:pPr>
              <w:pStyle w:val="ListBullet2"/>
            </w:pPr>
            <w:r w:rsidRPr="00D66C9F">
              <w:t>power in negotiation</w:t>
            </w:r>
          </w:p>
          <w:p w:rsidR="00000000" w:rsidRPr="00D66C9F" w:rsidP="00D66C9F">
            <w:pPr>
              <w:pStyle w:val="ListBullet2"/>
            </w:pPr>
            <w:r w:rsidRPr="00D66C9F">
              <w:t>ethics in negotiation</w:t>
            </w:r>
            <w:r w:rsidRPr="00D66C9F">
              <w:t>.</w:t>
            </w:r>
          </w:p>
        </w:tc>
      </w:tr>
    </w:tbl>
    <w:p w:rsidR="004100A2" w:rsidP="00D66C9F">
      <w:pPr>
        <w:pStyle w:val="BodyText"/>
      </w:pPr>
    </w:p>
    <w:p w:rsidR="004100A2" w:rsidP="00D66C9F">
      <w:pPr>
        <w:pStyle w:val="BodyText"/>
      </w:pPr>
    </w:p>
    <w:p w:rsidR="00000000" w:rsidRPr="00D66C9F" w:rsidP="00D66C9F">
      <w:pPr>
        <w:pStyle w:val="Heading1"/>
      </w:pPr>
      <w:bookmarkStart w:id="10" w:name="O_402390"/>
      <w:bookmarkEnd w:id="10"/>
      <w:r w:rsidRPr="00D66C9F">
        <w:t>Evidence Guide</w:t>
      </w:r>
    </w:p>
    <w:tbl>
      <w:tblPr>
        <w:tblW w:w="0" w:type="auto"/>
        <w:tblLayout w:type="fixed"/>
        <w:tblCellMar>
          <w:left w:w="62" w:type="dxa"/>
          <w:right w:w="62" w:type="dxa"/>
        </w:tblCellMar>
        <w:tblLook w:val="0000"/>
      </w:tblPr>
      <w:tblGrid>
        <w:gridCol w:w="8460"/>
      </w:tblGrid>
      <w:tr w:rsidTr="004100A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rPr>
                <w:rStyle w:val="SpecialBold"/>
              </w:rPr>
              <w:t>EVIDENCE GUIDE</w:t>
            </w:r>
          </w:p>
        </w:tc>
      </w:tr>
      <w:tr w:rsidTr="004100A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66C9F" w:rsidP="00D66C9F">
            <w:pPr>
              <w:pStyle w:val="BodyText"/>
            </w:pPr>
            <w:r w:rsidRPr="00D66C9F">
              <w:rPr>
                <w:rStyle w:val="SpecialBold"/>
              </w:rPr>
              <w:t xml:space="preserve">9) </w:t>
            </w:r>
            <w:r w:rsidRPr="00D66C9F">
              <w:t xml:space="preserve">The Evidence Guide forms an integral part of this Competency Standard Unit and shall be used </w:t>
            </w:r>
            <w:r w:rsidRPr="00D66C9F">
              <w:t>in conjunction with all components parts of this unit and performed in accordance with the Assessment Guidelines of this Training Package.</w:t>
            </w:r>
          </w:p>
        </w:tc>
      </w:tr>
    </w:tbl>
    <w:p w:rsidR="00000000" w:rsidRPr="00D66C9F" w:rsidP="00D66C9F">
      <w:pPr>
        <w:pStyle w:val="BodyText"/>
      </w:pPr>
    </w:p>
    <w:tbl>
      <w:tblPr>
        <w:tblW w:w="0" w:type="auto"/>
        <w:tblLayout w:type="fixed"/>
        <w:tblCellMar>
          <w:left w:w="62" w:type="dxa"/>
          <w:right w:w="62" w:type="dxa"/>
        </w:tblCellMar>
        <w:tblLook w:val="0000"/>
      </w:tblPr>
      <w:tblGrid>
        <w:gridCol w:w="1890"/>
        <w:gridCol w:w="6570"/>
      </w:tblGrid>
      <w:tr w:rsidTr="004100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66C9F" w:rsidP="00D66C9F">
            <w:pPr>
              <w:pStyle w:val="BodyText"/>
            </w:pPr>
            <w:r w:rsidRPr="00D66C9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rPr>
                <w:rStyle w:val="SpecialBold"/>
              </w:rPr>
              <w:t>9.1)</w:t>
            </w:r>
          </w:p>
        </w:tc>
      </w:tr>
      <w:tr w:rsidTr="004100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Longitudinal competency development approaches to assessment, such as Profiling, require data to be reliably gathered in a form that can be consistently interpreted over time. This approach is best utilised in Apprenticeship programs and reduces assessment</w:t>
            </w:r>
            <w:r w:rsidRPr="00D66C9F">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D66C9F">
              <w:t>tency in a realistically simulated work environment. It is recognised that, in some circumstances, assessment in part or full can occur outside the workplace. However, it must be in accord with Industry regulatory policy in this regard.</w:t>
            </w:r>
          </w:p>
        </w:tc>
      </w:tr>
      <w:tr w:rsidTr="004100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Methods chosen fo</w:t>
            </w:r>
            <w:r w:rsidRPr="00D66C9F">
              <w:t>r a particular assessment will be influenced by various factors. These include the extent of the assessment, the most effective locations for the assessment activities to take place, access to physical resources, additional safety measures that may be requ</w:t>
            </w:r>
            <w:r w:rsidRPr="00D66C9F">
              <w:t>ired and the critical nature of the competencies being assessed.</w:t>
            </w:r>
          </w:p>
        </w:tc>
      </w:tr>
      <w:tr w:rsidTr="004100A2">
        <w:tblPrEx>
          <w:tblW w:w="0" w:type="auto"/>
          <w:tblLayout w:type="fixed"/>
          <w:tblCellMar>
            <w:left w:w="62" w:type="dxa"/>
            <w:right w:w="62" w:type="dxa"/>
          </w:tblCellMar>
          <w:tblLook w:val="0000"/>
        </w:tblPrEx>
        <w:trPr>
          <w:trHeight w:val="1084"/>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The critical safety nature of working with electricity, electrical equipment, gas or any other hazardous substance/material carries risk in deeming a person competent. Hence, sources of evi</w:t>
            </w:r>
            <w:r w:rsidRPr="00D66C9F">
              <w:t>dence need to be ‘rich’ in nature so as to minimise error in judgment.</w:t>
            </w:r>
          </w:p>
        </w:tc>
      </w:tr>
      <w:tr w:rsidTr="004100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66C9F" w:rsidP="00D66C9F">
            <w:pPr>
              <w:pStyle w:val="BodyText"/>
            </w:pPr>
            <w:r w:rsidRPr="00D66C9F">
              <w:t>Activities associated with normal every day work have a bearing on the decision as to how much and how detailed the data gathered will contribute to its ‘richness’. Some skills are mo</w:t>
            </w:r>
            <w:r w:rsidRPr="00D66C9F">
              <w:t>re critical to safety and operational requirements while the same skills may be more or less frequently practiced. These points are raised for the assessors to consider when choosing an assessment method and developing assessment instruments. Sample assess</w:t>
            </w:r>
            <w:r w:rsidRPr="00D66C9F">
              <w:t>ment instruments are included for Assessors in the Assessment Guidelines of this Training Package.</w:t>
            </w:r>
          </w:p>
        </w:tc>
      </w:tr>
    </w:tbl>
    <w:p w:rsidR="00000000" w:rsidRPr="00D66C9F" w:rsidP="00D66C9F">
      <w:pPr>
        <w:pStyle w:val="BodyText"/>
      </w:pPr>
    </w:p>
    <w:tbl>
      <w:tblPr>
        <w:tblW w:w="0" w:type="auto"/>
        <w:tblLayout w:type="fixed"/>
        <w:tblCellMar>
          <w:left w:w="62" w:type="dxa"/>
          <w:right w:w="62" w:type="dxa"/>
        </w:tblCellMar>
        <w:tblLook w:val="0000"/>
      </w:tblPr>
      <w:tblGrid>
        <w:gridCol w:w="1890"/>
        <w:gridCol w:w="6570"/>
      </w:tblGrid>
      <w:tr w:rsidTr="004100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66C9F" w:rsidP="00D66C9F">
            <w:pPr>
              <w:pStyle w:val="BodyText"/>
            </w:pPr>
            <w:r w:rsidRPr="00D66C9F">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rPr>
                <w:rStyle w:val="SpecialBold"/>
              </w:rPr>
              <w:t>9.2)</w:t>
            </w:r>
          </w:p>
        </w:tc>
      </w:tr>
      <w:tr w:rsidTr="004100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Before the critical aspects of evidence are considered all prerequisites shall be met.</w:t>
            </w:r>
          </w:p>
        </w:tc>
      </w:tr>
      <w:tr w:rsidTr="004100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Evidence for competence in this unit shall be considered holistically. Each element and associated Performance Criteria shall be demonstrated on at least two occasions</w:t>
            </w:r>
            <w:r w:rsidRPr="00D66C9F">
              <w:t xml:space="preserve"> in accordance with the ‘Assessment Guidelines — UEG11’. Evidence shall also comprise:</w:t>
            </w:r>
          </w:p>
        </w:tc>
      </w:tr>
      <w:tr w:rsidTr="004100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66C9F">
            <w:pPr>
              <w:pStyle w:val="ListBullet"/>
              <w:rPr>
                <w:lang w:val="en-NZ"/>
              </w:rPr>
            </w:pPr>
            <w:r w:rsidRPr="00D66C9F">
              <w:t>A representative body of work performance demonstrated within the timeframes typically expected of the discipline, work function and industrial environment. In particu</w:t>
            </w:r>
            <w:r w:rsidRPr="00D66C9F">
              <w:t>lar this shall incorporate evidence that shows a candidate is able to:</w:t>
            </w:r>
          </w:p>
        </w:tc>
      </w:tr>
      <w:tr w:rsidTr="004100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66C9F">
            <w:pPr>
              <w:pStyle w:val="ListBullet2"/>
              <w:rPr>
                <w:lang w:val="en-NZ"/>
              </w:rPr>
            </w:pPr>
            <w:r w:rsidRPr="00D66C9F">
              <w:t>Implement Occupational Health and Safety workplace procedures and practices including the use of risk control measures as specified in the Performance Criteria and range</w:t>
            </w:r>
          </w:p>
        </w:tc>
      </w:tr>
      <w:tr w:rsidTr="004100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66C9F">
            <w:pPr>
              <w:pStyle w:val="ListBullet2"/>
              <w:rPr>
                <w:lang w:val="en-NZ"/>
              </w:rPr>
            </w:pPr>
            <w:r w:rsidRPr="00D66C9F">
              <w:t>Apply sustainable energy principles and practices as specified in the Performance Criteria and range</w:t>
            </w:r>
          </w:p>
        </w:tc>
      </w:tr>
      <w:tr w:rsidTr="004100A2">
        <w:tblPrEx>
          <w:tblW w:w="0" w:type="auto"/>
          <w:tblLayout w:type="fixed"/>
          <w:tblCellMar>
            <w:left w:w="62" w:type="dxa"/>
            <w:right w:w="62" w:type="dxa"/>
          </w:tblCellMar>
          <w:tblLook w:val="0000"/>
        </w:tblPrEx>
        <w:trPr>
          <w:trHeight w:val="1084"/>
        </w:trPr>
        <w:tc>
          <w:tcPr>
            <w:tcW w:w="189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66C9F">
            <w:pPr>
              <w:pStyle w:val="ListBullet2"/>
              <w:rPr>
                <w:lang w:val="en-NZ"/>
              </w:rPr>
            </w:pPr>
            <w:r w:rsidRPr="00D66C9F">
              <w:t>Demonstrate an understanding of the essential knowledge and associated skills as described in this unit to such an extent that the learner’s performance</w:t>
            </w:r>
            <w:r w:rsidRPr="00D66C9F">
              <w:t xml:space="preserve"> outcome is reported in accordance with the preferred approach; namely a percentile graded result, where required by the regulated environment</w:t>
            </w:r>
          </w:p>
        </w:tc>
      </w:tr>
      <w:tr w:rsidTr="004100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66C9F">
            <w:pPr>
              <w:pStyle w:val="ListBullet2"/>
              <w:rPr>
                <w:lang w:val="en-NZ"/>
              </w:rPr>
            </w:pPr>
            <w:r w:rsidRPr="00D66C9F">
              <w:t>Demonstrate an appropriate level of employability skills</w:t>
            </w:r>
          </w:p>
        </w:tc>
      </w:tr>
      <w:tr w:rsidTr="004100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66C9F">
            <w:pPr>
              <w:pStyle w:val="ListBullet2"/>
              <w:rPr>
                <w:lang w:val="en-NZ"/>
              </w:rPr>
            </w:pPr>
            <w:r w:rsidRPr="00D66C9F">
              <w:t>Conduct work observing the relevant anti-discrimination legislation, regulations, polices and workplace procedures</w:t>
            </w:r>
          </w:p>
        </w:tc>
      </w:tr>
      <w:tr w:rsidTr="004100A2">
        <w:tblPrEx>
          <w:tblW w:w="0" w:type="auto"/>
          <w:tblLayout w:type="fixed"/>
          <w:tblCellMar>
            <w:left w:w="62" w:type="dxa"/>
            <w:right w:w="62" w:type="dxa"/>
          </w:tblCellMar>
          <w:tblLook w:val="0000"/>
        </w:tblPrEx>
        <w:trPr>
          <w:trHeight w:val="522"/>
        </w:trPr>
        <w:tc>
          <w:tcPr>
            <w:tcW w:w="189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D66C9F" w:rsidP="00D66C9F">
            <w:pPr>
              <w:pStyle w:val="ListBullet"/>
            </w:pPr>
            <w:r w:rsidRPr="00D66C9F">
              <w:t>Demonstrate performance across a representative range of contexts from the prescribed items below.</w:t>
            </w:r>
          </w:p>
        </w:tc>
      </w:tr>
    </w:tbl>
    <w:p w:rsidR="00000000" w:rsidRPr="00D66C9F" w:rsidP="00D66C9F">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4100A2">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D66C9F">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C9F">
            <w:pPr>
              <w:pStyle w:val="BodyText"/>
              <w:rPr>
                <w:lang w:val="en-NZ"/>
              </w:rPr>
            </w:pPr>
            <w:r w:rsidRPr="00D66C9F">
              <w:rPr>
                <w:rStyle w:val="SpecialBold"/>
              </w:rPr>
              <w:t>Range of tools/equipment/procedures/workplace</w:t>
            </w:r>
          </w:p>
        </w:tc>
      </w:tr>
      <w:tr w:rsidTr="004100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D66C9F">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C9F" w:rsidP="00D66C9F">
            <w:pPr>
              <w:pStyle w:val="BodyText"/>
            </w:pPr>
            <w:r w:rsidRPr="00D66C9F">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C9F" w:rsidP="00D66C9F">
            <w:pPr>
              <w:pStyle w:val="BodyText"/>
            </w:pPr>
            <w:r w:rsidRPr="00D66C9F">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C9F">
            <w:pPr>
              <w:pStyle w:val="BodyText"/>
              <w:rPr>
                <w:lang w:val="en-NZ"/>
              </w:rPr>
            </w:pPr>
            <w:r w:rsidRPr="00D66C9F">
              <w:rPr>
                <w:rStyle w:val="SpecialBold"/>
              </w:rPr>
              <w:t>Item List</w:t>
            </w:r>
          </w:p>
        </w:tc>
      </w:tr>
      <w:tr w:rsidTr="004100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C9F">
            <w:pPr>
              <w:pStyle w:val="BodyText"/>
              <w:rPr>
                <w:lang w:val="en-NZ"/>
              </w:rPr>
            </w:pPr>
            <w:r w:rsidRPr="00D66C9F">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C9F">
            <w:pPr>
              <w:pStyle w:val="BodyText"/>
              <w:rPr>
                <w:lang w:val="en-NZ"/>
              </w:rPr>
            </w:pPr>
            <w:r w:rsidRPr="00D66C9F">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C9F" w:rsidP="00D66C9F">
            <w:pPr>
              <w:pStyle w:val="BodyText"/>
            </w:pPr>
            <w:r w:rsidRPr="00D66C9F">
              <w:t>Identify threats to the integrity of transmission pipelines</w:t>
            </w:r>
          </w:p>
          <w:p w:rsidR="00000000" w:rsidRPr="00D66C9F" w:rsidP="00D66C9F">
            <w:pPr>
              <w:pStyle w:val="BodyText"/>
            </w:pPr>
            <w:r w:rsidRPr="00D66C9F">
              <w:t>Evaluate threats that impact level of</w:t>
            </w:r>
            <w:r w:rsidRPr="00D66C9F">
              <w:t xml:space="preserve"> secondary response</w:t>
            </w:r>
          </w:p>
          <w:p w:rsidR="00000000" w:rsidRPr="00D66C9F" w:rsidP="00D66C9F">
            <w:pPr>
              <w:pStyle w:val="BodyText"/>
            </w:pPr>
            <w:r w:rsidRPr="00D66C9F">
              <w:t xml:space="preserve">Control of the escalation of threats to the public, environment, transmission pipelines and facilities </w:t>
            </w:r>
          </w:p>
          <w:p w:rsidR="00000000" w:rsidRPr="00D66C9F" w:rsidP="00D66C9F">
            <w:pPr>
              <w:pStyle w:val="BodyText"/>
            </w:pPr>
            <w:r w:rsidRPr="00D66C9F">
              <w:t xml:space="preserve">Working knowledge of relevant sections the latest version of AS2885 </w:t>
            </w:r>
          </w:p>
          <w:p w:rsidR="00000000" w:rsidRPr="00D66C9F" w:rsidP="00D66C9F">
            <w:pPr>
              <w:pStyle w:val="BodyText"/>
            </w:pPr>
            <w:r w:rsidRPr="00D66C9F">
              <w:t>Working knowledge of security breach procedures</w:t>
            </w:r>
          </w:p>
          <w:p w:rsidR="00000000" w:rsidP="00D66C9F">
            <w:pPr>
              <w:pStyle w:val="BodyText"/>
              <w:rPr>
                <w:lang w:val="en-NZ"/>
              </w:rPr>
            </w:pPr>
            <w:r w:rsidRPr="00D66C9F">
              <w:t>Demonstration o</w:t>
            </w:r>
            <w:r w:rsidRPr="00D66C9F">
              <w:t>f the practical use of communications equipment</w:t>
            </w:r>
          </w:p>
        </w:tc>
      </w:tr>
      <w:tr w:rsidTr="004100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C9F">
            <w:pPr>
              <w:pStyle w:val="BodyText"/>
              <w:rPr>
                <w:lang w:val="en-NZ"/>
              </w:rPr>
            </w:pPr>
            <w:r w:rsidRPr="00D66C9F">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C9F">
            <w:pPr>
              <w:pStyle w:val="BodyText"/>
              <w:rPr>
                <w:lang w:val="en-NZ"/>
              </w:rPr>
            </w:pPr>
            <w:r w:rsidRPr="00D66C9F">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C9F" w:rsidP="00D66C9F">
            <w:pPr>
              <w:pStyle w:val="BodyText"/>
            </w:pPr>
            <w:r w:rsidRPr="00D66C9F">
              <w:t>Interpret technical drawings and symbols</w:t>
            </w:r>
          </w:p>
          <w:p w:rsidR="00000000" w:rsidRPr="00D66C9F" w:rsidP="00D66C9F">
            <w:pPr>
              <w:pStyle w:val="BodyText"/>
            </w:pPr>
            <w:r w:rsidRPr="00D66C9F">
              <w:t>Use of and interpret Dial Before You Dig report or its equivalent</w:t>
            </w:r>
          </w:p>
          <w:p w:rsidR="00000000" w:rsidRPr="00D66C9F" w:rsidP="00D66C9F">
            <w:pPr>
              <w:pStyle w:val="BodyText"/>
            </w:pPr>
            <w:r w:rsidRPr="00D66C9F">
              <w:t xml:space="preserve">Work utilising relevant OHS and E legislation, regulations, codes of practice, policies and </w:t>
            </w:r>
            <w:r w:rsidRPr="00D66C9F">
              <w:t>procedures</w:t>
            </w:r>
          </w:p>
          <w:p w:rsidR="00000000" w:rsidRPr="00D66C9F" w:rsidP="00D66C9F">
            <w:pPr>
              <w:pStyle w:val="BodyText"/>
            </w:pPr>
            <w:r w:rsidRPr="00D66C9F">
              <w:t xml:space="preserve">Practical knowledge of the properties of product being transported </w:t>
            </w:r>
          </w:p>
          <w:p w:rsidR="00000000" w:rsidRPr="00D66C9F" w:rsidP="00D66C9F">
            <w:pPr>
              <w:pStyle w:val="BodyText"/>
            </w:pPr>
            <w:r w:rsidRPr="00D66C9F">
              <w:t>Work safely with hazardous materials and equipment</w:t>
            </w:r>
          </w:p>
          <w:p w:rsidR="00000000" w:rsidRPr="00D66C9F" w:rsidP="00D66C9F">
            <w:pPr>
              <w:pStyle w:val="BodyText"/>
            </w:pPr>
            <w:r w:rsidRPr="00D66C9F">
              <w:t>Apply safe manual handling techniques</w:t>
            </w:r>
          </w:p>
          <w:p w:rsidR="00000000" w:rsidRPr="00D66C9F" w:rsidP="00D66C9F">
            <w:pPr>
              <w:pStyle w:val="BodyText"/>
            </w:pPr>
            <w:r w:rsidRPr="00D66C9F">
              <w:t>Effective communication to the public and community groups</w:t>
            </w:r>
          </w:p>
          <w:p w:rsidR="00000000" w:rsidRPr="00D66C9F" w:rsidP="00D66C9F">
            <w:pPr>
              <w:pStyle w:val="BodyText"/>
            </w:pPr>
            <w:r w:rsidRPr="00D66C9F">
              <w:t>Negotiation skills</w:t>
            </w:r>
          </w:p>
          <w:p w:rsidR="00000000" w:rsidRPr="00D66C9F" w:rsidP="00D66C9F">
            <w:pPr>
              <w:pStyle w:val="BodyText"/>
            </w:pPr>
            <w:r w:rsidRPr="00D66C9F">
              <w:t>Apply basic planning skills</w:t>
            </w:r>
          </w:p>
          <w:p w:rsidR="00000000" w:rsidP="00D66C9F">
            <w:pPr>
              <w:pStyle w:val="BodyText"/>
              <w:rPr>
                <w:lang w:val="en-NZ"/>
              </w:rPr>
            </w:pPr>
            <w:r w:rsidRPr="00D66C9F">
              <w:t>First Aid certificate level 1</w:t>
            </w:r>
          </w:p>
        </w:tc>
      </w:tr>
      <w:tr w:rsidTr="004100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C9F">
            <w:pPr>
              <w:pStyle w:val="BodyText"/>
              <w:rPr>
                <w:lang w:val="en-NZ"/>
              </w:rPr>
            </w:pPr>
            <w:r w:rsidRPr="00D66C9F">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C9F">
            <w:pPr>
              <w:pStyle w:val="BodyText"/>
              <w:rPr>
                <w:lang w:val="en-NZ"/>
              </w:rPr>
            </w:pPr>
            <w:r w:rsidRPr="00D66C9F">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C9F" w:rsidP="00D66C9F">
            <w:pPr>
              <w:pStyle w:val="BodyText"/>
            </w:pPr>
            <w:r w:rsidRPr="00D66C9F">
              <w:t>Deal with an unplanned event by drawing on essential knowledge and associated skills to provide appropriate solutions incorporated in the holistic assessment with the abov</w:t>
            </w:r>
            <w:r w:rsidRPr="00D66C9F">
              <w:t xml:space="preserve">e listed items </w:t>
            </w:r>
          </w:p>
        </w:tc>
      </w:tr>
    </w:tbl>
    <w:p w:rsidR="00000000" w:rsidRPr="00D66C9F" w:rsidP="00D66C9F">
      <w:pPr>
        <w:pStyle w:val="BodyText"/>
      </w:pPr>
    </w:p>
    <w:tbl>
      <w:tblPr>
        <w:tblW w:w="0" w:type="auto"/>
        <w:tblLayout w:type="fixed"/>
        <w:tblCellMar>
          <w:left w:w="62" w:type="dxa"/>
          <w:right w:w="62" w:type="dxa"/>
        </w:tblCellMar>
        <w:tblLook w:val="0000"/>
      </w:tblPr>
      <w:tblGrid>
        <w:gridCol w:w="1890"/>
        <w:gridCol w:w="6570"/>
      </w:tblGrid>
      <w:tr w:rsidTr="004100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66C9F" w:rsidP="00D66C9F">
            <w:pPr>
              <w:pStyle w:val="BodyText"/>
            </w:pPr>
            <w:r w:rsidRPr="00D66C9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rPr>
                <w:rStyle w:val="SpecialBold"/>
              </w:rPr>
              <w:t>9.3)</w:t>
            </w:r>
          </w:p>
        </w:tc>
      </w:tr>
      <w:tr w:rsidTr="004100A2">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This unit contains Employability Skills</w:t>
            </w:r>
          </w:p>
        </w:tc>
      </w:tr>
      <w:tr w:rsidTr="004100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 xml:space="preserve">This unit should be assessed as it relates to normal work practice using procedures, information and resources typical of a workplace. This </w:t>
            </w:r>
            <w:r w:rsidRPr="00D66C9F">
              <w:t>should include:</w:t>
            </w:r>
          </w:p>
        </w:tc>
      </w:tr>
      <w:tr w:rsidTr="004100A2">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66C9F">
            <w:pPr>
              <w:pStyle w:val="ListBullet"/>
              <w:rPr>
                <w:lang w:val="en-NZ"/>
              </w:rPr>
            </w:pPr>
            <w:r w:rsidRPr="00D66C9F">
              <w:t>OHS policy and work procedures and instructions.</w:t>
            </w:r>
          </w:p>
        </w:tc>
      </w:tr>
      <w:tr w:rsidTr="004100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66C9F">
            <w:pPr>
              <w:pStyle w:val="ListBullet"/>
              <w:rPr>
                <w:lang w:val="en-NZ"/>
              </w:rPr>
            </w:pPr>
            <w:r w:rsidRPr="00D66C9F">
              <w:t>Suitable work environment, facilities, equipment and materials to undertake actual work as prescribed by this Competency Standard Unit.</w:t>
            </w:r>
          </w:p>
        </w:tc>
      </w:tr>
      <w:tr w:rsidTr="004100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66C9F">
            <w:pPr>
              <w:pStyle w:val="ListBullet"/>
              <w:rPr>
                <w:lang w:val="en-NZ"/>
              </w:rPr>
            </w:pPr>
            <w:r w:rsidRPr="00D66C9F">
              <w:t>Appropriate environmental regulation and work pra</w:t>
            </w:r>
            <w:r w:rsidRPr="00D66C9F">
              <w:t>ctices.</w:t>
            </w:r>
          </w:p>
        </w:tc>
      </w:tr>
      <w:tr w:rsidTr="004100A2">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66C9F">
            <w:pPr>
              <w:pStyle w:val="ListBullet"/>
              <w:rPr>
                <w:lang w:val="en-NZ"/>
              </w:rPr>
            </w:pPr>
            <w:r w:rsidRPr="00D66C9F">
              <w:t>Appropriate organisational requirements.</w:t>
            </w:r>
          </w:p>
        </w:tc>
      </w:tr>
      <w:tr w:rsidTr="004100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66C9F">
            <w:pPr>
              <w:pStyle w:val="ListBullet"/>
              <w:rPr>
                <w:lang w:val="en-NZ"/>
              </w:rPr>
            </w:pPr>
            <w:r w:rsidRPr="00D66C9F">
              <w:t>Appropriate work environment, equipment and tools.</w:t>
            </w:r>
          </w:p>
        </w:tc>
      </w:tr>
      <w:tr w:rsidTr="004100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 xml:space="preserve">In addition to the resources listed above, in Context of and specific resources for assessment, evidence should show demonstrated competency </w:t>
            </w:r>
            <w:r w:rsidRPr="00D66C9F">
              <w:t>in liaising with third parties and the community to maintain pipeline integrity and community safety.</w:t>
            </w:r>
          </w:p>
        </w:tc>
      </w:tr>
      <w:tr w:rsidTr="004100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66C9F" w:rsidP="00D66C9F">
            <w:pPr>
              <w:pStyle w:val="BodyText"/>
            </w:pPr>
            <w:r w:rsidRPr="00D66C9F">
              <w:t>Assessment of this competency must also be undertaken in either an actual workplace or under a simulated work environment. Assessment must also integrat</w:t>
            </w:r>
            <w:r w:rsidRPr="00D66C9F">
              <w:t>e the employability skills.</w:t>
            </w:r>
          </w:p>
        </w:tc>
      </w:tr>
    </w:tbl>
    <w:p w:rsidR="00000000" w:rsidRPr="00D66C9F" w:rsidP="00D66C9F">
      <w:pPr>
        <w:pStyle w:val="BodyText"/>
      </w:pPr>
    </w:p>
    <w:tbl>
      <w:tblPr>
        <w:tblW w:w="0" w:type="auto"/>
        <w:tblLayout w:type="fixed"/>
        <w:tblCellMar>
          <w:left w:w="62" w:type="dxa"/>
          <w:right w:w="62" w:type="dxa"/>
        </w:tblCellMar>
        <w:tblLook w:val="0000"/>
      </w:tblPr>
      <w:tblGrid>
        <w:gridCol w:w="1890"/>
        <w:gridCol w:w="6570"/>
      </w:tblGrid>
      <w:tr w:rsidTr="004100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66C9F" w:rsidP="00D66C9F">
            <w:pPr>
              <w:pStyle w:val="BodyText"/>
            </w:pPr>
            <w:r w:rsidRPr="00D66C9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rPr>
                <w:rStyle w:val="SpecialBold"/>
              </w:rPr>
              <w:t>9.4)</w:t>
            </w:r>
          </w:p>
        </w:tc>
      </w:tr>
      <w:tr w:rsidTr="004100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This Competency Standard Unit shall be assessed by methods given in Volume 1, Part 3 ‘Assessment Guidelines’.</w:t>
            </w:r>
          </w:p>
        </w:tc>
      </w:tr>
      <w:tr w:rsidTr="004100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66C9F" w:rsidP="00D66C9F">
            <w:pPr>
              <w:pStyle w:val="BodyText"/>
            </w:pPr>
            <w:r w:rsidRPr="00D66C9F">
              <w:t>Note: Competent performance with inherent safe working practices is expected in the Industry to which this Competency Standard Unit applies. This requires that the specified Essential Knowledge and Associated Skills are assessed in a structured environment</w:t>
            </w:r>
            <w:r w:rsidRPr="00D66C9F">
              <w:t xml:space="preserve"> which is primarily intended for learning/assessment and incorporates all necessary equipment and facilities for learners to develop and demonstrate the essential knowledge and associated skills described in this unit.</w:t>
            </w:r>
          </w:p>
        </w:tc>
      </w:tr>
    </w:tbl>
    <w:p w:rsidR="00000000" w:rsidRPr="00D66C9F" w:rsidP="00D66C9F">
      <w:pPr>
        <w:pStyle w:val="BodyText"/>
      </w:pPr>
    </w:p>
    <w:tbl>
      <w:tblPr>
        <w:tblW w:w="0" w:type="auto"/>
        <w:tblLayout w:type="fixed"/>
        <w:tblCellMar>
          <w:left w:w="62" w:type="dxa"/>
          <w:right w:w="62" w:type="dxa"/>
        </w:tblCellMar>
        <w:tblLook w:val="0000"/>
      </w:tblPr>
      <w:tblGrid>
        <w:gridCol w:w="1890"/>
        <w:gridCol w:w="1620"/>
        <w:gridCol w:w="4950"/>
      </w:tblGrid>
      <w:tr w:rsidTr="004100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66C9F" w:rsidP="00D66C9F">
            <w:pPr>
              <w:pStyle w:val="BodyText"/>
            </w:pPr>
            <w:r w:rsidRPr="00D66C9F">
              <w:rPr>
                <w:rStyle w:val="SpecialBold"/>
              </w:rPr>
              <w:t>Concurrent assessment and relations</w:t>
            </w:r>
            <w:r w:rsidRPr="00D66C9F">
              <w:rPr>
                <w:rStyle w:val="SpecialBold"/>
              </w:rPr>
              <w:t>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rPr>
                <w:rStyle w:val="SpecialBold"/>
              </w:rPr>
              <w:t>9.5)</w:t>
            </w:r>
          </w:p>
        </w:tc>
      </w:tr>
      <w:tr w:rsidTr="004100A2">
        <w:tblPrEx>
          <w:tblW w:w="0" w:type="auto"/>
          <w:tblLayout w:type="fixed"/>
          <w:tblCellMar>
            <w:left w:w="62" w:type="dxa"/>
            <w:right w:w="62" w:type="dxa"/>
          </w:tblCellMar>
          <w:tblLook w:val="0000"/>
        </w:tblPrEx>
        <w:trPr>
          <w:trHeight w:val="1084"/>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 xml:space="preserve">There are no recommended concurrent assessments with this unit, however in some cases efficiencies may be gained in terms of learning and assessment effort being concurrently managed with allied Competency Standard Units where </w:t>
            </w:r>
            <w:r w:rsidRPr="00D66C9F">
              <w:t>listed.</w:t>
            </w:r>
          </w:p>
        </w:tc>
      </w:tr>
      <w:tr w:rsidTr="004100A2">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UEGNSG302B</w:t>
            </w:r>
          </w:p>
        </w:tc>
        <w:tc>
          <w:tcPr>
            <w:tcW w:w="495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Maintain pipeline easements</w:t>
            </w:r>
          </w:p>
        </w:tc>
      </w:tr>
      <w:tr w:rsidTr="004100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UEGNSG329A</w:t>
            </w:r>
          </w:p>
        </w:tc>
        <w:tc>
          <w:tcPr>
            <w:tcW w:w="495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Gas transmission pipeline surveillance</w:t>
            </w:r>
          </w:p>
        </w:tc>
      </w:tr>
      <w:tr w:rsidTr="004100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UEGNSG308B</w:t>
            </w:r>
          </w:p>
        </w:tc>
        <w:tc>
          <w:tcPr>
            <w:tcW w:w="495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Identify, evaluate and control threats to transmission pipelines</w:t>
            </w:r>
          </w:p>
        </w:tc>
      </w:tr>
      <w:tr w:rsidTr="004100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UEGNSG309B</w:t>
            </w:r>
          </w:p>
        </w:tc>
        <w:tc>
          <w:tcPr>
            <w:tcW w:w="495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First on site emergency response on a transmission pipeline</w:t>
            </w:r>
          </w:p>
        </w:tc>
      </w:tr>
      <w:tr w:rsidTr="004100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UEGNSG310B</w:t>
            </w:r>
          </w:p>
        </w:tc>
        <w:tc>
          <w:tcPr>
            <w:tcW w:w="495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Supervise and monitor contract work</w:t>
            </w:r>
          </w:p>
        </w:tc>
      </w:tr>
      <w:tr w:rsidTr="004100A2">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UEGNSG311B</w:t>
            </w:r>
          </w:p>
        </w:tc>
        <w:tc>
          <w:tcPr>
            <w:tcW w:w="4950" w:type="dxa"/>
            <w:tcBorders>
              <w:top w:val="nil"/>
              <w:left w:val="nil"/>
              <w:bottom w:val="nil"/>
              <w:right w:val="nil"/>
            </w:tcBorders>
            <w:tcMar>
              <w:top w:w="0" w:type="dxa"/>
              <w:left w:w="62" w:type="dxa"/>
              <w:bottom w:w="0" w:type="dxa"/>
              <w:right w:w="62" w:type="dxa"/>
            </w:tcMar>
          </w:tcPr>
          <w:p w:rsidR="00000000" w:rsidRPr="00D66C9F" w:rsidP="00D66C9F">
            <w:pPr>
              <w:pStyle w:val="BodyText"/>
            </w:pPr>
            <w:r w:rsidRPr="00D66C9F">
              <w:t>Site control of third party works in the vicinity of a transmission pipeline</w:t>
            </w:r>
          </w:p>
        </w:tc>
      </w:tr>
    </w:tbl>
    <w:p w:rsidR="004100A2" w:rsidP="00D66C9F">
      <w:pPr>
        <w:pStyle w:val="BodyText"/>
      </w:pPr>
    </w:p>
    <w:p w:rsidR="004100A2" w:rsidP="00D66C9F">
      <w:pPr>
        <w:pStyle w:val="BodyText"/>
      </w:pPr>
    </w:p>
    <w:p w:rsidR="00000000" w:rsidRPr="00D66C9F" w:rsidP="00D66C9F">
      <w:pPr>
        <w:pStyle w:val="Heading1"/>
      </w:pPr>
      <w:bookmarkStart w:id="11" w:name="O_402394"/>
      <w:bookmarkEnd w:id="11"/>
      <w:r w:rsidRPr="00D66C9F">
        <w:t>Range Statement</w:t>
      </w:r>
    </w:p>
    <w:tbl>
      <w:tblPr>
        <w:tblW w:w="0" w:type="auto"/>
        <w:tblLayout w:type="fixed"/>
        <w:tblCellMar>
          <w:left w:w="62" w:type="dxa"/>
          <w:right w:w="62" w:type="dxa"/>
        </w:tblCellMar>
        <w:tblLook w:val="0000"/>
      </w:tblPr>
      <w:tblGrid>
        <w:gridCol w:w="8460"/>
      </w:tblGrid>
      <w:tr w:rsidTr="004100A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rPr>
                <w:rStyle w:val="SpecialBold"/>
              </w:rPr>
              <w:t>RANGE STATEMENT</w:t>
            </w:r>
          </w:p>
        </w:tc>
      </w:tr>
      <w:tr w:rsidTr="004100A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rPr>
                <w:rStyle w:val="SpecialBold"/>
              </w:rPr>
              <w:t>10)</w:t>
            </w:r>
            <w:r w:rsidRPr="00D66C9F">
              <w:t xml:space="preserve"> This relates to the competency standard unit as a whole providing the range of contexts and conditions to which the Performance Criteria apply. It allows for different work environments and situations that will affect performance.</w:t>
            </w:r>
          </w:p>
        </w:tc>
      </w:tr>
      <w:tr w:rsidTr="004100A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This Competency Standar</w:t>
            </w:r>
            <w:r w:rsidRPr="00D66C9F">
              <w:t>d Unit shall be demonstrated in relation to liaising with third parties and the community to maintain pipeline integrity and community safety.</w:t>
            </w:r>
          </w:p>
        </w:tc>
      </w:tr>
      <w:tr w:rsidTr="004100A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The following constants and variables included in the element/Performance Criteria in this unit are fully described in the Definitions Section of this volume and form an integral part of the Range Statement of this unit:</w:t>
            </w:r>
          </w:p>
        </w:tc>
      </w:tr>
      <w:tr w:rsidTr="004100A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Third party liaison</w:t>
            </w:r>
          </w:p>
        </w:tc>
      </w:tr>
      <w:tr w:rsidTr="004100A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Community awa</w:t>
            </w:r>
            <w:r w:rsidRPr="00D66C9F">
              <w:t>reness</w:t>
            </w:r>
          </w:p>
        </w:tc>
      </w:tr>
      <w:tr w:rsidTr="004100A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t>Communication or communication strategy</w:t>
            </w:r>
          </w:p>
        </w:tc>
      </w:tr>
      <w:tr w:rsidTr="004100A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66C9F" w:rsidP="00D66C9F">
            <w:pPr>
              <w:pStyle w:val="BodyText"/>
            </w:pPr>
            <w:r w:rsidRPr="00D66C9F">
              <w:t>Negotiating skills</w:t>
            </w:r>
          </w:p>
        </w:tc>
      </w:tr>
    </w:tbl>
    <w:p w:rsidR="00000000" w:rsidRPr="00D66C9F" w:rsidP="00D66C9F">
      <w:pPr>
        <w:pStyle w:val="BodyText"/>
      </w:pPr>
    </w:p>
    <w:p w:rsidR="00000000" w:rsidRPr="00D66C9F" w:rsidP="00D66C9F">
      <w:pPr>
        <w:pStyle w:val="AllowPageBreak"/>
      </w:pPr>
    </w:p>
    <w:p w:rsidR="00000000" w:rsidRPr="00D66C9F" w:rsidP="00D66C9F">
      <w:pPr>
        <w:pStyle w:val="Heading1"/>
      </w:pPr>
      <w:bookmarkStart w:id="12" w:name="O_402397"/>
      <w:bookmarkEnd w:id="12"/>
      <w:r w:rsidRPr="00D66C9F">
        <w:t>Unit Sector(s)</w:t>
      </w:r>
    </w:p>
    <w:p w:rsidR="00000000" w:rsidRPr="00D66C9F" w:rsidP="00D66C9F">
      <w:pPr>
        <w:pStyle w:val="BodyText"/>
      </w:pPr>
      <w:r w:rsidRPr="00D66C9F">
        <w:t>Not applicable.</w:t>
      </w:r>
    </w:p>
    <w:p w:rsidR="00000000" w:rsidRPr="00D66C9F" w:rsidP="00D66C9F">
      <w:pPr>
        <w:pStyle w:val="AllowPageBreak"/>
      </w:pPr>
    </w:p>
    <w:p w:rsidR="00000000" w:rsidRPr="00D66C9F" w:rsidP="00D66C9F">
      <w:pPr>
        <w:pStyle w:val="Heading1"/>
      </w:pPr>
      <w:bookmarkStart w:id="13" w:name="O_402386"/>
      <w:bookmarkEnd w:id="13"/>
      <w:r w:rsidRPr="00D66C9F">
        <w:t>Competency Field</w:t>
      </w:r>
    </w:p>
    <w:tbl>
      <w:tblPr>
        <w:tblW w:w="0" w:type="auto"/>
        <w:tblLayout w:type="fixed"/>
        <w:tblCellMar>
          <w:left w:w="62" w:type="dxa"/>
          <w:right w:w="62" w:type="dxa"/>
        </w:tblCellMar>
        <w:tblLook w:val="0000"/>
      </w:tblPr>
      <w:tblGrid>
        <w:gridCol w:w="2700"/>
        <w:gridCol w:w="5760"/>
      </w:tblGrid>
      <w:tr w:rsidTr="004100A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66C9F" w:rsidP="00D66C9F">
            <w:pPr>
              <w:pStyle w:val="BodyText"/>
            </w:pPr>
            <w:r w:rsidRPr="00D66C9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66C9F">
            <w:pPr>
              <w:pStyle w:val="BodyText"/>
              <w:rPr>
                <w:lang w:val="en-NZ"/>
              </w:rPr>
            </w:pPr>
            <w:r w:rsidRPr="00D66C9F">
              <w:rPr>
                <w:rStyle w:val="SpecialBold"/>
              </w:rPr>
              <w:t xml:space="preserve">11) </w:t>
            </w:r>
          </w:p>
        </w:tc>
      </w:tr>
      <w:tr w:rsidTr="004100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66C9F" w:rsidP="00D66C9F">
            <w:pPr>
              <w:pStyle w:val="BodyText"/>
            </w:pPr>
            <w:r w:rsidRPr="00D66C9F">
              <w:t>Transmission.</w:t>
            </w:r>
          </w:p>
        </w:tc>
      </w:tr>
    </w:tbl>
    <w:p w:rsidR="00000000" w:rsidRPr="00D66C9F" w:rsidP="00D66C9F">
      <w:pPr>
        <w:pStyle w:val="BodyText"/>
      </w:pPr>
    </w:p>
    <w:p w:rsidR="00000000" w:rsidRPr="00D66C9F" w:rsidP="00D66C9F"/>
    <w:sectPr w:rsidSect="00D66C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C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00A2" w:rsidP="004100A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C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0A2" w:rsidP="00D66C9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4100A2" w:rsidP="00D66C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100A2" w:rsidP="00D66C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C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C9F" w:rsidRPr="004100A2" w:rsidP="004100A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C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0A2" w:rsidRPr="002D2AF8" w:rsidP="00D66C9F">
    <w:pPr>
      <w:pStyle w:val="Header"/>
      <w:framePr w:wrap="around"/>
    </w:pPr>
    <w:r>
      <w:fldChar w:fldCharType="begin"/>
    </w:r>
    <w:r>
      <w:instrText xml:space="preserve"> TITLE   \* MERGEFORMAT </w:instrText>
    </w:r>
    <w:r>
      <w:fldChar w:fldCharType="separate"/>
    </w:r>
    <w:r>
      <w:t>UEGNSG314B Liaise with third party and the community to maintain pipeline integrity and community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4100A2" w:rsidP="00D66C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7A71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12EB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5CFF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C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6C9F"/>
    <w:pPr>
      <w:spacing w:before="360" w:after="60"/>
      <w:outlineLvl w:val="0"/>
    </w:pPr>
    <w:rPr>
      <w:sz w:val="32"/>
    </w:rPr>
  </w:style>
  <w:style w:type="paragraph" w:styleId="Heading2">
    <w:name w:val="heading 2"/>
    <w:basedOn w:val="HeadingBase"/>
    <w:next w:val="BodyText"/>
    <w:link w:val="Heading2Char"/>
    <w:qFormat/>
    <w:rsid w:val="00D66C9F"/>
    <w:pPr>
      <w:keepLines/>
      <w:spacing w:before="240" w:after="120"/>
      <w:outlineLvl w:val="1"/>
    </w:pPr>
    <w:rPr>
      <w:sz w:val="28"/>
      <w:szCs w:val="40"/>
    </w:rPr>
  </w:style>
  <w:style w:type="paragraph" w:styleId="Heading3">
    <w:name w:val="heading 3"/>
    <w:basedOn w:val="HeadingBase"/>
    <w:next w:val="BodyText"/>
    <w:link w:val="Heading3Char"/>
    <w:qFormat/>
    <w:rsid w:val="00D66C9F"/>
    <w:pPr>
      <w:spacing w:before="180" w:after="120"/>
      <w:outlineLvl w:val="2"/>
    </w:pPr>
    <w:rPr>
      <w:spacing w:val="-10"/>
      <w:kern w:val="32"/>
    </w:rPr>
  </w:style>
  <w:style w:type="paragraph" w:styleId="Heading4">
    <w:name w:val="heading 4"/>
    <w:basedOn w:val="HeadingBase"/>
    <w:next w:val="BodyText"/>
    <w:link w:val="Heading4Char"/>
    <w:qFormat/>
    <w:rsid w:val="00D66C9F"/>
    <w:pPr>
      <w:spacing w:before="160" w:after="120"/>
      <w:outlineLvl w:val="3"/>
    </w:pPr>
    <w:rPr>
      <w:sz w:val="22"/>
    </w:rPr>
  </w:style>
  <w:style w:type="paragraph" w:styleId="Heading5">
    <w:name w:val="heading 5"/>
    <w:basedOn w:val="HeadingBase"/>
    <w:next w:val="Normal"/>
    <w:link w:val="Heading5Char"/>
    <w:qFormat/>
    <w:rsid w:val="00D66C9F"/>
    <w:pPr>
      <w:spacing w:before="80"/>
      <w:outlineLvl w:val="4"/>
    </w:pPr>
    <w:rPr>
      <w:color w:val="918585"/>
      <w:sz w:val="20"/>
    </w:rPr>
  </w:style>
  <w:style w:type="paragraph" w:styleId="Heading6">
    <w:name w:val="heading 6"/>
    <w:basedOn w:val="HeadingBase"/>
    <w:next w:val="Normal"/>
    <w:link w:val="Heading6Char"/>
    <w:qFormat/>
    <w:rsid w:val="00D66C9F"/>
    <w:pPr>
      <w:spacing w:before="60"/>
      <w:outlineLvl w:val="5"/>
    </w:pPr>
    <w:rPr>
      <w:color w:val="918585"/>
      <w:sz w:val="20"/>
    </w:rPr>
  </w:style>
  <w:style w:type="paragraph" w:styleId="Heading7">
    <w:name w:val="heading 7"/>
    <w:basedOn w:val="Normal"/>
    <w:next w:val="Normal"/>
    <w:link w:val="Heading7Char"/>
    <w:qFormat/>
    <w:rsid w:val="00D66C9F"/>
    <w:pPr>
      <w:ind w:left="720"/>
      <w:outlineLvl w:val="6"/>
    </w:pPr>
    <w:rPr>
      <w:i/>
    </w:rPr>
  </w:style>
  <w:style w:type="paragraph" w:styleId="Heading8">
    <w:name w:val="heading 8"/>
    <w:basedOn w:val="Normal"/>
    <w:next w:val="Normal"/>
    <w:link w:val="Heading8Char"/>
    <w:qFormat/>
    <w:rsid w:val="00D66C9F"/>
    <w:pPr>
      <w:ind w:left="720"/>
      <w:outlineLvl w:val="7"/>
    </w:pPr>
    <w:rPr>
      <w:i/>
    </w:rPr>
  </w:style>
  <w:style w:type="paragraph" w:styleId="Heading9">
    <w:name w:val="heading 9"/>
    <w:basedOn w:val="Normal"/>
    <w:next w:val="Normal"/>
    <w:link w:val="Heading9Char"/>
    <w:qFormat/>
    <w:rsid w:val="00D66C9F"/>
    <w:pPr>
      <w:ind w:left="720"/>
      <w:outlineLvl w:val="8"/>
    </w:pPr>
    <w:rPr>
      <w:i/>
    </w:rPr>
  </w:style>
  <w:style w:type="character" w:default="1" w:styleId="DefaultParagraphFont">
    <w:name w:val="Default Paragraph Font"/>
    <w:uiPriority w:val="1"/>
    <w:unhideWhenUsed/>
    <w:rsid w:val="00D66C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6C9F"/>
  </w:style>
  <w:style w:type="character" w:customStyle="1" w:styleId="Heading1Char">
    <w:name w:val="Heading 1 Char"/>
    <w:basedOn w:val="DefaultParagraphFont"/>
    <w:link w:val="Heading1"/>
    <w:rsid w:val="00D66C9F"/>
    <w:rPr>
      <w:rFonts w:ascii="Times New Roman" w:eastAsia="Times New Roman" w:hAnsi="Times New Roman" w:cs="Times New Roman"/>
      <w:b/>
      <w:sz w:val="32"/>
      <w:szCs w:val="20"/>
      <w:lang w:eastAsia="en-US"/>
    </w:rPr>
  </w:style>
  <w:style w:type="paragraph" w:styleId="BodyText">
    <w:name w:val="Body Text"/>
    <w:basedOn w:val="Normal"/>
    <w:link w:val="BodyTextChar"/>
    <w:rsid w:val="00D66C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6C9F"/>
    <w:rPr>
      <w:rFonts w:ascii="Times New Roman" w:eastAsia="Times New Roman" w:hAnsi="Times New Roman" w:cs="Times New Roman"/>
      <w:sz w:val="24"/>
      <w:lang w:eastAsia="en-US"/>
    </w:rPr>
  </w:style>
  <w:style w:type="paragraph" w:styleId="Footer">
    <w:name w:val="footer"/>
    <w:basedOn w:val="Normal"/>
    <w:link w:val="FooterChar"/>
    <w:rsid w:val="00D66C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6C9F"/>
    <w:rPr>
      <w:rFonts w:ascii="Times New Roman" w:eastAsia="Times New Roman" w:hAnsi="Times New Roman" w:cs="Times New Roman"/>
      <w:sz w:val="16"/>
      <w:lang w:eastAsia="en-US"/>
    </w:rPr>
  </w:style>
  <w:style w:type="paragraph" w:styleId="ListBullet">
    <w:name w:val="List Bullet"/>
    <w:basedOn w:val="List"/>
    <w:rsid w:val="00D66C9F"/>
    <w:pPr>
      <w:numPr>
        <w:numId w:val="14"/>
      </w:numPr>
      <w:tabs>
        <w:tab w:val="clear" w:pos="340"/>
      </w:tabs>
      <w:spacing w:before="40" w:after="40"/>
    </w:pPr>
  </w:style>
  <w:style w:type="character" w:customStyle="1" w:styleId="SpecialBold">
    <w:name w:val="Special Bold"/>
    <w:basedOn w:val="DefaultParagraphFont"/>
    <w:rsid w:val="00D66C9F"/>
    <w:rPr>
      <w:b/>
      <w:spacing w:val="0"/>
    </w:rPr>
  </w:style>
  <w:style w:type="paragraph" w:styleId="ListBullet2">
    <w:name w:val="List Bullet 2"/>
    <w:basedOn w:val="List2"/>
    <w:rsid w:val="00D66C9F"/>
    <w:pPr>
      <w:numPr>
        <w:numId w:val="15"/>
      </w:numPr>
      <w:tabs>
        <w:tab w:val="clear" w:pos="680"/>
      </w:tabs>
    </w:pPr>
  </w:style>
  <w:style w:type="paragraph" w:customStyle="1" w:styleId="SuperHeading">
    <w:name w:val="SuperHeading"/>
    <w:basedOn w:val="Normal"/>
    <w:rsid w:val="00D66C9F"/>
    <w:pPr>
      <w:spacing w:before="240" w:after="120"/>
      <w:outlineLvl w:val="0"/>
    </w:pPr>
    <w:rPr>
      <w:rFonts w:ascii="Times New Roman" w:hAnsi="Times New Roman"/>
      <w:b/>
      <w:sz w:val="28"/>
    </w:rPr>
  </w:style>
  <w:style w:type="paragraph" w:customStyle="1" w:styleId="AllowPageBreak">
    <w:name w:val="AllowPageBreak"/>
    <w:rsid w:val="00D66C9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66C9F"/>
    <w:pPr>
      <w:numPr>
        <w:numId w:val="3"/>
      </w:numPr>
      <w:tabs>
        <w:tab w:val="clear" w:pos="1021"/>
      </w:tabs>
      <w:ind w:left="1037" w:hanging="357"/>
    </w:pPr>
  </w:style>
  <w:style w:type="character" w:customStyle="1" w:styleId="Heading2Char">
    <w:name w:val="Heading 2 Char"/>
    <w:basedOn w:val="DefaultParagraphFont"/>
    <w:link w:val="Heading2"/>
    <w:rsid w:val="00D66C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6C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6C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6C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6C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6C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6C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6C9F"/>
    <w:rPr>
      <w:rFonts w:ascii="Courier New" w:eastAsia="Times New Roman" w:hAnsi="Courier New" w:cs="Times New Roman"/>
      <w:i/>
      <w:szCs w:val="20"/>
      <w:lang w:eastAsia="en-US"/>
    </w:rPr>
  </w:style>
  <w:style w:type="paragraph" w:customStyle="1" w:styleId="HeadingBase">
    <w:name w:val="Heading Base"/>
    <w:rsid w:val="00D66C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6C9F"/>
    <w:pPr>
      <w:tabs>
        <w:tab w:val="right" w:leader="dot" w:pos="9072"/>
      </w:tabs>
      <w:ind w:left="567"/>
    </w:pPr>
    <w:rPr>
      <w:szCs w:val="22"/>
    </w:rPr>
  </w:style>
  <w:style w:type="paragraph" w:customStyle="1" w:styleId="TOCBase">
    <w:name w:val="TOC Base"/>
    <w:rsid w:val="00D66C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6C9F"/>
    <w:pPr>
      <w:tabs>
        <w:tab w:val="right" w:leader="dot" w:pos="9072"/>
      </w:tabs>
      <w:spacing w:before="40" w:after="40"/>
      <w:ind w:left="284"/>
    </w:pPr>
    <w:rPr>
      <w:rFonts w:ascii="Times New Roman" w:hAnsi="Times New Roman"/>
    </w:rPr>
  </w:style>
  <w:style w:type="paragraph" w:styleId="TOC1">
    <w:name w:val="toc 1"/>
    <w:basedOn w:val="TOCBase"/>
    <w:next w:val="Normal"/>
    <w:rsid w:val="00D66C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6C9F"/>
    <w:pPr>
      <w:spacing w:before="5040"/>
      <w:jc w:val="center"/>
    </w:pPr>
    <w:rPr>
      <w:sz w:val="48"/>
      <w:szCs w:val="72"/>
      <w:lang w:val="en-US"/>
    </w:rPr>
  </w:style>
  <w:style w:type="character" w:customStyle="1" w:styleId="TitleChar">
    <w:name w:val="Title Char"/>
    <w:basedOn w:val="DefaultParagraphFont"/>
    <w:link w:val="Title"/>
    <w:rsid w:val="00D66C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6C9F"/>
    <w:pPr>
      <w:tabs>
        <w:tab w:val="left" w:pos="3600"/>
        <w:tab w:val="left" w:pos="3958"/>
      </w:tabs>
    </w:pPr>
  </w:style>
  <w:style w:type="paragraph" w:styleId="List">
    <w:name w:val="List"/>
    <w:basedOn w:val="BodyText"/>
    <w:next w:val="BodyText"/>
    <w:rsid w:val="00D66C9F"/>
    <w:pPr>
      <w:tabs>
        <w:tab w:val="left" w:pos="340"/>
      </w:tabs>
      <w:spacing w:before="60" w:after="60"/>
      <w:ind w:left="340" w:hanging="340"/>
    </w:pPr>
  </w:style>
  <w:style w:type="paragraph" w:customStyle="1" w:styleId="Note">
    <w:name w:val="Note"/>
    <w:basedOn w:val="BodyText"/>
    <w:rsid w:val="00D66C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6C9F"/>
    <w:pPr>
      <w:framePr w:wrap="auto" w:hAnchor="text" w:y="6049"/>
    </w:pPr>
    <w:rPr>
      <w:color w:val="000000"/>
      <w:sz w:val="40"/>
    </w:rPr>
  </w:style>
  <w:style w:type="paragraph" w:customStyle="1" w:styleId="TOCTitle">
    <w:name w:val="TOCTitle"/>
    <w:basedOn w:val="Heading1"/>
    <w:rsid w:val="00D66C9F"/>
    <w:pPr>
      <w:spacing w:after="240"/>
      <w:jc w:val="center"/>
      <w:outlineLvl w:val="9"/>
    </w:pPr>
    <w:rPr>
      <w:caps/>
    </w:rPr>
  </w:style>
  <w:style w:type="paragraph" w:customStyle="1" w:styleId="Version">
    <w:name w:val="Version"/>
    <w:rsid w:val="00D66C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6C9F"/>
    <w:pPr>
      <w:keepNext w:val="0"/>
      <w:tabs>
        <w:tab w:val="right" w:pos="4176"/>
      </w:tabs>
      <w:ind w:left="198" w:hanging="198"/>
    </w:pPr>
    <w:rPr>
      <w:rFonts w:ascii="Garamond" w:hAnsi="Garamond"/>
    </w:rPr>
  </w:style>
  <w:style w:type="paragraph" w:styleId="IndexHeading">
    <w:name w:val="index heading"/>
    <w:basedOn w:val="Normal"/>
    <w:next w:val="Index1"/>
    <w:semiHidden/>
    <w:rsid w:val="00D66C9F"/>
    <w:pPr>
      <w:spacing w:before="120" w:after="120"/>
    </w:pPr>
    <w:rPr>
      <w:rFonts w:ascii="Arial" w:hAnsi="Arial"/>
      <w:b/>
      <w:color w:val="918585"/>
      <w:sz w:val="24"/>
    </w:rPr>
  </w:style>
  <w:style w:type="paragraph" w:styleId="Header">
    <w:name w:val="header"/>
    <w:basedOn w:val="Normal"/>
    <w:link w:val="HeaderChar"/>
    <w:rsid w:val="00D66C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6C9F"/>
    <w:rPr>
      <w:rFonts w:ascii="Times New Roman" w:eastAsia="Times New Roman" w:hAnsi="Times New Roman" w:cs="Times New Roman"/>
      <w:sz w:val="16"/>
      <w:szCs w:val="20"/>
      <w:lang w:val="en-GB" w:eastAsia="en-US"/>
    </w:rPr>
  </w:style>
  <w:style w:type="paragraph" w:customStyle="1" w:styleId="Chapter">
    <w:name w:val="Chapter"/>
    <w:basedOn w:val="Normal"/>
    <w:rsid w:val="00D66C9F"/>
    <w:pPr>
      <w:spacing w:before="240"/>
    </w:pPr>
    <w:rPr>
      <w:rFonts w:ascii="Times New Roman" w:hAnsi="Times New Roman"/>
      <w:smallCaps/>
      <w:spacing w:val="80"/>
      <w:sz w:val="28"/>
    </w:rPr>
  </w:style>
  <w:style w:type="paragraph" w:customStyle="1" w:styleId="InChapter">
    <w:name w:val="InChapter"/>
    <w:basedOn w:val="Heading3"/>
    <w:rsid w:val="00D66C9F"/>
    <w:pPr>
      <w:spacing w:after="240"/>
      <w:outlineLvl w:val="9"/>
    </w:pPr>
    <w:rPr>
      <w:noProof/>
    </w:rPr>
  </w:style>
  <w:style w:type="paragraph" w:styleId="Index2">
    <w:name w:val="index 2"/>
    <w:basedOn w:val="Normal"/>
    <w:next w:val="Normal"/>
    <w:semiHidden/>
    <w:rsid w:val="00D66C9F"/>
    <w:pPr>
      <w:tabs>
        <w:tab w:val="right" w:pos="4176"/>
      </w:tabs>
      <w:ind w:left="568" w:hanging="284"/>
    </w:pPr>
    <w:rPr>
      <w:rFonts w:ascii="Garamond" w:hAnsi="Garamond"/>
    </w:rPr>
  </w:style>
  <w:style w:type="paragraph" w:customStyle="1" w:styleId="Byline">
    <w:name w:val="Byline"/>
    <w:rsid w:val="00D66C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6C9F"/>
    <w:pPr>
      <w:tabs>
        <w:tab w:val="clear" w:pos="3600"/>
        <w:tab w:val="clear" w:pos="3958"/>
      </w:tabs>
      <w:jc w:val="right"/>
    </w:pPr>
  </w:style>
  <w:style w:type="character" w:styleId="Emphasis">
    <w:name w:val="Emphasis"/>
    <w:basedOn w:val="DefaultParagraphFont"/>
    <w:qFormat/>
    <w:rsid w:val="00D66C9F"/>
    <w:rPr>
      <w:i/>
    </w:rPr>
  </w:style>
  <w:style w:type="paragraph" w:styleId="Caption">
    <w:name w:val="caption"/>
    <w:basedOn w:val="BodyText"/>
    <w:next w:val="Normal"/>
    <w:qFormat/>
    <w:rsid w:val="00D66C9F"/>
    <w:pPr>
      <w:framePr w:w="2268" w:hSpace="181" w:vSpace="181" w:wrap="around" w:vAnchor="text" w:hAnchor="page" w:x="1135" w:y="285" w:anchorLock="1"/>
    </w:pPr>
    <w:rPr>
      <w:i/>
    </w:rPr>
  </w:style>
  <w:style w:type="paragraph" w:customStyle="1" w:styleId="MiniTOCTitle">
    <w:name w:val="MiniTOCTitle"/>
    <w:basedOn w:val="Heading4"/>
    <w:rsid w:val="00D66C9F"/>
    <w:pPr>
      <w:spacing w:before="240"/>
      <w:outlineLvl w:val="9"/>
    </w:pPr>
    <w:rPr>
      <w:noProof/>
      <w:sz w:val="24"/>
    </w:rPr>
  </w:style>
  <w:style w:type="paragraph" w:customStyle="1" w:styleId="MiniTOCItem">
    <w:name w:val="MiniTOCItem"/>
    <w:basedOn w:val="ListBullet"/>
    <w:rsid w:val="00D66C9F"/>
    <w:pPr>
      <w:numPr>
        <w:numId w:val="0"/>
      </w:numPr>
      <w:tabs>
        <w:tab w:val="right" w:leader="dot" w:pos="6521"/>
      </w:tabs>
      <w:spacing w:before="0" w:after="0"/>
    </w:pPr>
  </w:style>
  <w:style w:type="paragraph" w:customStyle="1" w:styleId="TOFTitle">
    <w:name w:val="TOFTitle"/>
    <w:basedOn w:val="TOCTitle"/>
    <w:rsid w:val="00D66C9F"/>
  </w:style>
  <w:style w:type="paragraph" w:styleId="TableofFigures">
    <w:name w:val="table of figures"/>
    <w:basedOn w:val="Normal"/>
    <w:next w:val="Normal"/>
    <w:semiHidden/>
    <w:rsid w:val="00D66C9F"/>
    <w:pPr>
      <w:tabs>
        <w:tab w:val="right" w:leader="dot" w:pos="9072"/>
      </w:tabs>
      <w:ind w:left="970" w:hanging="403"/>
    </w:pPr>
    <w:rPr>
      <w:rFonts w:ascii="Times New Roman" w:hAnsi="Times New Roman"/>
      <w:b/>
    </w:rPr>
  </w:style>
  <w:style w:type="paragraph" w:styleId="ListNumber">
    <w:name w:val="List Number"/>
    <w:basedOn w:val="List"/>
    <w:rsid w:val="00D66C9F"/>
    <w:pPr>
      <w:numPr>
        <w:numId w:val="12"/>
      </w:numPr>
    </w:pPr>
  </w:style>
  <w:style w:type="character" w:customStyle="1" w:styleId="WingdingSymbols">
    <w:name w:val="Wingding Symbols"/>
    <w:rsid w:val="00D66C9F"/>
    <w:rPr>
      <w:rFonts w:ascii="Wingdings" w:hAnsi="Wingdings"/>
    </w:rPr>
  </w:style>
  <w:style w:type="paragraph" w:customStyle="1" w:styleId="TableHeading">
    <w:name w:val="Table Heading"/>
    <w:basedOn w:val="HeadingBase"/>
    <w:rsid w:val="00D66C9F"/>
    <w:pPr>
      <w:keepLines/>
      <w:pBdr>
        <w:bottom w:val="single" w:sz="6" w:space="1" w:color="918585"/>
      </w:pBdr>
      <w:spacing w:before="240"/>
    </w:pPr>
  </w:style>
  <w:style w:type="character" w:customStyle="1" w:styleId="HotSpot">
    <w:name w:val="HotSpot"/>
    <w:rsid w:val="00D66C9F"/>
    <w:rPr>
      <w:color w:val="0033CC"/>
      <w:u w:val="none"/>
    </w:rPr>
  </w:style>
  <w:style w:type="paragraph" w:customStyle="1" w:styleId="BodyTextRight">
    <w:name w:val="Body Text Right"/>
    <w:basedOn w:val="BodyText"/>
    <w:rsid w:val="00D66C9F"/>
    <w:pPr>
      <w:spacing w:before="0" w:after="0"/>
      <w:jc w:val="right"/>
    </w:pPr>
  </w:style>
  <w:style w:type="paragraph" w:styleId="Index3">
    <w:name w:val="index 3"/>
    <w:basedOn w:val="ListNumber2"/>
    <w:next w:val="Normal"/>
    <w:semiHidden/>
    <w:rsid w:val="00D66C9F"/>
    <w:pPr>
      <w:numPr>
        <w:numId w:val="0"/>
      </w:numPr>
      <w:tabs>
        <w:tab w:val="right" w:leader="dot" w:pos="4176"/>
      </w:tabs>
    </w:pPr>
  </w:style>
  <w:style w:type="paragraph" w:styleId="ListNumber2">
    <w:name w:val="List Number 2"/>
    <w:basedOn w:val="List2"/>
    <w:rsid w:val="00D66C9F"/>
    <w:pPr>
      <w:numPr>
        <w:numId w:val="11"/>
      </w:numPr>
      <w:tabs>
        <w:tab w:val="clear" w:pos="1060"/>
      </w:tabs>
    </w:pPr>
  </w:style>
  <w:style w:type="paragraph" w:customStyle="1" w:styleId="MarginNote">
    <w:name w:val="Margin Note"/>
    <w:basedOn w:val="BodyText"/>
    <w:rsid w:val="00D66C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6C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6C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6C9F"/>
    <w:rPr>
      <w:sz w:val="32"/>
    </w:rPr>
  </w:style>
  <w:style w:type="paragraph" w:customStyle="1" w:styleId="HeadingProcedure">
    <w:name w:val="Heading Procedure"/>
    <w:basedOn w:val="HeadingBase"/>
    <w:next w:val="Normal"/>
    <w:rsid w:val="00D66C9F"/>
    <w:pPr>
      <w:tabs>
        <w:tab w:val="left" w:pos="0"/>
      </w:tabs>
      <w:spacing w:before="120" w:after="60"/>
    </w:pPr>
    <w:rPr>
      <w:i/>
      <w:color w:val="918585"/>
      <w:sz w:val="22"/>
    </w:rPr>
  </w:style>
  <w:style w:type="paragraph" w:customStyle="1" w:styleId="TableBodyText">
    <w:name w:val="Table Body Text"/>
    <w:basedOn w:val="BodyText"/>
    <w:rsid w:val="00D66C9F"/>
    <w:pPr>
      <w:spacing w:before="60" w:after="60"/>
    </w:pPr>
  </w:style>
  <w:style w:type="paragraph" w:styleId="ListContinue">
    <w:name w:val="List Continue"/>
    <w:basedOn w:val="List"/>
    <w:rsid w:val="00D66C9F"/>
    <w:pPr>
      <w:ind w:firstLine="0"/>
    </w:pPr>
  </w:style>
  <w:style w:type="paragraph" w:customStyle="1" w:styleId="ListNote">
    <w:name w:val="List Note"/>
    <w:basedOn w:val="List"/>
    <w:rsid w:val="00D66C9F"/>
    <w:pPr>
      <w:pBdr>
        <w:top w:val="single" w:sz="6" w:space="2" w:color="918585"/>
        <w:bottom w:val="single" w:sz="6" w:space="2" w:color="918585"/>
      </w:pBdr>
      <w:tabs>
        <w:tab w:val="left" w:pos="1021"/>
      </w:tabs>
      <w:ind w:firstLine="0"/>
    </w:pPr>
  </w:style>
  <w:style w:type="paragraph" w:customStyle="1" w:styleId="Warning">
    <w:name w:val="Warning"/>
    <w:basedOn w:val="BodyText"/>
    <w:rsid w:val="00D66C9F"/>
    <w:pPr>
      <w:shd w:val="clear" w:color="auto" w:fill="D9D9D9"/>
      <w:tabs>
        <w:tab w:val="left" w:pos="992"/>
      </w:tabs>
      <w:ind w:left="119" w:right="119"/>
    </w:pPr>
    <w:rPr>
      <w:sz w:val="20"/>
    </w:rPr>
  </w:style>
  <w:style w:type="paragraph" w:customStyle="1" w:styleId="MarginIcons">
    <w:name w:val="Margin Icons"/>
    <w:basedOn w:val="BodyText"/>
    <w:rsid w:val="00D66C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6C9F"/>
    <w:rPr>
      <w:rFonts w:ascii="Courier New" w:hAnsi="Courier New"/>
    </w:rPr>
  </w:style>
  <w:style w:type="paragraph" w:customStyle="1" w:styleId="NoteBullet">
    <w:name w:val="Note Bullet"/>
    <w:basedOn w:val="Note"/>
    <w:rsid w:val="00D66C9F"/>
    <w:pPr>
      <w:tabs>
        <w:tab w:val="clear" w:pos="680"/>
      </w:tabs>
      <w:spacing w:before="60" w:after="60"/>
    </w:pPr>
  </w:style>
  <w:style w:type="paragraph" w:customStyle="1" w:styleId="SubHeading2">
    <w:name w:val="SubHeading2"/>
    <w:basedOn w:val="HeadingBase"/>
    <w:rsid w:val="00D66C9F"/>
    <w:pPr>
      <w:spacing w:before="240" w:after="60"/>
    </w:pPr>
    <w:rPr>
      <w:sz w:val="20"/>
    </w:rPr>
  </w:style>
  <w:style w:type="paragraph" w:customStyle="1" w:styleId="SubHeading1">
    <w:name w:val="SubHeading1"/>
    <w:basedOn w:val="HeadingBase"/>
    <w:rsid w:val="00D66C9F"/>
    <w:pPr>
      <w:spacing w:before="240" w:after="60"/>
    </w:pPr>
    <w:rPr>
      <w:color w:val="918585"/>
      <w:sz w:val="22"/>
    </w:rPr>
  </w:style>
  <w:style w:type="paragraph" w:customStyle="1" w:styleId="SideHeading">
    <w:name w:val="Side Heading"/>
    <w:basedOn w:val="HeadingBase"/>
    <w:rsid w:val="00D66C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6C9F"/>
    <w:pPr>
      <w:numPr>
        <w:numId w:val="13"/>
      </w:numPr>
    </w:pPr>
  </w:style>
  <w:style w:type="paragraph" w:styleId="PlainText">
    <w:name w:val="Plain Text"/>
    <w:basedOn w:val="Normal"/>
    <w:link w:val="PlainTextChar"/>
    <w:rsid w:val="00D66C9F"/>
    <w:rPr>
      <w:sz w:val="20"/>
    </w:rPr>
  </w:style>
  <w:style w:type="character" w:customStyle="1" w:styleId="PlainTextChar">
    <w:name w:val="Plain Text Char"/>
    <w:basedOn w:val="DefaultParagraphFont"/>
    <w:link w:val="PlainText"/>
    <w:rsid w:val="00D66C9F"/>
    <w:rPr>
      <w:rFonts w:ascii="Courier New" w:eastAsia="Times New Roman" w:hAnsi="Courier New" w:cs="Times New Roman"/>
      <w:sz w:val="20"/>
      <w:szCs w:val="20"/>
      <w:lang w:eastAsia="en-US"/>
    </w:rPr>
  </w:style>
  <w:style w:type="character" w:customStyle="1" w:styleId="MenuOption">
    <w:name w:val="Menu Option"/>
    <w:basedOn w:val="DefaultParagraphFont"/>
    <w:rsid w:val="00D66C9F"/>
    <w:rPr>
      <w:b/>
      <w:smallCaps/>
    </w:rPr>
  </w:style>
  <w:style w:type="paragraph" w:customStyle="1" w:styleId="TableListNumber">
    <w:name w:val="Table List Number"/>
    <w:basedOn w:val="ListNumber"/>
    <w:rsid w:val="00D66C9F"/>
    <w:pPr>
      <w:numPr>
        <w:numId w:val="0"/>
      </w:numPr>
    </w:pPr>
  </w:style>
  <w:style w:type="paragraph" w:styleId="TOC4">
    <w:name w:val="toc 4"/>
    <w:basedOn w:val="TOCBase"/>
    <w:next w:val="Normal"/>
    <w:semiHidden/>
    <w:rsid w:val="00D66C9F"/>
    <w:pPr>
      <w:tabs>
        <w:tab w:val="right" w:leader="dot" w:pos="9071"/>
      </w:tabs>
      <w:ind w:left="1701"/>
    </w:pPr>
  </w:style>
  <w:style w:type="paragraph" w:customStyle="1" w:styleId="ListAlpha">
    <w:name w:val="List Alpha"/>
    <w:basedOn w:val="List"/>
    <w:rsid w:val="00D66C9F"/>
    <w:pPr>
      <w:numPr>
        <w:numId w:val="10"/>
      </w:numPr>
    </w:pPr>
  </w:style>
  <w:style w:type="paragraph" w:customStyle="1" w:styleId="ListAlpha2">
    <w:name w:val="List Alpha 2"/>
    <w:basedOn w:val="List2"/>
    <w:rsid w:val="00D66C9F"/>
    <w:pPr>
      <w:numPr>
        <w:numId w:val="9"/>
      </w:numPr>
    </w:pPr>
  </w:style>
  <w:style w:type="paragraph" w:styleId="List2">
    <w:name w:val="List 2"/>
    <w:basedOn w:val="BodyText"/>
    <w:rsid w:val="00D66C9F"/>
    <w:pPr>
      <w:tabs>
        <w:tab w:val="left" w:pos="680"/>
      </w:tabs>
      <w:spacing w:before="60" w:after="60"/>
      <w:ind w:left="680" w:hanging="340"/>
    </w:pPr>
  </w:style>
  <w:style w:type="paragraph" w:styleId="List3">
    <w:name w:val="List 3"/>
    <w:basedOn w:val="BodyText"/>
    <w:rsid w:val="00D66C9F"/>
    <w:pPr>
      <w:tabs>
        <w:tab w:val="left" w:pos="1021"/>
      </w:tabs>
      <w:spacing w:before="60" w:after="60"/>
      <w:ind w:left="1020" w:hanging="340"/>
    </w:pPr>
  </w:style>
  <w:style w:type="paragraph" w:styleId="List4">
    <w:name w:val="List 4"/>
    <w:basedOn w:val="BodyText"/>
    <w:rsid w:val="00D66C9F"/>
    <w:pPr>
      <w:tabs>
        <w:tab w:val="left" w:pos="1361"/>
      </w:tabs>
      <w:spacing w:before="60" w:after="60"/>
      <w:ind w:left="1361" w:hanging="340"/>
    </w:pPr>
  </w:style>
  <w:style w:type="paragraph" w:styleId="List5">
    <w:name w:val="List 5"/>
    <w:basedOn w:val="BodyText"/>
    <w:rsid w:val="00D66C9F"/>
    <w:pPr>
      <w:tabs>
        <w:tab w:val="left" w:pos="1701"/>
      </w:tabs>
      <w:spacing w:before="60" w:after="60"/>
      <w:ind w:left="1701" w:hanging="340"/>
    </w:pPr>
  </w:style>
  <w:style w:type="paragraph" w:styleId="ListBullet4">
    <w:name w:val="List Bullet 4"/>
    <w:basedOn w:val="List4"/>
    <w:rsid w:val="00D66C9F"/>
    <w:pPr>
      <w:numPr>
        <w:numId w:val="4"/>
      </w:numPr>
    </w:pPr>
  </w:style>
  <w:style w:type="paragraph" w:styleId="ListBullet5">
    <w:name w:val="List Bullet 5"/>
    <w:basedOn w:val="List5"/>
    <w:rsid w:val="00D66C9F"/>
    <w:pPr>
      <w:numPr>
        <w:numId w:val="5"/>
      </w:numPr>
    </w:pPr>
  </w:style>
  <w:style w:type="paragraph" w:styleId="ListContinue2">
    <w:name w:val="List Continue 2"/>
    <w:basedOn w:val="List2"/>
    <w:rsid w:val="00D66C9F"/>
    <w:pPr>
      <w:ind w:firstLine="0"/>
    </w:pPr>
  </w:style>
  <w:style w:type="paragraph" w:styleId="ListContinue3">
    <w:name w:val="List Continue 3"/>
    <w:basedOn w:val="List3"/>
    <w:rsid w:val="00D66C9F"/>
    <w:pPr>
      <w:ind w:left="1021" w:firstLine="0"/>
    </w:pPr>
  </w:style>
  <w:style w:type="paragraph" w:styleId="ListContinue4">
    <w:name w:val="List Continue 4"/>
    <w:basedOn w:val="List4"/>
    <w:rsid w:val="00D66C9F"/>
    <w:pPr>
      <w:ind w:firstLine="0"/>
    </w:pPr>
  </w:style>
  <w:style w:type="paragraph" w:styleId="ListContinue5">
    <w:name w:val="List Continue 5"/>
    <w:basedOn w:val="List5"/>
    <w:rsid w:val="00D66C9F"/>
    <w:pPr>
      <w:ind w:firstLine="0"/>
    </w:pPr>
  </w:style>
  <w:style w:type="paragraph" w:styleId="ListNumber3">
    <w:name w:val="List Number 3"/>
    <w:basedOn w:val="List3"/>
    <w:rsid w:val="00D66C9F"/>
    <w:pPr>
      <w:numPr>
        <w:numId w:val="6"/>
      </w:numPr>
    </w:pPr>
  </w:style>
  <w:style w:type="paragraph" w:styleId="ListNumber4">
    <w:name w:val="List Number 4"/>
    <w:basedOn w:val="List4"/>
    <w:rsid w:val="00D66C9F"/>
    <w:pPr>
      <w:numPr>
        <w:numId w:val="7"/>
      </w:numPr>
    </w:pPr>
  </w:style>
  <w:style w:type="paragraph" w:styleId="ListNumber5">
    <w:name w:val="List Number 5"/>
    <w:basedOn w:val="List5"/>
    <w:rsid w:val="00D66C9F"/>
    <w:pPr>
      <w:numPr>
        <w:numId w:val="8"/>
      </w:numPr>
    </w:pPr>
  </w:style>
  <w:style w:type="paragraph" w:styleId="BlockText">
    <w:name w:val="Block Text"/>
    <w:basedOn w:val="Normal"/>
    <w:rsid w:val="00D66C9F"/>
    <w:pPr>
      <w:spacing w:after="120"/>
      <w:ind w:left="1440" w:right="1440"/>
    </w:pPr>
  </w:style>
  <w:style w:type="character" w:customStyle="1" w:styleId="Subscript">
    <w:name w:val="Subscript"/>
    <w:basedOn w:val="DefaultParagraphFont"/>
    <w:rsid w:val="00D66C9F"/>
    <w:rPr>
      <w:sz w:val="16"/>
      <w:vertAlign w:val="subscript"/>
    </w:rPr>
  </w:style>
  <w:style w:type="character" w:customStyle="1" w:styleId="Superscript">
    <w:name w:val="Superscript"/>
    <w:basedOn w:val="DefaultParagraphFont"/>
    <w:rsid w:val="00D66C9F"/>
    <w:rPr>
      <w:sz w:val="16"/>
      <w:vertAlign w:val="superscript"/>
    </w:rPr>
  </w:style>
  <w:style w:type="character" w:customStyle="1" w:styleId="Symbols">
    <w:name w:val="Symbols"/>
    <w:basedOn w:val="DefaultParagraphFont"/>
    <w:rsid w:val="00D66C9F"/>
    <w:rPr>
      <w:rFonts w:ascii="Symbol" w:hAnsi="Symbol"/>
    </w:rPr>
  </w:style>
  <w:style w:type="character" w:customStyle="1" w:styleId="MenuOptions">
    <w:name w:val="Menu Options"/>
    <w:basedOn w:val="DefaultParagraphFont"/>
    <w:rsid w:val="00D66C9F"/>
    <w:rPr>
      <w:rFonts w:ascii="Arial Narrow" w:hAnsi="Arial Narrow"/>
      <w:smallCaps/>
    </w:rPr>
  </w:style>
  <w:style w:type="character" w:customStyle="1" w:styleId="Buttons">
    <w:name w:val="Buttons"/>
    <w:basedOn w:val="DefaultParagraphFont"/>
    <w:rsid w:val="00D66C9F"/>
    <w:rPr>
      <w:b/>
    </w:rPr>
  </w:style>
  <w:style w:type="character" w:customStyle="1" w:styleId="Underlined">
    <w:name w:val="Underlined"/>
    <w:basedOn w:val="DefaultParagraphFont"/>
    <w:rsid w:val="00D66C9F"/>
    <w:rPr>
      <w:u w:val="single"/>
    </w:rPr>
  </w:style>
  <w:style w:type="paragraph" w:customStyle="1" w:styleId="TableBodyTextRight">
    <w:name w:val="Table Body Text Right"/>
    <w:basedOn w:val="TableBodyText"/>
    <w:rsid w:val="00D66C9F"/>
    <w:pPr>
      <w:widowControl w:val="0"/>
      <w:autoSpaceDE w:val="0"/>
      <w:autoSpaceDN w:val="0"/>
      <w:adjustRightInd w:val="0"/>
      <w:jc w:val="right"/>
    </w:pPr>
    <w:rPr>
      <w:rFonts w:cs="Arial"/>
      <w:szCs w:val="18"/>
    </w:rPr>
  </w:style>
  <w:style w:type="paragraph" w:customStyle="1" w:styleId="CopyrightText">
    <w:name w:val="Copyright Text"/>
    <w:basedOn w:val="BodyText"/>
    <w:rsid w:val="00D66C9F"/>
    <w:rPr>
      <w:sz w:val="18"/>
    </w:rPr>
  </w:style>
  <w:style w:type="paragraph" w:customStyle="1" w:styleId="BodySmallRight">
    <w:name w:val="Body Small Right"/>
    <w:basedOn w:val="BodyTextRight"/>
    <w:rsid w:val="00D66C9F"/>
    <w:rPr>
      <w:sz w:val="18"/>
      <w:szCs w:val="18"/>
    </w:rPr>
  </w:style>
  <w:style w:type="paragraph" w:customStyle="1" w:styleId="MarginEdition">
    <w:name w:val="Margin Edition"/>
    <w:basedOn w:val="MarginNote"/>
    <w:rsid w:val="00D66C9F"/>
    <w:pPr>
      <w:spacing w:before="0" w:after="0"/>
    </w:pPr>
    <w:rPr>
      <w:rFonts w:ascii="Times New Roman" w:hAnsi="Times New Roman"/>
      <w:color w:val="999999"/>
    </w:rPr>
  </w:style>
  <w:style w:type="paragraph" w:customStyle="1" w:styleId="Spacer">
    <w:name w:val="Spacer"/>
    <w:basedOn w:val="Normal"/>
    <w:rsid w:val="00D66C9F"/>
    <w:rPr>
      <w:sz w:val="2"/>
      <w:szCs w:val="2"/>
    </w:rPr>
  </w:style>
  <w:style w:type="character" w:customStyle="1" w:styleId="Small">
    <w:name w:val="Small"/>
    <w:basedOn w:val="DefaultParagraphFont"/>
    <w:rsid w:val="00D66C9F"/>
    <w:rPr>
      <w:sz w:val="16"/>
    </w:rPr>
  </w:style>
  <w:style w:type="paragraph" w:customStyle="1" w:styleId="WideTable">
    <w:name w:val="Wide Table"/>
    <w:basedOn w:val="Normal"/>
    <w:rsid w:val="00D66C9F"/>
    <w:pPr>
      <w:ind w:left="-1418"/>
    </w:pPr>
    <w:rPr>
      <w:sz w:val="2"/>
      <w:szCs w:val="2"/>
    </w:rPr>
  </w:style>
  <w:style w:type="character" w:styleId="PageNumber">
    <w:name w:val="page number"/>
    <w:basedOn w:val="DefaultParagraphFont"/>
    <w:rsid w:val="00D66C9F"/>
  </w:style>
  <w:style w:type="paragraph" w:styleId="Quote">
    <w:name w:val="Quote"/>
    <w:basedOn w:val="Heading1"/>
    <w:link w:val="QuoteChar"/>
    <w:qFormat/>
    <w:rsid w:val="00D66C9F"/>
    <w:rPr>
      <w:b w:val="0"/>
      <w:sz w:val="72"/>
      <w:szCs w:val="72"/>
      <w:lang w:val="en-NZ"/>
    </w:rPr>
  </w:style>
  <w:style w:type="character" w:customStyle="1" w:styleId="QuoteChar">
    <w:name w:val="Quote Char"/>
    <w:basedOn w:val="DefaultParagraphFont"/>
    <w:link w:val="Quote"/>
    <w:rsid w:val="00D66C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6C9F"/>
    <w:pPr>
      <w:pageBreakBefore/>
    </w:pPr>
  </w:style>
  <w:style w:type="paragraph" w:customStyle="1" w:styleId="Border">
    <w:name w:val="Border"/>
    <w:basedOn w:val="Normal"/>
    <w:qFormat/>
    <w:rsid w:val="00D66C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6C9F"/>
    <w:rPr>
      <w:b/>
      <w:bCs/>
      <w:i/>
      <w:iCs/>
      <w:color w:val="auto"/>
    </w:rPr>
  </w:style>
  <w:style w:type="paragraph" w:styleId="IntenseQuote">
    <w:name w:val="Intense Quote"/>
    <w:basedOn w:val="Normal"/>
    <w:next w:val="Normal"/>
    <w:link w:val="IntenseQuoteChar"/>
    <w:uiPriority w:val="30"/>
    <w:qFormat/>
    <w:rsid w:val="00D66C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6C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6C9F"/>
    <w:rPr>
      <w:smallCaps/>
      <w:color w:val="auto"/>
      <w:u w:val="single"/>
    </w:rPr>
  </w:style>
  <w:style w:type="character" w:styleId="IntenseReference">
    <w:name w:val="Intense Reference"/>
    <w:basedOn w:val="DefaultParagraphFont"/>
    <w:uiPriority w:val="32"/>
    <w:qFormat/>
    <w:rsid w:val="00D66C9F"/>
    <w:rPr>
      <w:b/>
      <w:bCs/>
      <w:smallCaps/>
      <w:color w:val="auto"/>
      <w:spacing w:val="5"/>
      <w:u w:val="single"/>
    </w:rPr>
  </w:style>
  <w:style w:type="paragraph" w:customStyle="1" w:styleId="2ColumnHeading">
    <w:name w:val="2Column Heading"/>
    <w:basedOn w:val="BodyText"/>
    <w:qFormat/>
    <w:rsid w:val="00D66C9F"/>
    <w:pPr>
      <w:spacing w:after="60"/>
      <w:ind w:left="-2268"/>
    </w:pPr>
    <w:rPr>
      <w:b/>
    </w:rPr>
  </w:style>
  <w:style w:type="paragraph" w:customStyle="1" w:styleId="Heading1TOC">
    <w:name w:val="Heading1 TOC"/>
    <w:basedOn w:val="Normal"/>
    <w:qFormat/>
    <w:rsid w:val="00D66C9F"/>
    <w:pPr>
      <w:spacing w:before="240" w:after="120"/>
    </w:pPr>
    <w:rPr>
      <w:rFonts w:ascii="Times New Roman" w:hAnsi="Times New Roman"/>
      <w:b/>
      <w:sz w:val="32"/>
    </w:rPr>
  </w:style>
  <w:style w:type="paragraph" w:customStyle="1" w:styleId="Heading2TOC">
    <w:name w:val="Heading2 TOC"/>
    <w:basedOn w:val="Normal"/>
    <w:qFormat/>
    <w:rsid w:val="00D66C9F"/>
    <w:pPr>
      <w:spacing w:before="240" w:after="60"/>
    </w:pPr>
    <w:rPr>
      <w:rFonts w:ascii="Times New Roman" w:hAnsi="Times New Roman"/>
      <w:b/>
      <w:sz w:val="28"/>
    </w:rPr>
  </w:style>
  <w:style w:type="character" w:customStyle="1" w:styleId="Underline">
    <w:name w:val="Underline"/>
    <w:basedOn w:val="DefaultParagraphFont"/>
    <w:qFormat/>
    <w:rsid w:val="00D66C9F"/>
    <w:rPr>
      <w:u w:val="single"/>
    </w:rPr>
  </w:style>
  <w:style w:type="character" w:customStyle="1" w:styleId="BoldandItalics">
    <w:name w:val="Bold and Italics"/>
    <w:qFormat/>
    <w:rsid w:val="00D66C9F"/>
    <w:rPr>
      <w:b/>
      <w:i/>
      <w:u w:val="none"/>
    </w:rPr>
  </w:style>
  <w:style w:type="paragraph" w:styleId="BalloonText">
    <w:name w:val="Balloon Text"/>
    <w:basedOn w:val="Normal"/>
    <w:link w:val="BalloonTextChar"/>
    <w:rsid w:val="00D66C9F"/>
    <w:rPr>
      <w:rFonts w:ascii="Tahoma" w:hAnsi="Tahoma" w:cs="Tahoma"/>
      <w:sz w:val="16"/>
      <w:szCs w:val="16"/>
    </w:rPr>
  </w:style>
  <w:style w:type="character" w:customStyle="1" w:styleId="BalloonTextChar">
    <w:name w:val="Balloon Text Char"/>
    <w:basedOn w:val="DefaultParagraphFont"/>
    <w:link w:val="BalloonText"/>
    <w:rsid w:val="00D66C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6C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6C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6C9F"/>
    <w:rPr>
      <w:b/>
      <w:color w:val="660033"/>
      <w:spacing w:val="0"/>
    </w:rPr>
  </w:style>
  <w:style w:type="paragraph" w:customStyle="1" w:styleId="Nameditemlist">
    <w:name w:val="Named item list"/>
    <w:basedOn w:val="BodyText"/>
    <w:qFormat/>
    <w:rsid w:val="00D66C9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3012</Words>
  <Characters>18709</Characters>
  <Application>Microsoft Office Word</Application>
  <DocSecurity>0</DocSecurity>
  <Lines>756</Lines>
  <Paragraphs>306</Paragraphs>
  <ScaleCrop>false</ScaleCrop>
  <Company>Author-it Software Corporation Ltd.</Company>
  <LinksUpToDate>false</LinksUpToDate>
  <CharactersWithSpaces>21523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UEGNSG314B Liaise with third party and the community to maintain pipeline integrity and community safety</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2012-10-11T22:59:00Z</dcterms:created>
  <dcterms:modified xsi:type="dcterms:W3CDTF">2012-10-11T22:59:00Z</dcterms:modified>
</cp:coreProperties>
</file>