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88F" w:rsidP="006F088F">
      <w:pPr>
        <w:pStyle w:val="Title"/>
      </w:pPr>
      <w:bookmarkStart w:id="0" w:name="_GoBack"/>
      <w:bookmarkEnd w:id="0"/>
      <w:r>
        <w:fldChar w:fldCharType="begin"/>
      </w:r>
      <w:r>
        <w:instrText xml:space="preserve"> TITLE   \* MERGEFORMAT </w:instrText>
      </w:r>
      <w:r>
        <w:fldChar w:fldCharType="separate"/>
      </w:r>
      <w:r>
        <w:t>UEGNSG308B Identify, evaluate and control threats to transmission pipelines</w:t>
      </w:r>
      <w:r>
        <w:fldChar w:fldCharType="end"/>
      </w:r>
    </w:p>
    <w:p w:rsidR="006F088F" w:rsidP="006F088F">
      <w:pPr>
        <w:pStyle w:val="Version"/>
        <w:sectPr w:rsidSect="006A4E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E0A" w:rsidP="006A4E0A">
      <w:pPr>
        <w:pStyle w:val="SuperHeading"/>
      </w:pPr>
      <w:r w:rsidRPr="006A4E0A">
        <w:t>UEGNSG308B Identify, evaluate and control threats to transmission pipelines</w:t>
      </w:r>
    </w:p>
    <w:p w:rsidR="00000000" w:rsidRPr="006A4E0A" w:rsidP="006A4E0A">
      <w:pPr>
        <w:pStyle w:val="Heading1"/>
      </w:pPr>
      <w:bookmarkStart w:id="1" w:name="O_402307"/>
      <w:bookmarkEnd w:id="1"/>
      <w:r w:rsidRPr="006A4E0A">
        <w:t>Modification History</w:t>
      </w:r>
    </w:p>
    <w:p w:rsidR="00000000" w:rsidRPr="006A4E0A" w:rsidP="006A4E0A">
      <w:pPr>
        <w:pStyle w:val="BodyText"/>
      </w:pPr>
      <w:r w:rsidRPr="006A4E0A">
        <w:t>Not applicable.</w:t>
      </w:r>
    </w:p>
    <w:p w:rsidR="00000000" w:rsidRPr="006A4E0A" w:rsidP="006A4E0A">
      <w:pPr>
        <w:pStyle w:val="AllowPageBreak"/>
      </w:pPr>
    </w:p>
    <w:p w:rsidR="00000000" w:rsidRPr="006A4E0A" w:rsidP="006A4E0A">
      <w:pPr>
        <w:pStyle w:val="Heading1"/>
      </w:pPr>
      <w:bookmarkStart w:id="2" w:name="O_402305"/>
      <w:bookmarkEnd w:id="2"/>
      <w:r w:rsidRPr="006A4E0A">
        <w:t>Unit Descriptor</w:t>
      </w:r>
    </w:p>
    <w:tbl>
      <w:tblPr>
        <w:tblW w:w="0" w:type="auto"/>
        <w:tblLayout w:type="fixed"/>
        <w:tblCellMar>
          <w:left w:w="62" w:type="dxa"/>
          <w:right w:w="62" w:type="dxa"/>
        </w:tblCellMar>
        <w:tblLook w:val="0000"/>
      </w:tblPr>
      <w:tblGrid>
        <w:gridCol w:w="2700"/>
        <w:gridCol w:w="5760"/>
      </w:tblGrid>
      <w:tr w:rsidTr="006F08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Unit</w:t>
            </w:r>
            <w:r w:rsidRPr="006A4E0A">
              <w:rPr>
                <w:rStyle w:val="SpecialBold"/>
              </w:rPr>
              <w:t xml:space="preserve"> Descriptor</w:t>
            </w:r>
          </w:p>
        </w:tc>
        <w:tc>
          <w:tcPr>
            <w:tcW w:w="57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1) Scope:</w:t>
            </w:r>
          </w:p>
        </w:tc>
      </w:tr>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4E0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1.1) Descriptor</w:t>
            </w:r>
          </w:p>
        </w:tc>
      </w:tr>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 xml:space="preserve">This competency standard covers the identification, evaluation and initial control of threats to the integrity of transmission pipelines. The </w:t>
            </w:r>
            <w:r w:rsidRPr="006A4E0A">
              <w:t>competency standard is applied against the requirements found under the latest version of AS 2885.1 Australian and New Zealand Standard. The competency standard includes the use of tools and equipment; maps and drawings; established procedures; PPE and Fir</w:t>
            </w:r>
            <w:r w:rsidRPr="006A4E0A">
              <w:t>st Aid; traffic control.</w:t>
            </w:r>
          </w:p>
        </w:tc>
      </w:tr>
    </w:tbl>
    <w:p w:rsidR="00000000" w:rsidRPr="006A4E0A" w:rsidP="006A4E0A">
      <w:pPr>
        <w:pStyle w:val="BodyText"/>
      </w:pPr>
    </w:p>
    <w:p w:rsidR="00000000" w:rsidRPr="006A4E0A" w:rsidP="006A4E0A">
      <w:pPr>
        <w:pStyle w:val="AllowPageBreak"/>
      </w:pPr>
    </w:p>
    <w:p w:rsidR="00000000" w:rsidRPr="006A4E0A" w:rsidP="006A4E0A">
      <w:pPr>
        <w:pStyle w:val="Heading1"/>
      </w:pPr>
      <w:bookmarkStart w:id="3" w:name="O_402294"/>
      <w:bookmarkEnd w:id="3"/>
      <w:r w:rsidRPr="006A4E0A">
        <w:t>Application of the Unit</w:t>
      </w:r>
    </w:p>
    <w:tbl>
      <w:tblPr>
        <w:tblW w:w="0" w:type="auto"/>
        <w:tblLayout w:type="fixed"/>
        <w:tblCellMar>
          <w:left w:w="62" w:type="dxa"/>
          <w:right w:w="62" w:type="dxa"/>
        </w:tblCellMar>
        <w:tblLook w:val="0000"/>
      </w:tblPr>
      <w:tblGrid>
        <w:gridCol w:w="2672"/>
        <w:gridCol w:w="5699"/>
      </w:tblGrid>
      <w:tr w:rsidTr="006F088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2)</w:t>
            </w:r>
          </w:p>
        </w:tc>
      </w:tr>
      <w:tr w:rsidTr="006F088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This competency standard shall apply to any basic and safe work site where gas industry operations occur.</w:t>
            </w:r>
          </w:p>
        </w:tc>
      </w:tr>
    </w:tbl>
    <w:p w:rsidR="00000000" w:rsidRPr="006A4E0A" w:rsidP="006A4E0A">
      <w:pPr>
        <w:pStyle w:val="BodyText"/>
      </w:pPr>
    </w:p>
    <w:p w:rsidR="00000000" w:rsidRPr="006A4E0A" w:rsidP="006A4E0A">
      <w:pPr>
        <w:pStyle w:val="AllowPageBreak"/>
      </w:pPr>
    </w:p>
    <w:p w:rsidR="00000000" w:rsidRPr="006A4E0A" w:rsidP="006A4E0A">
      <w:pPr>
        <w:pStyle w:val="Heading1"/>
      </w:pPr>
      <w:bookmarkStart w:id="4" w:name="O_402301"/>
      <w:bookmarkEnd w:id="4"/>
      <w:r w:rsidRPr="006A4E0A">
        <w:t>Licensing/Regulatory Information</w:t>
      </w:r>
    </w:p>
    <w:tbl>
      <w:tblPr>
        <w:tblW w:w="0" w:type="auto"/>
        <w:tblLayout w:type="fixed"/>
        <w:tblCellMar>
          <w:left w:w="62" w:type="dxa"/>
          <w:right w:w="62" w:type="dxa"/>
        </w:tblCellMar>
        <w:tblLook w:val="0000"/>
      </w:tblPr>
      <w:tblGrid>
        <w:gridCol w:w="2700"/>
        <w:gridCol w:w="5760"/>
      </w:tblGrid>
      <w:tr w:rsidTr="006F08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 xml:space="preserve">3) </w:t>
            </w:r>
          </w:p>
        </w:tc>
      </w:tr>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The skills and knowledge described in this unit are not subject to licence regulation other than those directly related to Occupational Health and Safety, gas/ liquid /electricity/water industry safety and compliance, industrial r</w:t>
            </w:r>
            <w:r w:rsidRPr="006A4E0A">
              <w:t xml:space="preserve">elations, environmental protection, telecommunications, anti discrimination and training. Commonwealth, State/Territory or Local Government legislation and regulations may exist that limits the age of </w:t>
            </w:r>
            <w:r w:rsidRPr="006A4E0A">
              <w:t>persons who can operate certain equipment.</w:t>
            </w:r>
          </w:p>
        </w:tc>
      </w:tr>
    </w:tbl>
    <w:p w:rsidR="00000000" w:rsidRPr="006A4E0A" w:rsidP="006A4E0A">
      <w:pPr>
        <w:pStyle w:val="BodyText"/>
      </w:pPr>
    </w:p>
    <w:p w:rsidR="00000000" w:rsidRPr="006A4E0A" w:rsidP="006A4E0A">
      <w:pPr>
        <w:pStyle w:val="AllowPageBreak"/>
      </w:pPr>
    </w:p>
    <w:p w:rsidR="00000000" w:rsidRPr="006A4E0A" w:rsidP="006A4E0A">
      <w:pPr>
        <w:pStyle w:val="Heading1"/>
      </w:pPr>
      <w:bookmarkStart w:id="5" w:name="O_402302"/>
      <w:bookmarkEnd w:id="5"/>
      <w:r w:rsidRPr="006A4E0A">
        <w:t>Pre-Requisites</w:t>
      </w:r>
    </w:p>
    <w:tbl>
      <w:tblPr>
        <w:tblW w:w="0" w:type="auto"/>
        <w:tblLayout w:type="fixed"/>
        <w:tblCellMar>
          <w:left w:w="62" w:type="dxa"/>
          <w:right w:w="62" w:type="dxa"/>
        </w:tblCellMar>
        <w:tblLook w:val="0000"/>
      </w:tblPr>
      <w:tblGrid>
        <w:gridCol w:w="2700"/>
        <w:gridCol w:w="1800"/>
        <w:gridCol w:w="3960"/>
      </w:tblGrid>
      <w:tr w:rsidTr="006F08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 xml:space="preserve">4) </w:t>
            </w:r>
          </w:p>
        </w:tc>
      </w:tr>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4.1)</w:t>
            </w:r>
          </w:p>
        </w:tc>
      </w:tr>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Granting of competency in this unit shall be made only after competency in the following unit(s) has/have been confirmed:</w:t>
            </w:r>
          </w:p>
        </w:tc>
      </w:tr>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Nil</w:t>
            </w:r>
          </w:p>
        </w:tc>
        <w:tc>
          <w:tcPr>
            <w:tcW w:w="3960" w:type="dxa"/>
            <w:tcBorders>
              <w:top w:val="nil"/>
              <w:left w:val="nil"/>
              <w:bottom w:val="nil"/>
              <w:right w:val="nil"/>
            </w:tcBorders>
            <w:tcMar>
              <w:top w:w="0" w:type="dxa"/>
              <w:left w:w="62" w:type="dxa"/>
              <w:bottom w:w="0" w:type="dxa"/>
              <w:right w:w="62" w:type="dxa"/>
            </w:tcMar>
          </w:tcPr>
          <w:p w:rsidR="00000000" w:rsidRPr="006A4E0A" w:rsidP="006A4E0A">
            <w:pPr>
              <w:pStyle w:val="BodyText"/>
            </w:pPr>
          </w:p>
        </w:tc>
      </w:tr>
    </w:tbl>
    <w:p w:rsidR="00000000" w:rsidRPr="006A4E0A" w:rsidP="006A4E0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 xml:space="preserve">4.2) </w:t>
            </w:r>
          </w:p>
          <w:p w:rsidR="00000000" w:rsidP="006A4E0A">
            <w:pPr>
              <w:pStyle w:val="BodyText"/>
              <w:rPr>
                <w:lang w:val="en-NZ"/>
              </w:rPr>
            </w:pPr>
            <w:r w:rsidRPr="006A4E0A">
              <w:t>Participants are best equipped to achieve this unit if they have reading, writing and numeracy skills indicated by the following scales. Description of each scale is given in Volume 2, Part 3 ‘Literacy and Numeracy’</w:t>
            </w:r>
          </w:p>
        </w:tc>
      </w:tr>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Reading</w:t>
            </w:r>
          </w:p>
        </w:tc>
        <w:tc>
          <w:tcPr>
            <w:tcW w:w="81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4</w:t>
            </w: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Writing</w:t>
            </w: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4</w:t>
            </w:r>
          </w:p>
        </w:tc>
        <w:tc>
          <w:tcPr>
            <w:tcW w:w="12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Numeracy</w:t>
            </w:r>
          </w:p>
        </w:tc>
        <w:tc>
          <w:tcPr>
            <w:tcW w:w="72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4</w:t>
            </w:r>
          </w:p>
        </w:tc>
      </w:tr>
    </w:tbl>
    <w:p w:rsidR="00000000" w:rsidRPr="006A4E0A" w:rsidP="006A4E0A">
      <w:pPr>
        <w:pStyle w:val="BodyText"/>
      </w:pPr>
    </w:p>
    <w:p w:rsidR="00000000" w:rsidRPr="006A4E0A" w:rsidP="006A4E0A">
      <w:pPr>
        <w:pStyle w:val="AllowPageBreak"/>
      </w:pPr>
    </w:p>
    <w:p w:rsidR="00000000" w:rsidRPr="006A4E0A" w:rsidP="006A4E0A">
      <w:pPr>
        <w:pStyle w:val="Heading1"/>
      </w:pPr>
      <w:bookmarkStart w:id="6" w:name="O_402298"/>
      <w:bookmarkEnd w:id="6"/>
      <w:r w:rsidRPr="006A4E0A">
        <w:t>Employability Skills Information</w:t>
      </w:r>
    </w:p>
    <w:tbl>
      <w:tblPr>
        <w:tblW w:w="0" w:type="auto"/>
        <w:tblLayout w:type="fixed"/>
        <w:tblCellMar>
          <w:left w:w="62" w:type="dxa"/>
          <w:right w:w="62" w:type="dxa"/>
        </w:tblCellMar>
        <w:tblLook w:val="0000"/>
      </w:tblPr>
      <w:tblGrid>
        <w:gridCol w:w="2700"/>
        <w:gridCol w:w="5760"/>
      </w:tblGrid>
      <w:tr w:rsidTr="006F08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 xml:space="preserve">5) </w:t>
            </w:r>
          </w:p>
        </w:tc>
      </w:tr>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This unit contains Employability Skills</w:t>
            </w:r>
          </w:p>
        </w:tc>
      </w:tr>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A4E0A">
              <w:t>requirements.</w:t>
            </w:r>
          </w:p>
        </w:tc>
      </w:tr>
    </w:tbl>
    <w:p w:rsidR="00000000" w:rsidRPr="006A4E0A" w:rsidP="006A4E0A">
      <w:pPr>
        <w:pStyle w:val="BodyText"/>
      </w:pPr>
    </w:p>
    <w:p w:rsidR="00000000" w:rsidRPr="006A4E0A" w:rsidP="006A4E0A">
      <w:pPr>
        <w:pStyle w:val="AllowPageBreak"/>
      </w:pPr>
    </w:p>
    <w:p w:rsidR="00000000" w:rsidRPr="006A4E0A" w:rsidP="006A4E0A">
      <w:pPr>
        <w:pStyle w:val="Heading1"/>
      </w:pPr>
      <w:bookmarkStart w:id="7" w:name="O_402297"/>
      <w:bookmarkEnd w:id="7"/>
      <w:r w:rsidRPr="006A4E0A">
        <w:t>Elements and Performance Criteria Pre-Content</w:t>
      </w:r>
    </w:p>
    <w:tbl>
      <w:tblPr>
        <w:tblW w:w="0" w:type="auto"/>
        <w:tblLayout w:type="fixed"/>
        <w:tblCellMar>
          <w:left w:w="62" w:type="dxa"/>
          <w:right w:w="62" w:type="dxa"/>
        </w:tblCellMar>
        <w:tblLook w:val="0000"/>
      </w:tblPr>
      <w:tblGrid>
        <w:gridCol w:w="2700"/>
        <w:gridCol w:w="5760"/>
      </w:tblGrid>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6)</w:t>
            </w:r>
            <w:r w:rsidRPr="006A4E0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Performance Criteria describe the required performance needed to demonstrate achievement of the element</w:t>
            </w:r>
            <w:r w:rsidRPr="006A4E0A">
              <w:t>. Assessment of performance is to be consistent with the Evidence Guide.</w:t>
            </w:r>
          </w:p>
        </w:tc>
      </w:tr>
    </w:tbl>
    <w:p w:rsidR="00000000" w:rsidRPr="006A4E0A" w:rsidP="006A4E0A">
      <w:pPr>
        <w:pStyle w:val="BodyText"/>
      </w:pPr>
    </w:p>
    <w:p w:rsidR="00000000" w:rsidRPr="006A4E0A" w:rsidP="006A4E0A">
      <w:pPr>
        <w:pStyle w:val="AllowPageBreak"/>
      </w:pPr>
    </w:p>
    <w:p w:rsidR="00000000" w:rsidRPr="006A4E0A" w:rsidP="006A4E0A">
      <w:pPr>
        <w:pStyle w:val="Heading1"/>
      </w:pPr>
      <w:bookmarkStart w:id="8" w:name="O_402296"/>
      <w:bookmarkEnd w:id="8"/>
      <w:r w:rsidRPr="006A4E0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F088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PERFORMANCE CRITERIA</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1</w:t>
            </w:r>
          </w:p>
        </w:tc>
        <w:tc>
          <w:tcPr>
            <w:tcW w:w="2296"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Plan to identify and evaluate control threats to a transmission pipeline</w:t>
            </w: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1.1</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Works schedules, specific requirements, drawings, plans, requirements, established procedures and material and equipment are examined. The extent of preparation for the work is assessed</w:t>
            </w:r>
          </w:p>
        </w:tc>
      </w:tr>
      <w:tr w:rsidTr="006F088F">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1.2</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Work is prioritised and sequenced for the most efficient and effective outcome following consultation with others for completion within acceptable timeframes to a quality standard and in accordance with established procedures </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1.3</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Risk control measures </w:t>
            </w:r>
            <w:r w:rsidRPr="006A4E0A">
              <w:t>are identified, prioritised and evaluated against the work schedule</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1.4</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Relevant requirements and established procedures for the work are communicated to all persons and identified for all work sites</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1.5</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OHS, environmental and sustainable energy policies and procedures related to the work are identified to ensure safe systems of work are followed</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1.6</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Relevant work permits are secured to coordinate the performance of work according to requirements and es</w:t>
            </w:r>
            <w:r w:rsidRPr="006A4E0A">
              <w:t xml:space="preserve">tablished procedures </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1.7</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Resources including persons, equipment, tools and personal protective equipment required for the job are identified, scheduled, coordinated and confirmed in a safe and technical working order</w:t>
            </w:r>
          </w:p>
        </w:tc>
      </w:tr>
      <w:tr w:rsidTr="006F088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1.8</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Liaison and communication is</w:t>
            </w:r>
            <w:r w:rsidRPr="006A4E0A">
              <w:t>sues with authorised persons, authorities, clients and land owners are resolved and activities coordinated to carry out work</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1.9</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Persons participating in the work are fully</w:t>
            </w:r>
            <w:r w:rsidRPr="006A4E0A">
              <w:t xml:space="preserve"> briefed and respective responsibilities coordinated and authorised where applicable in accordance with establish procedures</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w:t>
            </w:r>
          </w:p>
        </w:tc>
        <w:tc>
          <w:tcPr>
            <w:tcW w:w="2296"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Carry out the identification, evaluation and control of threats to a transmission pipeline</w:t>
            </w: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2.1</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OHS policies and procedures and s</w:t>
            </w:r>
            <w:r w:rsidRPr="006A4E0A">
              <w:t>afe work practices are followed to eliminate or minimise incidents and hazards</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2.2</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Analysis of information to identify key issues is undertaken as required and information is evaluated for relevance and validity to the requirements</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2.3</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First Aid and other related work procedures are performed according to requirements and established procedures </w:t>
            </w:r>
          </w:p>
        </w:tc>
      </w:tr>
      <w:tr w:rsidTr="006F088F">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2.4</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Lifting, climbing, working in confined spaces and aloft, use of power tools, techniques and practices are safely exercised according to r</w:t>
            </w:r>
            <w:r w:rsidRPr="006A4E0A">
              <w:t xml:space="preserve">equirements </w:t>
            </w:r>
          </w:p>
        </w:tc>
      </w:tr>
      <w:tr w:rsidTr="006F088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2.5</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Equipment faults are identified through inspection and testing of operational equipment in accordance with a work schedule and to requirements</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2.6</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Hazard warnings and safety signs are recognised and hazards are assessed and OHS risks are reported to the immediate authorised persons for directions according to established procedures</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2.7</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Negotiation processes with third parties concerning the threat</w:t>
            </w:r>
            <w:r w:rsidRPr="006A4E0A">
              <w:t xml:space="preserve"> to the pipeline are carried out to ensure the pipeline can be monitored</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2.8</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Fault finding and troubleshooting techniques are applied to identify any repairs or maintenance that are required according to requirements and established procedures</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2.9</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Essential Knowledge and Associated Skills are applied to ensure completion in an agreed timeframe and to quality standards with a minimum of waste according to requirements</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2.10</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Solutions to non-routine problems are identified and actioned using Essenti</w:t>
            </w:r>
            <w:r w:rsidRPr="006A4E0A">
              <w:t>al Knowledge and Associated Skills according to requirements</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2.11</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Ongoing checks of quality of the work are undertaken in accordance with requirements and established procedures to ensure a quality outcome is achieved for the client to a community and i</w:t>
            </w:r>
            <w:r w:rsidRPr="006A4E0A">
              <w:t xml:space="preserve">ndustry standard </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3</w:t>
            </w:r>
          </w:p>
        </w:tc>
        <w:tc>
          <w:tcPr>
            <w:tcW w:w="2296"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Review, record and report on identification, evaluation and control of threats to a transmission pipeline</w:t>
            </w: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3.1</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Work undertaken is checked against works schedule for conformance with requirements, anomalies are reported and solutions ide</w:t>
            </w:r>
            <w:r w:rsidRPr="006A4E0A">
              <w:t>ntified in accordance with established procedures</w:t>
            </w:r>
          </w:p>
        </w:tc>
      </w:tr>
      <w:tr w:rsidTr="006F088F">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3.2</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Accidents and injuries are reported and followed up in accordance with requirements and established procedures </w:t>
            </w:r>
          </w:p>
        </w:tc>
      </w:tr>
      <w:tr w:rsidTr="006F088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3.3</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Work site is rehabilitated/cleaned up and confirmed safe and in accordance with established procedures </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3.4</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Tools, equipment and any surplus resources and materials are where appropriate, cleaned, checked and returned to storage in accordance with estab</w:t>
            </w:r>
            <w:r w:rsidRPr="006A4E0A">
              <w:t xml:space="preserve">lished procedures </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3.5</w:t>
            </w:r>
          </w:p>
        </w:tc>
        <w:tc>
          <w:tcPr>
            <w:tcW w:w="48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Relevant work permit(s) are signed off in accordance with requirements</w:t>
            </w:r>
          </w:p>
        </w:tc>
      </w:tr>
      <w:tr w:rsidTr="006F08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3.6</w:t>
            </w:r>
          </w:p>
        </w:tc>
        <w:tc>
          <w:tcPr>
            <w:tcW w:w="486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 xml:space="preserve">Work completion records, reports as installed/modified drawing(s) and documentation and information is confirmed, processed and the appropriate </w:t>
            </w:r>
            <w:r w:rsidRPr="006A4E0A">
              <w:t xml:space="preserve">persons notified </w:t>
            </w:r>
          </w:p>
        </w:tc>
      </w:tr>
    </w:tbl>
    <w:p w:rsidR="00000000" w:rsidRPr="006A4E0A" w:rsidP="006A4E0A">
      <w:pPr>
        <w:pStyle w:val="BodyText"/>
      </w:pPr>
    </w:p>
    <w:p w:rsidR="00000000" w:rsidRPr="006A4E0A" w:rsidP="006A4E0A">
      <w:pPr>
        <w:pStyle w:val="AllowPageBreak"/>
      </w:pPr>
    </w:p>
    <w:p w:rsidR="00000000" w:rsidRPr="006A4E0A" w:rsidP="006A4E0A">
      <w:pPr>
        <w:pStyle w:val="Heading1"/>
      </w:pPr>
      <w:bookmarkStart w:id="9" w:name="O_402304"/>
      <w:bookmarkEnd w:id="9"/>
      <w:r w:rsidRPr="006A4E0A">
        <w:t>Required Skills and Knowledge</w:t>
      </w:r>
    </w:p>
    <w:tbl>
      <w:tblPr>
        <w:tblW w:w="0" w:type="auto"/>
        <w:tblLayout w:type="fixed"/>
        <w:tblCellMar>
          <w:left w:w="62" w:type="dxa"/>
          <w:right w:w="62" w:type="dxa"/>
        </w:tblCellMar>
        <w:tblLook w:val="0000"/>
      </w:tblPr>
      <w:tblGrid>
        <w:gridCol w:w="8460"/>
      </w:tblGrid>
      <w:tr w:rsidTr="006F088F">
        <w:tblPrEx>
          <w:tblW w:w="0" w:type="auto"/>
          <w:tblLayout w:type="fixed"/>
          <w:tblCellMar>
            <w:left w:w="62" w:type="dxa"/>
            <w:right w:w="62" w:type="dxa"/>
          </w:tblCellMar>
          <w:tblLook w:val="0000"/>
        </w:tblPrEx>
        <w:trPr>
          <w:trHeight w:val="480"/>
          <w:tblHeader/>
        </w:trPr>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REQUIRED SKILLS AND KNOWLEDGE</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8)</w:t>
            </w:r>
            <w:r w:rsidRPr="006A4E0A">
              <w:t xml:space="preserve"> This describes the essential skills and knowledge and their level, required for this unit.</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Evidence shall show that knowledge has been acquired of safe working practices for operating and monitoring pipeline control systems.</w:t>
            </w:r>
          </w:p>
        </w:tc>
      </w:tr>
      <w:tr w:rsidTr="006F088F">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All knowledge and skills detailed in this unit should be contextualised to current industry practices and technologies.</w:t>
            </w:r>
          </w:p>
        </w:tc>
      </w:tr>
    </w:tbl>
    <w:p w:rsidR="00000000" w:rsidRPr="006A4E0A" w:rsidP="006A4E0A">
      <w:pPr>
        <w:pStyle w:val="BodyText"/>
      </w:pPr>
    </w:p>
    <w:tbl>
      <w:tblPr>
        <w:tblW w:w="0" w:type="auto"/>
        <w:tblLayout w:type="fixed"/>
        <w:tblCellMar>
          <w:left w:w="62" w:type="dxa"/>
          <w:right w:w="62" w:type="dxa"/>
        </w:tblCellMar>
        <w:tblLook w:val="0000"/>
      </w:tblPr>
      <w:tblGrid>
        <w:gridCol w:w="1440"/>
        <w:gridCol w:w="990"/>
        <w:gridCol w:w="6030"/>
      </w:tblGrid>
      <w:tr w:rsidTr="006F088F">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KS01-G308B</w:t>
            </w:r>
          </w:p>
        </w:tc>
        <w:tc>
          <w:tcPr>
            <w:tcW w:w="7020" w:type="dxa"/>
            <w:gridSpan w:val="2"/>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Transmission pipeline threat control</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2.1.8</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Control traffic at the work site</w:t>
            </w:r>
          </w:p>
          <w:p w:rsidR="00000000" w:rsidRPr="006A4E0A" w:rsidP="006A4E0A">
            <w:pPr>
              <w:pStyle w:val="BodyText"/>
            </w:pPr>
            <w:r w:rsidRPr="006A4E0A">
              <w:t>Evidence shall show knowledge and skills in coordinating traffic flow at a workplace where traffic control is required, that is, where work is conducted on or near a road, indicated by the following:</w:t>
            </w:r>
          </w:p>
          <w:p w:rsidR="00000000" w:rsidRPr="006A4E0A" w:rsidP="006A4E0A">
            <w:pPr>
              <w:pStyle w:val="ListBullet"/>
            </w:pPr>
            <w:r w:rsidRPr="006A4E0A">
              <w:t>Read and interpret relevant traffic authority regulation</w:t>
            </w:r>
            <w:r w:rsidRPr="006A4E0A">
              <w:t>s for traffic control at a worksite</w:t>
            </w:r>
          </w:p>
          <w:p w:rsidR="00000000" w:rsidRPr="006A4E0A" w:rsidP="006A4E0A">
            <w:pPr>
              <w:pStyle w:val="ListBullet"/>
            </w:pPr>
            <w:r w:rsidRPr="006A4E0A">
              <w:t>Identify signs and devices required to control pedestrians and traffic at a worksite depending on traffic flow volumes</w:t>
            </w:r>
          </w:p>
          <w:p w:rsidR="00000000" w:rsidRPr="006A4E0A" w:rsidP="006A4E0A">
            <w:pPr>
              <w:pStyle w:val="ListBullet"/>
            </w:pPr>
            <w:r w:rsidRPr="006A4E0A">
              <w:t>Apply techniques for controlling pedestrians and traffic at various worksites</w:t>
            </w:r>
          </w:p>
          <w:p w:rsidR="00000000" w:rsidRPr="006A4E0A" w:rsidP="006A4E0A">
            <w:pPr>
              <w:pStyle w:val="ListBullet"/>
            </w:pPr>
            <w:r w:rsidRPr="006A4E0A">
              <w:t>Use procedures for moni</w:t>
            </w:r>
            <w:r w:rsidRPr="006A4E0A">
              <w:t>toring traffic controls</w:t>
            </w:r>
          </w:p>
          <w:p w:rsidR="00000000" w:rsidP="006A4E0A">
            <w:pPr>
              <w:pStyle w:val="ListBullet"/>
              <w:rPr>
                <w:lang w:val="en-NZ"/>
              </w:rPr>
            </w:pPr>
            <w:r w:rsidRPr="006A4E0A">
              <w:t>Set up and monitor pedestrian and traffic controls</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G 2.2.32 </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Comply with requirements for excavating and reinstating site</w:t>
            </w:r>
          </w:p>
          <w:p w:rsidR="00000000" w:rsidRPr="006A4E0A" w:rsidP="006A4E0A">
            <w:pPr>
              <w:pStyle w:val="BodyText"/>
            </w:pPr>
            <w:r w:rsidRPr="006A4E0A">
              <w:t>Evidence shall show an understanding of the requirements for preparing, conducting and completi</w:t>
            </w:r>
            <w:r w:rsidRPr="006A4E0A">
              <w:t>ng an excavation indicated by the following:</w:t>
            </w:r>
          </w:p>
          <w:p w:rsidR="00000000" w:rsidRPr="006A4E0A" w:rsidP="006A4E0A">
            <w:pPr>
              <w:pStyle w:val="ListBullet"/>
            </w:pPr>
            <w:r w:rsidRPr="006A4E0A">
              <w:t>Identifying plans, codes, standards and drawings relevant to specific worksites</w:t>
            </w:r>
          </w:p>
          <w:p w:rsidR="00000000" w:rsidRPr="006A4E0A" w:rsidP="006A4E0A">
            <w:pPr>
              <w:pStyle w:val="ListBullet"/>
            </w:pPr>
            <w:r w:rsidRPr="006A4E0A">
              <w:t>Reading and interpreting relevant plans, codes, standards and drawings</w:t>
            </w:r>
          </w:p>
          <w:p w:rsidR="00000000" w:rsidRPr="006A4E0A" w:rsidP="006A4E0A">
            <w:pPr>
              <w:pStyle w:val="ListBullet"/>
            </w:pPr>
            <w:r w:rsidRPr="006A4E0A">
              <w:t>Regulatory requirements and procedures for excavating trench</w:t>
            </w:r>
            <w:r w:rsidRPr="006A4E0A">
              <w:t>es and reinstating sites</w:t>
            </w:r>
          </w:p>
          <w:p w:rsidR="00000000" w:rsidRPr="006A4E0A" w:rsidP="006A4E0A">
            <w:pPr>
              <w:pStyle w:val="ListBullet"/>
            </w:pPr>
            <w:r w:rsidRPr="006A4E0A">
              <w:t>Apply shoring or benching requirements</w:t>
            </w:r>
          </w:p>
          <w:p w:rsidR="00000000" w:rsidP="006A4E0A">
            <w:pPr>
              <w:pStyle w:val="ListBullet"/>
              <w:rPr>
                <w:lang w:val="en-NZ"/>
              </w:rPr>
            </w:pPr>
            <w:r w:rsidRPr="006A4E0A">
              <w:t>Notification of appropriate authorities and requirements for temporary or permanent restorations</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G 2.2.33 </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Locate utilities and services</w:t>
            </w:r>
          </w:p>
          <w:p w:rsidR="00000000" w:rsidRPr="006A4E0A" w:rsidP="006A4E0A">
            <w:pPr>
              <w:pStyle w:val="BodyText"/>
            </w:pPr>
            <w:r w:rsidRPr="006A4E0A">
              <w:t>Evidence shall show an understanding and an ability t</w:t>
            </w:r>
            <w:r w:rsidRPr="006A4E0A">
              <w:t>o locate services, indicated by the following:</w:t>
            </w:r>
          </w:p>
          <w:p w:rsidR="00000000" w:rsidRPr="006A4E0A" w:rsidP="006A4E0A">
            <w:pPr>
              <w:pStyle w:val="ListBullet"/>
            </w:pPr>
            <w:r w:rsidRPr="006A4E0A">
              <w:t>Identification of relevant authorities or enterprises to contact regarding the location of other utilities services (gas, water, electricity, telecommunication, sewerage and stormwater)</w:t>
            </w:r>
          </w:p>
          <w:p w:rsidR="00000000" w:rsidRPr="006A4E0A" w:rsidP="006A4E0A">
            <w:pPr>
              <w:pStyle w:val="ListBullet"/>
            </w:pPr>
            <w:r w:rsidRPr="006A4E0A">
              <w:t>Read and interpret plan</w:t>
            </w:r>
            <w:r w:rsidRPr="006A4E0A">
              <w:t>s and drawings to identify the location of utilities and services</w:t>
            </w:r>
          </w:p>
          <w:p w:rsidR="00000000" w:rsidRPr="006A4E0A" w:rsidP="006A4E0A">
            <w:pPr>
              <w:pStyle w:val="ListBullet"/>
            </w:pPr>
            <w:r w:rsidRPr="006A4E0A">
              <w:t>Identification of utilities and services conduits and cables</w:t>
            </w:r>
          </w:p>
          <w:p w:rsidR="00000000" w:rsidRPr="006A4E0A" w:rsidP="006A4E0A">
            <w:pPr>
              <w:pStyle w:val="ListBullet"/>
            </w:pPr>
            <w:r w:rsidRPr="006A4E0A">
              <w:t>Correct use of electronic and manual service locators</w:t>
            </w:r>
          </w:p>
          <w:p w:rsidR="00000000" w:rsidP="006A4E0A">
            <w:pPr>
              <w:pStyle w:val="ListBullet"/>
              <w:rPr>
                <w:lang w:val="en-NZ"/>
              </w:rPr>
            </w:pPr>
            <w:r w:rsidRPr="006A4E0A">
              <w:t>Apply hand excavation as required for the purposes of locating utilities an</w:t>
            </w:r>
            <w:r w:rsidRPr="006A4E0A">
              <w:t>d services</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G 2.2.34 </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The selection, the use and application of materials</w:t>
            </w:r>
          </w:p>
          <w:p w:rsidR="00000000" w:rsidRPr="006A4E0A" w:rsidP="006A4E0A">
            <w:pPr>
              <w:pStyle w:val="BodyText"/>
            </w:pPr>
            <w:r w:rsidRPr="006A4E0A">
              <w:t>Evidence shall show an understanding and ability to use correct tools, materials and equipment to undertake work on a gas industry workplace, indicated by the following:</w:t>
            </w:r>
          </w:p>
          <w:p w:rsidR="00000000" w:rsidRPr="006A4E0A" w:rsidP="006A4E0A">
            <w:pPr>
              <w:pStyle w:val="ListBullet"/>
            </w:pPr>
            <w:r w:rsidRPr="006A4E0A">
              <w:t>Appropriate tools, materials and equipment are identified for preparing the site, excavating trenches and reinstating the site</w:t>
            </w:r>
          </w:p>
          <w:p w:rsidR="00000000" w:rsidRPr="006A4E0A" w:rsidP="006A4E0A">
            <w:pPr>
              <w:pStyle w:val="ListBullet"/>
            </w:pPr>
            <w:r w:rsidRPr="006A4E0A">
              <w:t>Safety requirements for using tools, materials and equipment</w:t>
            </w:r>
          </w:p>
          <w:p w:rsidR="00000000" w:rsidRPr="006A4E0A" w:rsidP="006A4E0A">
            <w:pPr>
              <w:pStyle w:val="ListBullet"/>
            </w:pPr>
            <w:r w:rsidRPr="006A4E0A">
              <w:t>Correct use of appropriate PPE</w:t>
            </w:r>
          </w:p>
          <w:p w:rsidR="00000000" w:rsidRPr="006A4E0A" w:rsidP="006A4E0A">
            <w:pPr>
              <w:pStyle w:val="ListBullet"/>
            </w:pPr>
            <w:r w:rsidRPr="006A4E0A">
              <w:t>Procedures for using, cleaning and st</w:t>
            </w:r>
            <w:r w:rsidRPr="006A4E0A">
              <w:t>oring tools, materials and equipment</w:t>
            </w:r>
          </w:p>
          <w:p w:rsidR="00000000" w:rsidRPr="006A4E0A" w:rsidP="006A4E0A">
            <w:pPr>
              <w:pStyle w:val="ListBullet"/>
            </w:pPr>
            <w:r w:rsidRPr="006A4E0A">
              <w:t>Procedures for checking tools, materials and equipment</w:t>
            </w:r>
          </w:p>
          <w:p w:rsidR="00000000" w:rsidP="006A4E0A">
            <w:pPr>
              <w:pStyle w:val="ListBullet"/>
              <w:rPr>
                <w:lang w:val="en-NZ"/>
              </w:rPr>
            </w:pPr>
            <w:r w:rsidRPr="006A4E0A">
              <w:t>Reporting faulty tools, materials and equipment</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3.4.5</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Interpreting topographical maps and information</w:t>
            </w:r>
          </w:p>
          <w:p w:rsidR="00000000" w:rsidRPr="006A4E0A" w:rsidP="006A4E0A">
            <w:pPr>
              <w:pStyle w:val="BodyText"/>
            </w:pPr>
            <w:r w:rsidRPr="006A4E0A">
              <w:t>Evidence shall show an understanding of the requirements t</w:t>
            </w:r>
            <w:r w:rsidRPr="006A4E0A">
              <w:t>o interpret topographical and geographical information and maps for cathodic protection, indicated by the following:</w:t>
            </w:r>
          </w:p>
          <w:p w:rsidR="00000000" w:rsidP="006A4E0A">
            <w:pPr>
              <w:pStyle w:val="ListBullet"/>
              <w:rPr>
                <w:lang w:val="en-NZ"/>
              </w:rPr>
            </w:pPr>
            <w:r w:rsidRPr="006A4E0A">
              <w:t>interpreting topographical and geographical maps and information.</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4.1.1</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Operating and supervising in the Gas Industry</w:t>
            </w:r>
          </w:p>
          <w:p w:rsidR="00000000" w:rsidRPr="006A4E0A" w:rsidP="006A4E0A">
            <w:pPr>
              <w:pStyle w:val="BodyText"/>
            </w:pPr>
            <w:r w:rsidRPr="006A4E0A">
              <w:t>Evidence shall sh</w:t>
            </w:r>
            <w:r w:rsidRPr="006A4E0A">
              <w:t>ow an understanding of supervising and operating in a Gas Industry environment, indicated by the following:</w:t>
            </w:r>
          </w:p>
          <w:p w:rsidR="00000000" w:rsidRPr="006A4E0A" w:rsidP="006A4E0A">
            <w:pPr>
              <w:pStyle w:val="ListBullet"/>
            </w:pPr>
            <w:r w:rsidRPr="006A4E0A">
              <w:t>understanding and application of enterprise applicable standard operating procedures</w:t>
            </w:r>
          </w:p>
          <w:p w:rsidR="00000000" w:rsidRPr="006A4E0A" w:rsidP="006A4E0A">
            <w:pPr>
              <w:pStyle w:val="ListBullet"/>
            </w:pPr>
            <w:r w:rsidRPr="006A4E0A">
              <w:t>understanding and application of relevant enterprise permit to work systems</w:t>
            </w:r>
          </w:p>
          <w:p w:rsidR="00000000" w:rsidRPr="006A4E0A" w:rsidP="006A4E0A">
            <w:pPr>
              <w:pStyle w:val="ListBullet"/>
            </w:pPr>
            <w:r w:rsidRPr="006A4E0A">
              <w:t xml:space="preserve">understanding and application of alarm and communication systems </w:t>
            </w:r>
          </w:p>
          <w:p w:rsidR="00000000" w:rsidRPr="006A4E0A" w:rsidP="006A4E0A">
            <w:pPr>
              <w:pStyle w:val="ListBullet"/>
            </w:pPr>
            <w:r w:rsidRPr="006A4E0A">
              <w:t>understanding and application of relevant OHS and environmental legislative requirements including applicable emer</w:t>
            </w:r>
            <w:r w:rsidRPr="006A4E0A">
              <w:t>gency procedures</w:t>
            </w:r>
          </w:p>
          <w:p w:rsidR="00000000" w:rsidP="006A4E0A">
            <w:pPr>
              <w:pStyle w:val="ListBullet"/>
              <w:rPr>
                <w:lang w:val="en-NZ"/>
              </w:rPr>
            </w:pPr>
            <w:r w:rsidRPr="006A4E0A">
              <w:t>demonstrate an understanding and application of planning, prioritisation and working autonomously in the Gas Industry.</w:t>
            </w:r>
          </w:p>
        </w:tc>
      </w:tr>
      <w:tr w:rsidTr="006F088F">
        <w:tblPrEx>
          <w:tblW w:w="0" w:type="auto"/>
          <w:tblLayout w:type="fixed"/>
          <w:tblCellMar>
            <w:left w:w="62" w:type="dxa"/>
            <w:right w:w="62" w:type="dxa"/>
          </w:tblCellMar>
          <w:tblLook w:val="0000"/>
        </w:tblPrEx>
        <w:trPr>
          <w:trHeight w:val="6528"/>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4.1.2</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Understand the effective operation of Gas Industry plant, equipment and materials</w:t>
            </w:r>
          </w:p>
          <w:p w:rsidR="00000000" w:rsidRPr="006A4E0A" w:rsidP="006A4E0A">
            <w:pPr>
              <w:pStyle w:val="BodyText"/>
            </w:pPr>
            <w:r w:rsidRPr="006A4E0A">
              <w:t>Evidence shall show an under</w:t>
            </w:r>
            <w:r w:rsidRPr="006A4E0A">
              <w:t>standing of the effective operation of Gas Industry plant, equipment and materials, indicated by the following:</w:t>
            </w:r>
          </w:p>
          <w:p w:rsidR="00000000" w:rsidRPr="006A4E0A" w:rsidP="006A4E0A">
            <w:pPr>
              <w:pStyle w:val="ListBullet"/>
            </w:pPr>
            <w:r w:rsidRPr="006A4E0A">
              <w:t>understand and apply of relevant industry engineering terminology and units</w:t>
            </w:r>
          </w:p>
          <w:p w:rsidR="00000000" w:rsidRPr="006A4E0A" w:rsidP="006A4E0A">
            <w:pPr>
              <w:pStyle w:val="ListBullet"/>
            </w:pPr>
            <w:r w:rsidRPr="006A4E0A">
              <w:t>understanding of pipeline system operating parameters</w:t>
            </w:r>
          </w:p>
          <w:p w:rsidR="00000000" w:rsidRPr="006A4E0A" w:rsidP="006A4E0A">
            <w:pPr>
              <w:pStyle w:val="ListBullet"/>
            </w:pPr>
            <w:r w:rsidRPr="006A4E0A">
              <w:t>demonstrate op</w:t>
            </w:r>
            <w:r w:rsidRPr="006A4E0A">
              <w:t>erational knowledge of systems such as pumps, compressors, regulation, shutdown equipment, measurement systems by on-site or remote operation as applicable.</w:t>
            </w:r>
          </w:p>
          <w:p w:rsidR="00000000" w:rsidRPr="006A4E0A" w:rsidP="006A4E0A">
            <w:pPr>
              <w:pStyle w:val="ListBullet"/>
            </w:pPr>
            <w:r w:rsidRPr="006A4E0A">
              <w:t>understanding of relevant inspection and testing procedures for applicable plant and equipment</w:t>
            </w:r>
          </w:p>
          <w:p w:rsidR="00000000" w:rsidRPr="006A4E0A" w:rsidP="006A4E0A">
            <w:pPr>
              <w:pStyle w:val="ListBullet"/>
            </w:pPr>
            <w:r w:rsidRPr="006A4E0A">
              <w:t>unde</w:t>
            </w:r>
            <w:r w:rsidRPr="006A4E0A">
              <w:t>rstanding the process of commissioning and decommissioning of relevant equipment such as pipework, vessels and compressors, including on-site and remote operation as applicable.</w:t>
            </w:r>
          </w:p>
          <w:p w:rsidR="00000000" w:rsidRPr="006A4E0A" w:rsidP="006A4E0A">
            <w:pPr>
              <w:pStyle w:val="ListBullet"/>
            </w:pPr>
            <w:r w:rsidRPr="006A4E0A">
              <w:t>Understanding the characteristics of gas flows including compressed and non-co</w:t>
            </w:r>
            <w:r w:rsidRPr="006A4E0A">
              <w:t>mpressed operations</w:t>
            </w:r>
          </w:p>
          <w:p w:rsidR="00000000" w:rsidRPr="006A4E0A" w:rsidP="006A4E0A">
            <w:pPr>
              <w:pStyle w:val="ListBullet"/>
            </w:pPr>
            <w:r w:rsidRPr="006A4E0A">
              <w:t>Understanding the characteristics, operation, capabilities and limitations of applicable tools and equipment including prime movers, compression and control systems, pipeline facilities and associated equipment</w:t>
            </w:r>
          </w:p>
          <w:p w:rsidR="00000000" w:rsidP="006A4E0A">
            <w:pPr>
              <w:pStyle w:val="ListBullet"/>
              <w:rPr>
                <w:lang w:val="en-NZ"/>
              </w:rPr>
            </w:pPr>
            <w:r w:rsidRPr="006A4E0A">
              <w:t>understanding the operati</w:t>
            </w:r>
            <w:r w:rsidRPr="006A4E0A">
              <w:t>on of gas analysis and measuring equipment</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4.1.3</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Communicate effectively in the Gas Industry at a supervisory level</w:t>
            </w:r>
          </w:p>
          <w:p w:rsidR="00000000" w:rsidRPr="006A4E0A" w:rsidP="006A4E0A">
            <w:pPr>
              <w:pStyle w:val="BodyText"/>
            </w:pPr>
            <w:r w:rsidRPr="006A4E0A">
              <w:t>Evidence shall show an understanding of communication techniques required in supervisory roles in the Gas Industry, indicated by the following:</w:t>
            </w:r>
          </w:p>
          <w:p w:rsidR="00000000" w:rsidRPr="006A4E0A" w:rsidP="006A4E0A">
            <w:pPr>
              <w:pStyle w:val="ListBullet"/>
            </w:pPr>
            <w:r w:rsidRPr="006A4E0A">
              <w:t>communicate effectively with a variety of Gas Industry stakeholders, using strategies for dealing with difficult</w:t>
            </w:r>
            <w:r w:rsidRPr="006A4E0A">
              <w:t xml:space="preserve"> situations. The communication  includes oral, written or electronic communications, : with various stakeholders including:</w:t>
            </w:r>
          </w:p>
          <w:p w:rsidR="00000000" w:rsidRPr="006A4E0A" w:rsidP="006A4E0A">
            <w:pPr>
              <w:pStyle w:val="ListBullet2"/>
            </w:pPr>
            <w:r w:rsidRPr="006A4E0A">
              <w:t>workplace colleagues</w:t>
            </w:r>
          </w:p>
          <w:p w:rsidR="00000000" w:rsidRPr="006A4E0A" w:rsidP="006A4E0A">
            <w:pPr>
              <w:pStyle w:val="ListBullet2"/>
            </w:pPr>
            <w:r w:rsidRPr="006A4E0A">
              <w:t>workplace managers</w:t>
            </w:r>
          </w:p>
          <w:p w:rsidR="00000000" w:rsidRPr="006A4E0A" w:rsidP="006A4E0A">
            <w:pPr>
              <w:pStyle w:val="ListBullet2"/>
            </w:pPr>
            <w:r w:rsidRPr="006A4E0A">
              <w:t>relevant customers and suppliers</w:t>
            </w:r>
          </w:p>
          <w:p w:rsidR="00000000" w:rsidRPr="006A4E0A" w:rsidP="006A4E0A">
            <w:pPr>
              <w:pStyle w:val="ListBullet2"/>
            </w:pPr>
            <w:r w:rsidRPr="006A4E0A">
              <w:t>regulatory bodies</w:t>
            </w:r>
          </w:p>
          <w:p w:rsidR="00000000" w:rsidRPr="006A4E0A" w:rsidP="006A4E0A">
            <w:pPr>
              <w:pStyle w:val="ListBullet2"/>
            </w:pPr>
            <w:r w:rsidRPr="006A4E0A">
              <w:t>property/land owners (including traditio</w:t>
            </w:r>
            <w:r w:rsidRPr="006A4E0A">
              <w:t>nal land owners) and tenants</w:t>
            </w:r>
          </w:p>
          <w:p w:rsidR="00000000" w:rsidP="006A4E0A">
            <w:pPr>
              <w:pStyle w:val="ListBullet2"/>
              <w:rPr>
                <w:lang w:val="en-NZ"/>
              </w:rPr>
            </w:pPr>
            <w:r w:rsidRPr="006A4E0A">
              <w:t>emergency response organisations</w:t>
            </w:r>
          </w:p>
        </w:tc>
      </w:tr>
      <w:tr w:rsidTr="006F088F">
        <w:tblPrEx>
          <w:tblW w:w="0" w:type="auto"/>
          <w:tblLayout w:type="fixed"/>
          <w:tblCellMar>
            <w:left w:w="62" w:type="dxa"/>
            <w:right w:w="62" w:type="dxa"/>
          </w:tblCellMar>
          <w:tblLook w:val="0000"/>
        </w:tblPrEx>
        <w:trPr>
          <w:trHeight w:val="5176"/>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4.1.4</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Understand Gas Industry products, processes and characteristics</w:t>
            </w:r>
          </w:p>
          <w:p w:rsidR="00000000" w:rsidRPr="006A4E0A" w:rsidP="006A4E0A">
            <w:pPr>
              <w:pStyle w:val="BodyText"/>
            </w:pPr>
            <w:r w:rsidRPr="006A4E0A">
              <w:t>Evidence shall show a comprehensive understanding of Gas Industry products and characteristics, indicated by the following:</w:t>
            </w:r>
          </w:p>
          <w:p w:rsidR="00000000" w:rsidRPr="006A4E0A" w:rsidP="006A4E0A">
            <w:pPr>
              <w:pStyle w:val="ListBullet"/>
            </w:pPr>
            <w:r w:rsidRPr="006A4E0A">
              <w:t>understand the Gas Industry products and the characteristics and tolerances of the product including:</w:t>
            </w:r>
          </w:p>
          <w:p w:rsidR="00000000" w:rsidRPr="006A4E0A" w:rsidP="006A4E0A">
            <w:pPr>
              <w:pStyle w:val="ListBullet2"/>
            </w:pPr>
            <w:r w:rsidRPr="006A4E0A">
              <w:t xml:space="preserve">principles of applicable gas </w:t>
            </w:r>
            <w:r w:rsidRPr="006A4E0A">
              <w:t>laws</w:t>
            </w:r>
          </w:p>
          <w:p w:rsidR="00000000" w:rsidRPr="006A4E0A" w:rsidP="006A4E0A">
            <w:pPr>
              <w:pStyle w:val="ListBullet3"/>
            </w:pPr>
            <w:r w:rsidRPr="006A4E0A">
              <w:t>gas pressure</w:t>
            </w:r>
          </w:p>
          <w:p w:rsidR="00000000" w:rsidRPr="006A4E0A" w:rsidP="006A4E0A">
            <w:pPr>
              <w:pStyle w:val="ListBullet3"/>
            </w:pPr>
            <w:r w:rsidRPr="006A4E0A">
              <w:t>gas temperature</w:t>
            </w:r>
          </w:p>
          <w:p w:rsidR="00000000" w:rsidRPr="006A4E0A" w:rsidP="006A4E0A">
            <w:pPr>
              <w:pStyle w:val="ListBullet3"/>
            </w:pPr>
            <w:r w:rsidRPr="006A4E0A">
              <w:t>compressibility</w:t>
            </w:r>
          </w:p>
          <w:p w:rsidR="00000000" w:rsidRPr="006A4E0A" w:rsidP="006A4E0A">
            <w:pPr>
              <w:pStyle w:val="ListBullet2"/>
            </w:pPr>
            <w:r w:rsidRPr="006A4E0A">
              <w:t xml:space="preserve">relative density – specific gravity </w:t>
            </w:r>
          </w:p>
          <w:p w:rsidR="00000000" w:rsidRPr="006A4E0A" w:rsidP="006A4E0A">
            <w:pPr>
              <w:pStyle w:val="ListBullet2"/>
            </w:pPr>
            <w:r w:rsidRPr="006A4E0A">
              <w:t>hydrocarbon and water dew points</w:t>
            </w:r>
          </w:p>
          <w:p w:rsidR="00000000" w:rsidRPr="006A4E0A" w:rsidP="006A4E0A">
            <w:pPr>
              <w:pStyle w:val="ListBullet2"/>
            </w:pPr>
            <w:r w:rsidRPr="006A4E0A">
              <w:t>components of applicable natural gases including LPG</w:t>
            </w:r>
          </w:p>
          <w:p w:rsidR="00000000" w:rsidRPr="006A4E0A" w:rsidP="006A4E0A">
            <w:pPr>
              <w:pStyle w:val="ListBullet2"/>
            </w:pPr>
            <w:r w:rsidRPr="006A4E0A">
              <w:t>standard gas conditions</w:t>
            </w:r>
          </w:p>
          <w:p w:rsidR="00000000" w:rsidRPr="006A4E0A" w:rsidP="006A4E0A">
            <w:pPr>
              <w:pStyle w:val="ListBullet2"/>
            </w:pPr>
            <w:r w:rsidRPr="006A4E0A">
              <w:t>combustion</w:t>
            </w:r>
          </w:p>
          <w:p w:rsidR="00000000" w:rsidRPr="006A4E0A" w:rsidP="006A4E0A">
            <w:pPr>
              <w:pStyle w:val="ListBullet2"/>
            </w:pPr>
            <w:r w:rsidRPr="006A4E0A">
              <w:t>venting and purging principles</w:t>
            </w:r>
          </w:p>
          <w:p w:rsidR="00000000" w:rsidP="006A4E0A">
            <w:pPr>
              <w:pStyle w:val="ListBullet2"/>
              <w:rPr>
                <w:lang w:val="en-NZ"/>
              </w:rPr>
            </w:pPr>
            <w:r w:rsidRPr="006A4E0A">
              <w:t>Effects of temperature and pressure on infrastructure</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4.1.5</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Interpret Gas Industry drawings</w:t>
            </w:r>
          </w:p>
          <w:p w:rsidR="00000000" w:rsidRPr="006A4E0A" w:rsidP="006A4E0A">
            <w:pPr>
              <w:pStyle w:val="BodyText"/>
            </w:pPr>
            <w:r w:rsidRPr="006A4E0A">
              <w:t>Evidence shall show an ability to interpret and understand Gas Industry technical drawings, indicated by the following:</w:t>
            </w:r>
          </w:p>
          <w:p w:rsidR="00000000" w:rsidRPr="006A4E0A" w:rsidP="006A4E0A">
            <w:pPr>
              <w:pStyle w:val="ListBullet"/>
            </w:pPr>
            <w:r w:rsidRPr="006A4E0A">
              <w:t>understanding and interpreting relevant technical drawings including, but not limited to:</w:t>
            </w:r>
          </w:p>
          <w:p w:rsidR="00000000" w:rsidRPr="006A4E0A" w:rsidP="006A4E0A">
            <w:pPr>
              <w:pStyle w:val="ListBullet2"/>
            </w:pPr>
            <w:r w:rsidRPr="006A4E0A">
              <w:t>Process and Instrumentation Diagrams (PID)</w:t>
            </w:r>
          </w:p>
          <w:p w:rsidR="00000000" w:rsidRPr="006A4E0A" w:rsidP="006A4E0A">
            <w:pPr>
              <w:pStyle w:val="ListBullet2"/>
            </w:pPr>
            <w:r w:rsidRPr="006A4E0A">
              <w:t>Facility and pipeline construction and as-built drawings</w:t>
            </w:r>
          </w:p>
          <w:p w:rsidR="00000000" w:rsidRPr="006A4E0A" w:rsidP="006A4E0A">
            <w:pPr>
              <w:pStyle w:val="ListBullet2"/>
            </w:pPr>
            <w:r w:rsidRPr="006A4E0A">
              <w:t>Geographical Information System (GIS) drawings and data</w:t>
            </w:r>
          </w:p>
          <w:p w:rsidR="00000000" w:rsidRPr="006A4E0A" w:rsidP="006A4E0A">
            <w:pPr>
              <w:pStyle w:val="ListBullet2"/>
            </w:pPr>
            <w:r w:rsidRPr="006A4E0A">
              <w:t>Electrica</w:t>
            </w:r>
            <w:r w:rsidRPr="006A4E0A">
              <w:t>l drawings</w:t>
            </w:r>
          </w:p>
          <w:p w:rsidR="00000000" w:rsidRPr="006A4E0A" w:rsidP="006A4E0A">
            <w:pPr>
              <w:pStyle w:val="ListBullet2"/>
            </w:pPr>
            <w:r w:rsidRPr="006A4E0A">
              <w:t>Survey maps</w:t>
            </w:r>
          </w:p>
          <w:p w:rsidR="00000000" w:rsidP="006A4E0A">
            <w:pPr>
              <w:pStyle w:val="ListBullet2"/>
              <w:rPr>
                <w:lang w:val="en-NZ"/>
              </w:rPr>
            </w:pPr>
            <w:r w:rsidRPr="006A4E0A">
              <w:t xml:space="preserve">Pipeline route maps and alignment sheets </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4.1.6</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Understand OHS and First Aid requirements for Gas Industry supervisors</w:t>
            </w:r>
          </w:p>
          <w:p w:rsidR="00000000" w:rsidRPr="006A4E0A" w:rsidP="006A4E0A">
            <w:pPr>
              <w:pStyle w:val="BodyText"/>
            </w:pPr>
            <w:r w:rsidRPr="006A4E0A">
              <w:t>Evidence shall show an understanding of OHS and First Aid requirements for gas industry supervisors and autonomous working staff, indicated by the following:</w:t>
            </w:r>
          </w:p>
          <w:p w:rsidR="00000000" w:rsidRPr="006A4E0A" w:rsidP="006A4E0A">
            <w:pPr>
              <w:pStyle w:val="ListBullet"/>
            </w:pPr>
            <w:r w:rsidRPr="006A4E0A">
              <w:t>understanding of applicable enterprise Occupational Health and Safety systems and procedures</w:t>
            </w:r>
          </w:p>
          <w:p w:rsidR="00000000" w:rsidP="006A4E0A">
            <w:pPr>
              <w:pStyle w:val="ListBullet"/>
              <w:rPr>
                <w:lang w:val="en-NZ"/>
              </w:rPr>
            </w:pPr>
            <w:r w:rsidRPr="006A4E0A">
              <w:t>under</w:t>
            </w:r>
            <w:r w:rsidRPr="006A4E0A">
              <w:t>standing of requirements and reasons for providing First Aid equipment and training for employees in the gas industry</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4.1.7</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Create Gas Industry reports and documentation</w:t>
            </w:r>
          </w:p>
          <w:p w:rsidR="00000000" w:rsidRPr="006A4E0A" w:rsidP="006A4E0A">
            <w:pPr>
              <w:pStyle w:val="BodyText"/>
            </w:pPr>
            <w:r w:rsidRPr="006A4E0A">
              <w:t>Evidence shall show an understanding and application of completing and interpreting enterprise-specific supervisory level Gas Industry reports including ,but not limited to:</w:t>
            </w:r>
          </w:p>
          <w:p w:rsidR="00000000" w:rsidRPr="006A4E0A" w:rsidP="006A4E0A">
            <w:pPr>
              <w:pStyle w:val="ListBullet"/>
            </w:pPr>
            <w:r w:rsidRPr="006A4E0A">
              <w:t>periodic operational reports</w:t>
            </w:r>
          </w:p>
          <w:p w:rsidR="00000000" w:rsidRPr="006A4E0A" w:rsidP="006A4E0A">
            <w:pPr>
              <w:pStyle w:val="ListBullet"/>
            </w:pPr>
            <w:r w:rsidRPr="006A4E0A">
              <w:t>budget reports and summaries</w:t>
            </w:r>
          </w:p>
          <w:p w:rsidR="00000000" w:rsidP="006A4E0A">
            <w:pPr>
              <w:pStyle w:val="ListBullet"/>
              <w:rPr>
                <w:lang w:val="en-NZ"/>
              </w:rPr>
            </w:pPr>
            <w:r w:rsidRPr="006A4E0A">
              <w:t>regulatory reporting req</w:t>
            </w:r>
            <w:r w:rsidRPr="006A4E0A">
              <w:t>uirements</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4.1.8</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Use a personal computer</w:t>
            </w:r>
          </w:p>
          <w:p w:rsidR="00000000" w:rsidRPr="006A4E0A" w:rsidP="006A4E0A">
            <w:pPr>
              <w:pStyle w:val="BodyText"/>
            </w:pPr>
            <w:r w:rsidRPr="006A4E0A">
              <w:t>Evidence shall demonstrate requirements to use personal computer and undertake fundamental tasks, indicated by the following:</w:t>
            </w:r>
          </w:p>
          <w:p w:rsidR="00000000" w:rsidRPr="006A4E0A" w:rsidP="006A4E0A">
            <w:pPr>
              <w:pStyle w:val="ListBullet"/>
            </w:pPr>
            <w:r w:rsidRPr="006A4E0A">
              <w:t xml:space="preserve">send, answer and manage emails </w:t>
            </w:r>
          </w:p>
          <w:p w:rsidR="00000000" w:rsidRPr="006A4E0A" w:rsidP="006A4E0A">
            <w:pPr>
              <w:pStyle w:val="ListBullet"/>
            </w:pPr>
            <w:r w:rsidRPr="006A4E0A">
              <w:t>access the Internet for research purposes</w:t>
            </w:r>
          </w:p>
          <w:p w:rsidR="00000000" w:rsidRPr="006A4E0A" w:rsidP="006A4E0A">
            <w:pPr>
              <w:pStyle w:val="ListBullet"/>
            </w:pPr>
            <w:r w:rsidRPr="006A4E0A">
              <w:t>write docume</w:t>
            </w:r>
            <w:r w:rsidRPr="006A4E0A">
              <w:t>nts using a word processing program</w:t>
            </w:r>
          </w:p>
          <w:p w:rsidR="00000000" w:rsidRPr="006A4E0A" w:rsidP="006A4E0A">
            <w:pPr>
              <w:pStyle w:val="ListBullet"/>
            </w:pPr>
            <w:r w:rsidRPr="006A4E0A">
              <w:t>develop a basic spreadsheet using a spreadsheet program</w:t>
            </w:r>
          </w:p>
          <w:p w:rsidR="00000000" w:rsidP="006A4E0A">
            <w:pPr>
              <w:pStyle w:val="ListBullet"/>
              <w:rPr>
                <w:lang w:val="en-NZ"/>
              </w:rPr>
            </w:pPr>
            <w:r w:rsidRPr="006A4E0A">
              <w:t>apply formatting including cutting and pasting across a variety of computer applications (eg from excel to word)</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G 4.1.15 </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Drive Gas Industry vehicles</w:t>
            </w:r>
          </w:p>
          <w:p w:rsidR="00000000" w:rsidRPr="006A4E0A" w:rsidP="006A4E0A">
            <w:pPr>
              <w:pStyle w:val="BodyText"/>
            </w:pPr>
            <w:r w:rsidRPr="006A4E0A">
              <w:t>Evidence shall show an understanding of requirements and capability of driving applicable Gas Industry vehicles including but not limited to:</w:t>
            </w:r>
          </w:p>
          <w:p w:rsidR="00000000" w:rsidRPr="006A4E0A" w:rsidP="006A4E0A">
            <w:pPr>
              <w:pStyle w:val="ListBullet"/>
            </w:pPr>
            <w:r w:rsidRPr="006A4E0A">
              <w:t>Driving vehicles appropriate to the organisation. Vehicles may include any of the following (dependent on the need</w:t>
            </w:r>
            <w:r w:rsidRPr="006A4E0A">
              <w:t>s of the organisation):</w:t>
            </w:r>
          </w:p>
          <w:p w:rsidR="00000000" w:rsidRPr="006A4E0A" w:rsidP="006A4E0A">
            <w:pPr>
              <w:pStyle w:val="ListBullet2"/>
            </w:pPr>
            <w:r w:rsidRPr="006A4E0A">
              <w:t xml:space="preserve">sedan </w:t>
            </w:r>
          </w:p>
          <w:p w:rsidR="00000000" w:rsidRPr="006A4E0A" w:rsidP="006A4E0A">
            <w:pPr>
              <w:pStyle w:val="ListBullet2"/>
            </w:pPr>
            <w:r w:rsidRPr="006A4E0A">
              <w:t>four wheel drive vehicles</w:t>
            </w:r>
          </w:p>
          <w:p w:rsidR="00000000" w:rsidRPr="006A4E0A" w:rsidP="006A4E0A">
            <w:pPr>
              <w:pStyle w:val="ListBullet2"/>
            </w:pPr>
            <w:r w:rsidRPr="006A4E0A">
              <w:t xml:space="preserve">trucks </w:t>
            </w:r>
          </w:p>
          <w:p w:rsidR="00000000" w:rsidRPr="006A4E0A" w:rsidP="006A4E0A">
            <w:pPr>
              <w:pStyle w:val="ListBullet2"/>
            </w:pPr>
            <w:r w:rsidRPr="006A4E0A">
              <w:t>buses</w:t>
            </w:r>
          </w:p>
          <w:p w:rsidR="00000000" w:rsidRPr="006A4E0A" w:rsidP="006A4E0A">
            <w:pPr>
              <w:pStyle w:val="ListBullet2"/>
            </w:pPr>
            <w:r w:rsidRPr="006A4E0A">
              <w:t>excavation and construction equipment such as backhoes and excavators.</w:t>
            </w:r>
          </w:p>
          <w:p w:rsidR="00000000" w:rsidRPr="006A4E0A" w:rsidP="006A4E0A">
            <w:pPr>
              <w:pStyle w:val="BodyText"/>
            </w:pPr>
          </w:p>
          <w:p w:rsidR="00000000" w:rsidP="006A4E0A">
            <w:pPr>
              <w:pStyle w:val="BodyText"/>
              <w:rPr>
                <w:lang w:val="en-NZ"/>
              </w:rPr>
            </w:pPr>
            <w:r w:rsidRPr="006A4E0A">
              <w:t xml:space="preserve">Note: All vehicles included in this clause have licence or ticket requirements. The licence or ticket will need </w:t>
            </w:r>
            <w:r w:rsidRPr="006A4E0A">
              <w:t>to be issued to the learner for completion of relevant sections of the EKAS Clause.</w:t>
            </w:r>
          </w:p>
        </w:tc>
      </w:tr>
      <w:tr w:rsidTr="006F08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 5.1.2</w:t>
            </w:r>
          </w:p>
        </w:tc>
        <w:tc>
          <w:tcPr>
            <w:tcW w:w="603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Apply problem solving, decision making and conflict resolution techniques</w:t>
            </w:r>
          </w:p>
          <w:p w:rsidR="00000000" w:rsidRPr="006A4E0A" w:rsidP="006A4E0A">
            <w:pPr>
              <w:pStyle w:val="BodyText"/>
            </w:pPr>
            <w:r w:rsidRPr="006A4E0A">
              <w:t>Evidence shall show an understanding and application of problem solving, decision making and conflict resolution techniques in a Gas Industry environment, indicated by the following:</w:t>
            </w:r>
          </w:p>
          <w:p w:rsidR="00000000" w:rsidRPr="006A4E0A" w:rsidP="006A4E0A">
            <w:pPr>
              <w:pStyle w:val="ListBullet"/>
            </w:pPr>
            <w:r w:rsidRPr="006A4E0A">
              <w:t>problem solving and decision making techniques</w:t>
            </w:r>
          </w:p>
          <w:p w:rsidR="00000000" w:rsidRPr="006A4E0A" w:rsidP="006A4E0A">
            <w:pPr>
              <w:pStyle w:val="ListBullet2"/>
            </w:pPr>
            <w:r w:rsidRPr="006A4E0A">
              <w:t>the decision making envir</w:t>
            </w:r>
            <w:r w:rsidRPr="006A4E0A">
              <w:t>onment</w:t>
            </w:r>
          </w:p>
          <w:p w:rsidR="00000000" w:rsidRPr="006A4E0A" w:rsidP="006A4E0A">
            <w:pPr>
              <w:pStyle w:val="ListBullet2"/>
            </w:pPr>
            <w:r w:rsidRPr="006A4E0A">
              <w:t>group decision making</w:t>
            </w:r>
          </w:p>
          <w:p w:rsidR="00000000" w:rsidRPr="006A4E0A" w:rsidP="006A4E0A">
            <w:pPr>
              <w:pStyle w:val="ListBullet2"/>
            </w:pPr>
            <w:r w:rsidRPr="006A4E0A">
              <w:t>guidelines for making decisions</w:t>
            </w:r>
          </w:p>
          <w:p w:rsidR="00000000" w:rsidRPr="006A4E0A" w:rsidP="006A4E0A">
            <w:pPr>
              <w:pStyle w:val="ListBullet2"/>
            </w:pPr>
            <w:r w:rsidRPr="006A4E0A">
              <w:t>decision making aids and support systems</w:t>
            </w:r>
          </w:p>
          <w:p w:rsidR="00000000" w:rsidRPr="006A4E0A" w:rsidP="006A4E0A">
            <w:pPr>
              <w:pStyle w:val="ListBullet2"/>
            </w:pPr>
            <w:r w:rsidRPr="006A4E0A">
              <w:t>negotiation with internal and external stakeholders</w:t>
            </w:r>
          </w:p>
          <w:p w:rsidR="00000000" w:rsidRPr="006A4E0A" w:rsidP="006A4E0A">
            <w:pPr>
              <w:pStyle w:val="ListBullet2"/>
            </w:pPr>
            <w:r w:rsidRPr="006A4E0A">
              <w:t>the nature of negotiation</w:t>
            </w:r>
          </w:p>
          <w:p w:rsidR="00000000" w:rsidRPr="006A4E0A" w:rsidP="006A4E0A">
            <w:pPr>
              <w:pStyle w:val="ListBullet2"/>
            </w:pPr>
            <w:r w:rsidRPr="006A4E0A">
              <w:t>strategy and tactics of bargaining</w:t>
            </w:r>
          </w:p>
          <w:p w:rsidR="00000000" w:rsidRPr="006A4E0A" w:rsidP="006A4E0A">
            <w:pPr>
              <w:pStyle w:val="ListBullet2"/>
            </w:pPr>
            <w:r w:rsidRPr="006A4E0A">
              <w:t>pre-negotiation essentials</w:t>
            </w:r>
          </w:p>
          <w:p w:rsidR="00000000" w:rsidRPr="006A4E0A" w:rsidP="006A4E0A">
            <w:pPr>
              <w:pStyle w:val="ListBullet2"/>
            </w:pPr>
            <w:r w:rsidRPr="006A4E0A">
              <w:t xml:space="preserve">communication </w:t>
            </w:r>
            <w:r w:rsidRPr="006A4E0A">
              <w:t>in negotiation</w:t>
            </w:r>
          </w:p>
          <w:p w:rsidR="00000000" w:rsidRPr="006A4E0A" w:rsidP="006A4E0A">
            <w:pPr>
              <w:pStyle w:val="ListBullet"/>
            </w:pPr>
            <w:r w:rsidRPr="006A4E0A">
              <w:t>resolve conflict with internal or external stakeholders</w:t>
            </w:r>
          </w:p>
          <w:p w:rsidR="00000000" w:rsidRPr="006A4E0A" w:rsidP="006A4E0A">
            <w:pPr>
              <w:pStyle w:val="ListBullet2"/>
            </w:pPr>
            <w:r w:rsidRPr="006A4E0A">
              <w:t>dealing with negotiation breakdowns</w:t>
            </w:r>
          </w:p>
          <w:p w:rsidR="00000000" w:rsidRPr="006A4E0A" w:rsidP="006A4E0A">
            <w:pPr>
              <w:pStyle w:val="ListBullet2"/>
            </w:pPr>
            <w:r w:rsidRPr="006A4E0A">
              <w:t>social context of negotiation</w:t>
            </w:r>
          </w:p>
          <w:p w:rsidR="00000000" w:rsidRPr="006A4E0A" w:rsidP="006A4E0A">
            <w:pPr>
              <w:pStyle w:val="ListBullet2"/>
            </w:pPr>
            <w:r w:rsidRPr="006A4E0A">
              <w:t>power in negotiation</w:t>
            </w:r>
          </w:p>
          <w:p w:rsidR="00000000" w:rsidRPr="006A4E0A" w:rsidP="006A4E0A">
            <w:pPr>
              <w:pStyle w:val="ListBullet2"/>
            </w:pPr>
            <w:r w:rsidRPr="006A4E0A">
              <w:t>ethics in negotiation.</w:t>
            </w:r>
          </w:p>
        </w:tc>
      </w:tr>
    </w:tbl>
    <w:p w:rsidR="006F088F" w:rsidP="006A4E0A">
      <w:pPr>
        <w:pStyle w:val="BodyText"/>
      </w:pPr>
    </w:p>
    <w:p w:rsidR="006F088F" w:rsidP="006A4E0A">
      <w:pPr>
        <w:pStyle w:val="BodyText"/>
      </w:pPr>
    </w:p>
    <w:p w:rsidR="00000000" w:rsidRPr="006A4E0A" w:rsidP="006A4E0A">
      <w:pPr>
        <w:pStyle w:val="Heading1"/>
      </w:pPr>
      <w:bookmarkStart w:id="10" w:name="O_402299"/>
      <w:bookmarkEnd w:id="10"/>
      <w:r w:rsidRPr="006A4E0A">
        <w:t>Evidence Guide</w:t>
      </w:r>
    </w:p>
    <w:tbl>
      <w:tblPr>
        <w:tblW w:w="0" w:type="auto"/>
        <w:tblLayout w:type="fixed"/>
        <w:tblCellMar>
          <w:left w:w="62" w:type="dxa"/>
          <w:right w:w="62" w:type="dxa"/>
        </w:tblCellMar>
        <w:tblLook w:val="0000"/>
      </w:tblPr>
      <w:tblGrid>
        <w:gridCol w:w="8460"/>
      </w:tblGrid>
      <w:tr w:rsidTr="006F08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EVIDENCE GUIDE</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9)</w:t>
            </w:r>
            <w:r w:rsidRPr="006A4E0A">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6A4E0A" w:rsidP="006A4E0A">
      <w:pPr>
        <w:pStyle w:val="BodyText"/>
      </w:pPr>
    </w:p>
    <w:tbl>
      <w:tblPr>
        <w:tblW w:w="0" w:type="auto"/>
        <w:tblLayout w:type="fixed"/>
        <w:tblCellMar>
          <w:left w:w="62" w:type="dxa"/>
          <w:right w:w="62" w:type="dxa"/>
        </w:tblCellMar>
        <w:tblLook w:val="0000"/>
      </w:tblPr>
      <w:tblGrid>
        <w:gridCol w:w="1890"/>
        <w:gridCol w:w="6570"/>
      </w:tblGrid>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Overview of Assessmen</w:t>
            </w:r>
            <w:r w:rsidRPr="006A4E0A">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9.1)</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Longitudinal competency development approaches to assessment, such as Profiling, require data to be reliably gathered in a form that can be consistently interpreted over time. This approach is best utilised in Apprenticeship programs and reduces a</w:t>
            </w:r>
            <w:r w:rsidRPr="006A4E0A">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6A4E0A">
              <w:t>the competency in a realistically simulated work environment. It is recognised that, in some circumstances, assessment in part or full can occur outside the workplace. However, it must be in accord with Industry regulatory policy in this regard.</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Methods </w:t>
            </w:r>
            <w:r w:rsidRPr="006A4E0A">
              <w:t>chosen for a particular assessment will be influenced by various factors. These include the extent of the assessment, the most effective locations for the assessment activities to take place, access to physical resources, additional safety measures that ma</w:t>
            </w:r>
            <w:r w:rsidRPr="006A4E0A">
              <w:t>y be required and the critical nature of the competencies being assessed.</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The critical safety nature of working with electricity, electrical equipment, gas or any other hazardous substance/material carries risk in </w:t>
            </w:r>
            <w:r w:rsidRPr="006A4E0A">
              <w:t>deeming a person competent. Hence, sources of evidence need to be ‘rich’ in nature so as to minimise error in judgment.</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Activities associated with normal every day work have a bearing on the decision as to how much and how detailed the data gathered will</w:t>
            </w:r>
            <w:r w:rsidRPr="006A4E0A">
              <w:t xml:space="preserve"> contribute to its ‘richness’. Some skills are more critical to safety and operational requirements while the same skills may be more or less frequently practiced. These points are raised for the assessors to consider when choosing an assessment method and</w:t>
            </w:r>
            <w:r w:rsidRPr="006A4E0A">
              <w:t xml:space="preserve"> developing assessment instruments. Sample assessment instruments are included for Assessors in the Assessment Guidelines of this Training Package.</w:t>
            </w:r>
          </w:p>
        </w:tc>
      </w:tr>
    </w:tbl>
    <w:p w:rsidR="00000000" w:rsidRPr="006A4E0A" w:rsidP="006A4E0A">
      <w:pPr>
        <w:pStyle w:val="BodyText"/>
      </w:pPr>
    </w:p>
    <w:tbl>
      <w:tblPr>
        <w:tblW w:w="0" w:type="auto"/>
        <w:tblLayout w:type="fixed"/>
        <w:tblCellMar>
          <w:left w:w="62" w:type="dxa"/>
          <w:right w:w="62" w:type="dxa"/>
        </w:tblCellMar>
        <w:tblLook w:val="0000"/>
      </w:tblPr>
      <w:tblGrid>
        <w:gridCol w:w="1890"/>
        <w:gridCol w:w="6570"/>
      </w:tblGrid>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9.2)</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Before the critical as</w:t>
            </w:r>
            <w:r w:rsidRPr="006A4E0A">
              <w:t>pects of evidence are considered all prerequisites shall be met.</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Evidence for competence in this unit shall be considered holistically. Each element and associated Performance Criteria shall be demonstrated on at least two occasions in accordance with th</w:t>
            </w:r>
            <w:r w:rsidRPr="006A4E0A">
              <w:t>e ‘Assessment Guidelines — UEG11’. Evidence shall also comprise:</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
              <w:rPr>
                <w:lang w:val="en-NZ"/>
              </w:rPr>
            </w:pPr>
            <w:r w:rsidRPr="006A4E0A">
              <w:t>A representative body of work performance demonstrated within the timeframes typically expected of the discipline, work function and industrial environment. In particular this shall incorpo</w:t>
            </w:r>
            <w:r w:rsidRPr="006A4E0A">
              <w:t>rate evidence that shows a candidate is able to:</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2"/>
              <w:rPr>
                <w:lang w:val="en-NZ"/>
              </w:rPr>
            </w:pPr>
            <w:r w:rsidRPr="006A4E0A">
              <w:t>Implement Occupational Health and Safety workplace procedures and practices including the use of risk control measures as specified in the Performance Criteria and range</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2"/>
              <w:rPr>
                <w:lang w:val="en-NZ"/>
              </w:rPr>
            </w:pPr>
            <w:r w:rsidRPr="006A4E0A">
              <w:t>Apply sustainable energy principles and practices as specified in the Performance Criteria and range</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2"/>
              <w:rPr>
                <w:lang w:val="en-NZ"/>
              </w:rPr>
            </w:pPr>
            <w:r w:rsidRPr="006A4E0A">
              <w:t>Demonstrate an understanding of the essential knowledge and associated skills as described in this unit to such an extent that the learner’s performance</w:t>
            </w:r>
            <w:r w:rsidRPr="006A4E0A">
              <w:t xml:space="preserve"> outcome is reported in accordance with the preferred approach; namely a percentile graded result, where required by the regulated environment</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2"/>
              <w:rPr>
                <w:lang w:val="en-NZ"/>
              </w:rPr>
            </w:pPr>
            <w:r w:rsidRPr="006A4E0A">
              <w:t>Demonstrate an appropriate level of employability skills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2"/>
              <w:rPr>
                <w:lang w:val="en-NZ"/>
              </w:rPr>
            </w:pPr>
            <w:r w:rsidRPr="006A4E0A">
              <w:t>Conduct work observing the relevant anti-discrimination legislation, regulations, polices and workplace procedures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A4E0A" w:rsidP="006A4E0A">
            <w:pPr>
              <w:pStyle w:val="ListBullet"/>
            </w:pPr>
            <w:r w:rsidRPr="006A4E0A">
              <w:t>Demonstrate performance across a representative range of contexts from the prescribed items below.</w:t>
            </w:r>
          </w:p>
        </w:tc>
      </w:tr>
    </w:tbl>
    <w:p w:rsidR="00000000" w:rsidRPr="006A4E0A" w:rsidP="006A4E0A">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6F088F">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A4E0A">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E0A">
            <w:pPr>
              <w:pStyle w:val="BodyText"/>
              <w:rPr>
                <w:lang w:val="en-NZ"/>
              </w:rPr>
            </w:pPr>
            <w:r w:rsidRPr="006A4E0A">
              <w:rPr>
                <w:rStyle w:val="SpecialBold"/>
              </w:rPr>
              <w:t>Range of tools/equipment/procedures/workplace</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A4E0A">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E0A" w:rsidP="006A4E0A">
            <w:pPr>
              <w:pStyle w:val="BodyText"/>
            </w:pPr>
            <w:r w:rsidRPr="006A4E0A">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E0A" w:rsidP="006A4E0A">
            <w:pPr>
              <w:pStyle w:val="BodyText"/>
            </w:pPr>
            <w:r w:rsidRPr="006A4E0A">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E0A">
            <w:pPr>
              <w:pStyle w:val="BodyText"/>
              <w:rPr>
                <w:lang w:val="en-NZ"/>
              </w:rPr>
            </w:pPr>
            <w:r w:rsidRPr="006A4E0A">
              <w:rPr>
                <w:rStyle w:val="SpecialBold"/>
              </w:rPr>
              <w:t>Item List</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E0A">
            <w:pPr>
              <w:pStyle w:val="BodyText"/>
              <w:rPr>
                <w:lang w:val="en-NZ"/>
              </w:rPr>
            </w:pPr>
            <w:r w:rsidRPr="006A4E0A">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E0A">
            <w:pPr>
              <w:pStyle w:val="BodyText"/>
              <w:rPr>
                <w:lang w:val="en-NZ"/>
              </w:rPr>
            </w:pPr>
            <w:r w:rsidRPr="006A4E0A">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E0A" w:rsidP="006A4E0A">
            <w:pPr>
              <w:pStyle w:val="BodyText"/>
            </w:pPr>
            <w:r w:rsidRPr="006A4E0A">
              <w:t xml:space="preserve">Identify threats to the integrity of transmission pipelines </w:t>
            </w:r>
          </w:p>
          <w:p w:rsidR="00000000" w:rsidRPr="006A4E0A" w:rsidP="006A4E0A">
            <w:pPr>
              <w:pStyle w:val="BodyText"/>
            </w:pPr>
            <w:r w:rsidRPr="006A4E0A">
              <w:t>Evaluate threats to the integrity of transmission pipelines</w:t>
            </w:r>
          </w:p>
          <w:p w:rsidR="00000000" w:rsidRPr="006A4E0A" w:rsidP="006A4E0A">
            <w:pPr>
              <w:pStyle w:val="BodyText"/>
            </w:pPr>
            <w:r w:rsidRPr="006A4E0A">
              <w:t xml:space="preserve">Initial control of threats to the integrity of transmission pipelines </w:t>
            </w:r>
          </w:p>
          <w:p w:rsidR="00000000" w:rsidRPr="006A4E0A" w:rsidP="006A4E0A">
            <w:pPr>
              <w:pStyle w:val="BodyText"/>
            </w:pPr>
            <w:r w:rsidRPr="006A4E0A">
              <w:t>Working knowledge of coatings for corrosion protection</w:t>
            </w:r>
          </w:p>
          <w:p w:rsidR="00000000" w:rsidRPr="006A4E0A" w:rsidP="006A4E0A">
            <w:pPr>
              <w:pStyle w:val="BodyText"/>
            </w:pPr>
            <w:r w:rsidRPr="006A4E0A">
              <w:t xml:space="preserve">Working knowledge of relevant sections the latest version of AS2885 </w:t>
            </w:r>
          </w:p>
          <w:p w:rsidR="00000000" w:rsidRPr="006A4E0A" w:rsidP="006A4E0A">
            <w:pPr>
              <w:pStyle w:val="BodyText"/>
            </w:pPr>
            <w:r w:rsidRPr="006A4E0A">
              <w:t>W</w:t>
            </w:r>
            <w:r w:rsidRPr="006A4E0A">
              <w:t>orking knowledge of relevant sections of the latest version of AS2832</w:t>
            </w:r>
          </w:p>
          <w:p w:rsidR="00000000" w:rsidP="006A4E0A">
            <w:pPr>
              <w:pStyle w:val="BodyText"/>
              <w:rPr>
                <w:lang w:val="en-NZ"/>
              </w:rPr>
            </w:pPr>
            <w:r w:rsidRPr="006A4E0A">
              <w:t>Working knowledge of external interference physical and procedural protection measures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E0A">
            <w:pPr>
              <w:pStyle w:val="BodyText"/>
              <w:rPr>
                <w:lang w:val="en-NZ"/>
              </w:rPr>
            </w:pPr>
            <w:r w:rsidRPr="006A4E0A">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E0A">
            <w:pPr>
              <w:pStyle w:val="BodyText"/>
              <w:rPr>
                <w:lang w:val="en-NZ"/>
              </w:rPr>
            </w:pPr>
            <w:r w:rsidRPr="006A4E0A">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E0A" w:rsidP="006A4E0A">
            <w:pPr>
              <w:pStyle w:val="BodyText"/>
            </w:pPr>
            <w:r w:rsidRPr="006A4E0A">
              <w:t>Interpret technical drawings and symbols</w:t>
            </w:r>
          </w:p>
          <w:p w:rsidR="00000000" w:rsidRPr="006A4E0A" w:rsidP="006A4E0A">
            <w:pPr>
              <w:pStyle w:val="BodyText"/>
            </w:pPr>
            <w:r w:rsidRPr="006A4E0A">
              <w:t>Operation of Gas detector</w:t>
            </w:r>
          </w:p>
          <w:p w:rsidR="00000000" w:rsidRPr="006A4E0A" w:rsidP="006A4E0A">
            <w:pPr>
              <w:pStyle w:val="BodyText"/>
            </w:pPr>
            <w:r w:rsidRPr="006A4E0A">
              <w:t>Emergency Response proc</w:t>
            </w:r>
            <w:r w:rsidRPr="006A4E0A">
              <w:t>edures</w:t>
            </w:r>
          </w:p>
          <w:p w:rsidR="00000000" w:rsidRPr="006A4E0A" w:rsidP="006A4E0A">
            <w:pPr>
              <w:pStyle w:val="BodyText"/>
            </w:pPr>
            <w:r w:rsidRPr="006A4E0A">
              <w:t>Operate pipe locater</w:t>
            </w:r>
          </w:p>
          <w:p w:rsidR="00000000" w:rsidRPr="006A4E0A" w:rsidP="006A4E0A">
            <w:pPr>
              <w:pStyle w:val="BodyText"/>
            </w:pPr>
            <w:r w:rsidRPr="006A4E0A">
              <w:t>Use of and interpret Dial Before You Dig report or equivalent</w:t>
            </w:r>
          </w:p>
          <w:p w:rsidR="00000000" w:rsidRPr="006A4E0A" w:rsidP="006A4E0A">
            <w:pPr>
              <w:pStyle w:val="BodyText"/>
            </w:pPr>
            <w:r w:rsidRPr="006A4E0A">
              <w:t>Work utilising relevant OHS legislation, regulations, codes of practice, policies and procedures</w:t>
            </w:r>
          </w:p>
          <w:p w:rsidR="00000000" w:rsidRPr="006A4E0A" w:rsidP="006A4E0A">
            <w:pPr>
              <w:pStyle w:val="BodyText"/>
            </w:pPr>
            <w:r w:rsidRPr="006A4E0A">
              <w:t>Maintain a safe and clean workplace</w:t>
            </w:r>
          </w:p>
          <w:p w:rsidR="00000000" w:rsidRPr="006A4E0A" w:rsidP="006A4E0A">
            <w:pPr>
              <w:pStyle w:val="BodyText"/>
            </w:pPr>
            <w:r w:rsidRPr="006A4E0A">
              <w:t>Work safely with hazardous materials and equipment</w:t>
            </w:r>
          </w:p>
          <w:p w:rsidR="00000000" w:rsidRPr="006A4E0A" w:rsidP="006A4E0A">
            <w:pPr>
              <w:pStyle w:val="BodyText"/>
            </w:pPr>
            <w:r w:rsidRPr="006A4E0A">
              <w:t>Apply safe manual handling techniques</w:t>
            </w:r>
          </w:p>
          <w:p w:rsidR="00000000" w:rsidRPr="006A4E0A" w:rsidP="006A4E0A">
            <w:pPr>
              <w:pStyle w:val="BodyText"/>
            </w:pPr>
            <w:r w:rsidRPr="006A4E0A">
              <w:t>Communicate effectively in the workplace</w:t>
            </w:r>
          </w:p>
          <w:p w:rsidR="00000000" w:rsidRPr="006A4E0A" w:rsidP="006A4E0A">
            <w:pPr>
              <w:pStyle w:val="BodyText"/>
            </w:pPr>
            <w:r w:rsidRPr="006A4E0A">
              <w:t>Negotiation skills</w:t>
            </w:r>
          </w:p>
          <w:p w:rsidR="00000000" w:rsidRPr="006A4E0A" w:rsidP="006A4E0A">
            <w:pPr>
              <w:pStyle w:val="BodyText"/>
            </w:pPr>
            <w:r w:rsidRPr="006A4E0A">
              <w:t>Apply basic planning skills</w:t>
            </w:r>
          </w:p>
          <w:p w:rsidR="00000000" w:rsidP="006A4E0A">
            <w:pPr>
              <w:pStyle w:val="BodyText"/>
              <w:rPr>
                <w:lang w:val="en-NZ"/>
              </w:rPr>
            </w:pPr>
            <w:r w:rsidRPr="006A4E0A">
              <w:t>First Aid certificate level 1</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E0A">
            <w:pPr>
              <w:pStyle w:val="BodyText"/>
              <w:rPr>
                <w:lang w:val="en-NZ"/>
              </w:rPr>
            </w:pPr>
            <w:r w:rsidRPr="006A4E0A">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E0A">
            <w:pPr>
              <w:pStyle w:val="BodyText"/>
              <w:rPr>
                <w:lang w:val="en-NZ"/>
              </w:rPr>
            </w:pPr>
            <w:r w:rsidRPr="006A4E0A">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E0A" w:rsidP="006A4E0A">
            <w:pPr>
              <w:pStyle w:val="BodyText"/>
            </w:pPr>
            <w:r w:rsidRPr="006A4E0A">
              <w:t>Deal with an unplanned</w:t>
            </w:r>
            <w:r w:rsidRPr="006A4E0A">
              <w:t xml:space="preserve"> event by drawing on essential knowledge and associated skills to provide appropriate solutions incorporated in the holistic assessment with the above listed items </w:t>
            </w:r>
          </w:p>
        </w:tc>
      </w:tr>
    </w:tbl>
    <w:p w:rsidR="00000000" w:rsidRPr="006A4E0A" w:rsidP="006A4E0A">
      <w:pPr>
        <w:pStyle w:val="BodyText"/>
      </w:pPr>
    </w:p>
    <w:tbl>
      <w:tblPr>
        <w:tblW w:w="0" w:type="auto"/>
        <w:tblLayout w:type="fixed"/>
        <w:tblCellMar>
          <w:left w:w="62" w:type="dxa"/>
          <w:right w:w="62" w:type="dxa"/>
        </w:tblCellMar>
        <w:tblLook w:val="0000"/>
      </w:tblPr>
      <w:tblGrid>
        <w:gridCol w:w="1890"/>
        <w:gridCol w:w="6570"/>
      </w:tblGrid>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9.3)</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This unit contains Employability Skills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This unit should be assessed as it relates to normal work practice using procedures, information and resources typical of a workplace. This should include:</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
              <w:rPr>
                <w:lang w:val="en-NZ"/>
              </w:rPr>
            </w:pPr>
            <w:r w:rsidRPr="006A4E0A">
              <w:t>OHS policy and work procedures and instructions.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
              <w:rPr>
                <w:lang w:val="en-NZ"/>
              </w:rPr>
            </w:pPr>
            <w:r w:rsidRPr="006A4E0A">
              <w:t>Suita</w:t>
            </w:r>
            <w:r w:rsidRPr="006A4E0A">
              <w:t>ble work environment, facilities, equipment and materials to undertake actual work as prescribed by this Competency Standard Unit.</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
              <w:rPr>
                <w:lang w:val="en-NZ"/>
              </w:rPr>
            </w:pPr>
            <w:r w:rsidRPr="006A4E0A">
              <w:t>Appropriate environmental regulation and work practices.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
              <w:rPr>
                <w:lang w:val="en-NZ"/>
              </w:rPr>
            </w:pPr>
            <w:r w:rsidRPr="006A4E0A">
              <w:t>Appropriate organisational requirements.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ListBullet"/>
              <w:rPr>
                <w:lang w:val="en-NZ"/>
              </w:rPr>
            </w:pPr>
            <w:r w:rsidRPr="006A4E0A">
              <w:t>Appropriate work environment, equipment and tools.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In addition to the resources listed above, in Context of and specific resources for assessment, evidence should show demonstrated competency in identifying, evaluating and controlling threats to transmis</w:t>
            </w:r>
            <w:r w:rsidRPr="006A4E0A">
              <w:t>sion pipelines.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Assessment of this competency must also be undertaken in either an actual workplace or under a simulated work environment. Assessment must also integrate the employability skills.</w:t>
            </w:r>
          </w:p>
        </w:tc>
      </w:tr>
    </w:tbl>
    <w:p w:rsidR="00000000" w:rsidRPr="006A4E0A" w:rsidP="006A4E0A">
      <w:pPr>
        <w:pStyle w:val="BodyText"/>
      </w:pPr>
    </w:p>
    <w:tbl>
      <w:tblPr>
        <w:tblW w:w="0" w:type="auto"/>
        <w:tblLayout w:type="fixed"/>
        <w:tblCellMar>
          <w:left w:w="62" w:type="dxa"/>
          <w:right w:w="62" w:type="dxa"/>
        </w:tblCellMar>
        <w:tblLook w:val="0000"/>
      </w:tblPr>
      <w:tblGrid>
        <w:gridCol w:w="1890"/>
        <w:gridCol w:w="6570"/>
      </w:tblGrid>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9.4)</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This Competency Standard Uni</w:t>
            </w:r>
            <w:r w:rsidRPr="006A4E0A">
              <w:t>t shall be assessed by methods given in Volume 1, Part 3 ‘Assessment Guidelines’.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 xml:space="preserve">Note: Competent performance with inherent safe working practices is expected in the Industry to which this Competency Standard Unit applies. </w:t>
            </w:r>
            <w:r w:rsidRPr="006A4E0A">
              <w:t>This requires that the specified Essential Knowledge and Associated Skills are assessed in a structured environment which is primarily intended for learning/assessment and incorporates all necessary equipment and facilities for learners to develop and demo</w:t>
            </w:r>
            <w:r w:rsidRPr="006A4E0A">
              <w:t>nstrate the essential knowledge and associated skills described in this unit.</w:t>
            </w:r>
          </w:p>
        </w:tc>
      </w:tr>
    </w:tbl>
    <w:p w:rsidR="00000000" w:rsidRPr="006A4E0A" w:rsidP="006A4E0A">
      <w:pPr>
        <w:pStyle w:val="BodyText"/>
      </w:pPr>
    </w:p>
    <w:tbl>
      <w:tblPr>
        <w:tblW w:w="0" w:type="auto"/>
        <w:tblLayout w:type="fixed"/>
        <w:tblCellMar>
          <w:left w:w="62" w:type="dxa"/>
          <w:right w:w="62" w:type="dxa"/>
        </w:tblCellMar>
        <w:tblLook w:val="0000"/>
      </w:tblPr>
      <w:tblGrid>
        <w:gridCol w:w="1890"/>
        <w:gridCol w:w="1620"/>
        <w:gridCol w:w="4950"/>
      </w:tblGrid>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9.5)</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There are no recommended concurrent assessments with this unit, however in some cases efficiencies may be gained</w:t>
            </w:r>
            <w:r w:rsidRPr="006A4E0A">
              <w:t xml:space="preserve"> in terms of learning and assessment effort being concurrently managed with allied Competency Standard Units where listed.</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UEGNSG302B</w:t>
            </w:r>
          </w:p>
        </w:tc>
        <w:tc>
          <w:tcPr>
            <w:tcW w:w="495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Maintain pipeline easements</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UEGNSG329A</w:t>
            </w:r>
          </w:p>
        </w:tc>
        <w:tc>
          <w:tcPr>
            <w:tcW w:w="495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Gas transmission pipeline surveillance</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UEGNSG309B</w:t>
            </w:r>
          </w:p>
        </w:tc>
        <w:tc>
          <w:tcPr>
            <w:tcW w:w="495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First on site emergency response on a transmission pipeline</w:t>
            </w:r>
          </w:p>
        </w:tc>
      </w:tr>
      <w:tr w:rsidTr="006F088F">
        <w:tblPrEx>
          <w:tblW w:w="0" w:type="auto"/>
          <w:tblLayout w:type="fixed"/>
          <w:tblCellMar>
            <w:left w:w="62" w:type="dxa"/>
            <w:right w:w="62" w:type="dxa"/>
          </w:tblCellMar>
          <w:tblLook w:val="0000"/>
        </w:tblPrEx>
        <w:trPr>
          <w:trHeight w:val="33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UEGNSG310B</w:t>
            </w:r>
          </w:p>
        </w:tc>
        <w:tc>
          <w:tcPr>
            <w:tcW w:w="495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Supervise and monitor contract work</w:t>
            </w:r>
          </w:p>
        </w:tc>
      </w:tr>
      <w:tr w:rsidTr="006F08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UEGNSG311B</w:t>
            </w:r>
          </w:p>
        </w:tc>
        <w:tc>
          <w:tcPr>
            <w:tcW w:w="495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Site control of third party works in the vicinity of a transmission pipeline</w:t>
            </w:r>
          </w:p>
        </w:tc>
      </w:tr>
    </w:tbl>
    <w:p w:rsidR="006F088F" w:rsidP="006A4E0A">
      <w:pPr>
        <w:pStyle w:val="BodyText"/>
      </w:pPr>
    </w:p>
    <w:p w:rsidR="006F088F" w:rsidP="006A4E0A">
      <w:pPr>
        <w:pStyle w:val="BodyText"/>
      </w:pPr>
    </w:p>
    <w:p w:rsidR="00000000" w:rsidRPr="006A4E0A" w:rsidP="006A4E0A">
      <w:pPr>
        <w:pStyle w:val="Heading1"/>
      </w:pPr>
      <w:bookmarkStart w:id="11" w:name="O_402303"/>
      <w:bookmarkEnd w:id="11"/>
      <w:r w:rsidRPr="006A4E0A">
        <w:t>Range Statement</w:t>
      </w:r>
    </w:p>
    <w:tbl>
      <w:tblPr>
        <w:tblW w:w="0" w:type="auto"/>
        <w:tblLayout w:type="fixed"/>
        <w:tblCellMar>
          <w:left w:w="62" w:type="dxa"/>
          <w:right w:w="62" w:type="dxa"/>
        </w:tblCellMar>
        <w:tblLook w:val="0000"/>
      </w:tblPr>
      <w:tblGrid>
        <w:gridCol w:w="8460"/>
      </w:tblGrid>
      <w:tr w:rsidTr="006F08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RANGE STATEMENT</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10)</w:t>
            </w:r>
            <w:r w:rsidRPr="006A4E0A">
              <w:t xml:space="preserve"> This relates to the competency standard unit as a whole providing the range of contexts and conditions to which the Performance Criteria apply. It allows for different work environments and situations that will affect performance.</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This Competency Standar</w:t>
            </w:r>
            <w:r w:rsidRPr="006A4E0A">
              <w:t>d Unit shall be demonstrated in relation to identifying, evaluating and controlling threats to transmission pipelines.</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The following constants and variables included in the element/Performance Criteria in this unit are fully described in the Definitions Section of this volume and form an integral part of the Range Statement of this unit:</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Tools and equipment (4)</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 xml:space="preserve">Maps and </w:t>
            </w:r>
            <w:r w:rsidRPr="006A4E0A">
              <w:t>drawings</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Established procedures</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t>PPE and First Aid equipment</w:t>
            </w:r>
          </w:p>
        </w:tc>
      </w:tr>
      <w:tr w:rsidTr="006F08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Traffic control</w:t>
            </w:r>
          </w:p>
        </w:tc>
      </w:tr>
    </w:tbl>
    <w:p w:rsidR="00000000" w:rsidRPr="006A4E0A" w:rsidP="006A4E0A">
      <w:pPr>
        <w:pStyle w:val="BodyText"/>
      </w:pPr>
    </w:p>
    <w:p w:rsidR="00000000" w:rsidRPr="006A4E0A" w:rsidP="006A4E0A">
      <w:pPr>
        <w:pStyle w:val="AllowPageBreak"/>
      </w:pPr>
    </w:p>
    <w:p w:rsidR="00000000" w:rsidRPr="006A4E0A" w:rsidP="006A4E0A">
      <w:pPr>
        <w:pStyle w:val="Heading1"/>
      </w:pPr>
      <w:bookmarkStart w:id="12" w:name="O_402306"/>
      <w:bookmarkEnd w:id="12"/>
      <w:r w:rsidRPr="006A4E0A">
        <w:t>Unit Sector(s)</w:t>
      </w:r>
    </w:p>
    <w:p w:rsidR="00000000" w:rsidRPr="006A4E0A" w:rsidP="006A4E0A">
      <w:pPr>
        <w:pStyle w:val="BodyText"/>
      </w:pPr>
      <w:r w:rsidRPr="006A4E0A">
        <w:t>Not applicable.</w:t>
      </w:r>
    </w:p>
    <w:p w:rsidR="00000000" w:rsidRPr="006A4E0A" w:rsidP="006A4E0A">
      <w:pPr>
        <w:pStyle w:val="AllowPageBreak"/>
      </w:pPr>
    </w:p>
    <w:p w:rsidR="00000000" w:rsidRPr="006A4E0A" w:rsidP="006A4E0A">
      <w:pPr>
        <w:pStyle w:val="Heading1"/>
      </w:pPr>
      <w:bookmarkStart w:id="13" w:name="O_402295"/>
      <w:bookmarkEnd w:id="13"/>
      <w:r w:rsidRPr="006A4E0A">
        <w:t>Competency Field</w:t>
      </w:r>
    </w:p>
    <w:tbl>
      <w:tblPr>
        <w:tblW w:w="0" w:type="auto"/>
        <w:tblLayout w:type="fixed"/>
        <w:tblCellMar>
          <w:left w:w="62" w:type="dxa"/>
          <w:right w:w="62" w:type="dxa"/>
        </w:tblCellMar>
        <w:tblLook w:val="0000"/>
      </w:tblPr>
      <w:tblGrid>
        <w:gridCol w:w="2700"/>
        <w:gridCol w:w="5760"/>
      </w:tblGrid>
      <w:tr w:rsidTr="006F08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A4E0A">
            <w:pPr>
              <w:pStyle w:val="BodyText"/>
              <w:rPr>
                <w:lang w:val="en-NZ"/>
              </w:rPr>
            </w:pPr>
            <w:r w:rsidRPr="006A4E0A">
              <w:rPr>
                <w:rStyle w:val="SpecialBold"/>
              </w:rPr>
              <w:t xml:space="preserve">11) </w:t>
            </w:r>
          </w:p>
        </w:tc>
      </w:tr>
      <w:tr w:rsidTr="006F08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A4E0A" w:rsidP="006A4E0A">
            <w:pPr>
              <w:pStyle w:val="BodyText"/>
            </w:pPr>
            <w:r w:rsidRPr="006A4E0A">
              <w:t>Transmission.</w:t>
            </w:r>
          </w:p>
        </w:tc>
      </w:tr>
    </w:tbl>
    <w:p w:rsidR="00000000" w:rsidRPr="006A4E0A" w:rsidP="006A4E0A">
      <w:pPr>
        <w:pStyle w:val="BodyText"/>
      </w:pPr>
    </w:p>
    <w:p w:rsidR="00000000" w:rsidRPr="006A4E0A" w:rsidP="006A4E0A"/>
    <w:sectPr w:rsidSect="006A4E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088F" w:rsidP="006F08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88F" w:rsidP="006A4E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F088F" w:rsidP="006A4E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F088F" w:rsidP="006A4E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0A" w:rsidRPr="006F088F" w:rsidP="006F08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88F" w:rsidRPr="002D2AF8" w:rsidP="006A4E0A">
    <w:pPr>
      <w:pStyle w:val="Header"/>
      <w:framePr w:wrap="around"/>
    </w:pPr>
    <w:r>
      <w:fldChar w:fldCharType="begin"/>
    </w:r>
    <w:r>
      <w:instrText xml:space="preserve"> TITLE   \* MERGEFORMAT </w:instrText>
    </w:r>
    <w:r>
      <w:fldChar w:fldCharType="separate"/>
    </w:r>
    <w:r>
      <w:t>UEGNSG308B Identify, evaluate and control threats to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F088F" w:rsidP="006A4E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2C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C25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E42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E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E0A"/>
    <w:pPr>
      <w:spacing w:before="360" w:after="60"/>
      <w:outlineLvl w:val="0"/>
    </w:pPr>
    <w:rPr>
      <w:sz w:val="32"/>
    </w:rPr>
  </w:style>
  <w:style w:type="paragraph" w:styleId="Heading2">
    <w:name w:val="heading 2"/>
    <w:basedOn w:val="HeadingBase"/>
    <w:next w:val="BodyText"/>
    <w:link w:val="Heading2Char"/>
    <w:qFormat/>
    <w:rsid w:val="006A4E0A"/>
    <w:pPr>
      <w:keepLines/>
      <w:spacing w:before="240" w:after="120"/>
      <w:outlineLvl w:val="1"/>
    </w:pPr>
    <w:rPr>
      <w:sz w:val="28"/>
      <w:szCs w:val="40"/>
    </w:rPr>
  </w:style>
  <w:style w:type="paragraph" w:styleId="Heading3">
    <w:name w:val="heading 3"/>
    <w:basedOn w:val="HeadingBase"/>
    <w:next w:val="BodyText"/>
    <w:link w:val="Heading3Char"/>
    <w:qFormat/>
    <w:rsid w:val="006A4E0A"/>
    <w:pPr>
      <w:spacing w:before="180" w:after="120"/>
      <w:outlineLvl w:val="2"/>
    </w:pPr>
    <w:rPr>
      <w:spacing w:val="-10"/>
      <w:kern w:val="32"/>
    </w:rPr>
  </w:style>
  <w:style w:type="paragraph" w:styleId="Heading4">
    <w:name w:val="heading 4"/>
    <w:basedOn w:val="HeadingBase"/>
    <w:next w:val="BodyText"/>
    <w:link w:val="Heading4Char"/>
    <w:qFormat/>
    <w:rsid w:val="006A4E0A"/>
    <w:pPr>
      <w:spacing w:before="160" w:after="120"/>
      <w:outlineLvl w:val="3"/>
    </w:pPr>
    <w:rPr>
      <w:sz w:val="22"/>
    </w:rPr>
  </w:style>
  <w:style w:type="paragraph" w:styleId="Heading5">
    <w:name w:val="heading 5"/>
    <w:basedOn w:val="HeadingBase"/>
    <w:next w:val="Normal"/>
    <w:link w:val="Heading5Char"/>
    <w:qFormat/>
    <w:rsid w:val="006A4E0A"/>
    <w:pPr>
      <w:spacing w:before="80"/>
      <w:outlineLvl w:val="4"/>
    </w:pPr>
    <w:rPr>
      <w:color w:val="918585"/>
      <w:sz w:val="20"/>
    </w:rPr>
  </w:style>
  <w:style w:type="paragraph" w:styleId="Heading6">
    <w:name w:val="heading 6"/>
    <w:basedOn w:val="HeadingBase"/>
    <w:next w:val="Normal"/>
    <w:link w:val="Heading6Char"/>
    <w:qFormat/>
    <w:rsid w:val="006A4E0A"/>
    <w:pPr>
      <w:spacing w:before="60"/>
      <w:outlineLvl w:val="5"/>
    </w:pPr>
    <w:rPr>
      <w:color w:val="918585"/>
      <w:sz w:val="20"/>
    </w:rPr>
  </w:style>
  <w:style w:type="paragraph" w:styleId="Heading7">
    <w:name w:val="heading 7"/>
    <w:basedOn w:val="Normal"/>
    <w:next w:val="Normal"/>
    <w:link w:val="Heading7Char"/>
    <w:qFormat/>
    <w:rsid w:val="006A4E0A"/>
    <w:pPr>
      <w:ind w:left="720"/>
      <w:outlineLvl w:val="6"/>
    </w:pPr>
    <w:rPr>
      <w:i/>
    </w:rPr>
  </w:style>
  <w:style w:type="paragraph" w:styleId="Heading8">
    <w:name w:val="heading 8"/>
    <w:basedOn w:val="Normal"/>
    <w:next w:val="Normal"/>
    <w:link w:val="Heading8Char"/>
    <w:qFormat/>
    <w:rsid w:val="006A4E0A"/>
    <w:pPr>
      <w:ind w:left="720"/>
      <w:outlineLvl w:val="7"/>
    </w:pPr>
    <w:rPr>
      <w:i/>
    </w:rPr>
  </w:style>
  <w:style w:type="paragraph" w:styleId="Heading9">
    <w:name w:val="heading 9"/>
    <w:basedOn w:val="Normal"/>
    <w:next w:val="Normal"/>
    <w:link w:val="Heading9Char"/>
    <w:qFormat/>
    <w:rsid w:val="006A4E0A"/>
    <w:pPr>
      <w:ind w:left="720"/>
      <w:outlineLvl w:val="8"/>
    </w:pPr>
    <w:rPr>
      <w:i/>
    </w:rPr>
  </w:style>
  <w:style w:type="character" w:default="1" w:styleId="DefaultParagraphFont">
    <w:name w:val="Default Paragraph Font"/>
    <w:uiPriority w:val="1"/>
    <w:unhideWhenUsed/>
    <w:rsid w:val="006A4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E0A"/>
  </w:style>
  <w:style w:type="character" w:customStyle="1" w:styleId="Heading1Char">
    <w:name w:val="Heading 1 Char"/>
    <w:basedOn w:val="DefaultParagraphFont"/>
    <w:link w:val="Heading1"/>
    <w:rsid w:val="006A4E0A"/>
    <w:rPr>
      <w:rFonts w:ascii="Times New Roman" w:eastAsia="Times New Roman" w:hAnsi="Times New Roman" w:cs="Times New Roman"/>
      <w:b/>
      <w:sz w:val="32"/>
      <w:szCs w:val="20"/>
      <w:lang w:eastAsia="en-US"/>
    </w:rPr>
  </w:style>
  <w:style w:type="paragraph" w:styleId="BodyText">
    <w:name w:val="Body Text"/>
    <w:basedOn w:val="Normal"/>
    <w:link w:val="BodyTextChar"/>
    <w:rsid w:val="006A4E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4E0A"/>
    <w:rPr>
      <w:rFonts w:ascii="Times New Roman" w:eastAsia="Times New Roman" w:hAnsi="Times New Roman" w:cs="Times New Roman"/>
      <w:sz w:val="24"/>
      <w:lang w:eastAsia="en-US"/>
    </w:rPr>
  </w:style>
  <w:style w:type="paragraph" w:styleId="Footer">
    <w:name w:val="footer"/>
    <w:basedOn w:val="Normal"/>
    <w:link w:val="FooterChar"/>
    <w:rsid w:val="006A4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E0A"/>
    <w:rPr>
      <w:rFonts w:ascii="Times New Roman" w:eastAsia="Times New Roman" w:hAnsi="Times New Roman" w:cs="Times New Roman"/>
      <w:sz w:val="16"/>
      <w:lang w:eastAsia="en-US"/>
    </w:rPr>
  </w:style>
  <w:style w:type="paragraph" w:styleId="ListBullet">
    <w:name w:val="List Bullet"/>
    <w:basedOn w:val="List"/>
    <w:rsid w:val="006A4E0A"/>
    <w:pPr>
      <w:numPr>
        <w:numId w:val="14"/>
      </w:numPr>
      <w:tabs>
        <w:tab w:val="clear" w:pos="340"/>
      </w:tabs>
      <w:spacing w:before="40" w:after="40"/>
    </w:pPr>
  </w:style>
  <w:style w:type="character" w:customStyle="1" w:styleId="SpecialBold">
    <w:name w:val="Special Bold"/>
    <w:basedOn w:val="DefaultParagraphFont"/>
    <w:rsid w:val="006A4E0A"/>
    <w:rPr>
      <w:b/>
      <w:spacing w:val="0"/>
    </w:rPr>
  </w:style>
  <w:style w:type="paragraph" w:styleId="ListBullet2">
    <w:name w:val="List Bullet 2"/>
    <w:basedOn w:val="List2"/>
    <w:rsid w:val="006A4E0A"/>
    <w:pPr>
      <w:numPr>
        <w:numId w:val="15"/>
      </w:numPr>
      <w:tabs>
        <w:tab w:val="clear" w:pos="680"/>
      </w:tabs>
    </w:pPr>
  </w:style>
  <w:style w:type="paragraph" w:customStyle="1" w:styleId="SuperHeading">
    <w:name w:val="SuperHeading"/>
    <w:basedOn w:val="Normal"/>
    <w:rsid w:val="006A4E0A"/>
    <w:pPr>
      <w:spacing w:before="240" w:after="120"/>
      <w:outlineLvl w:val="0"/>
    </w:pPr>
    <w:rPr>
      <w:rFonts w:ascii="Times New Roman" w:hAnsi="Times New Roman"/>
      <w:b/>
      <w:sz w:val="28"/>
    </w:rPr>
  </w:style>
  <w:style w:type="paragraph" w:customStyle="1" w:styleId="AllowPageBreak">
    <w:name w:val="AllowPageBreak"/>
    <w:rsid w:val="006A4E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4E0A"/>
    <w:pPr>
      <w:numPr>
        <w:numId w:val="3"/>
      </w:numPr>
      <w:tabs>
        <w:tab w:val="clear" w:pos="1021"/>
      </w:tabs>
      <w:ind w:left="1037" w:hanging="357"/>
    </w:pPr>
  </w:style>
  <w:style w:type="character" w:customStyle="1" w:styleId="Heading2Char">
    <w:name w:val="Heading 2 Char"/>
    <w:basedOn w:val="DefaultParagraphFont"/>
    <w:link w:val="Heading2"/>
    <w:rsid w:val="006A4E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E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E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E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E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E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E0A"/>
    <w:rPr>
      <w:rFonts w:ascii="Courier New" w:eastAsia="Times New Roman" w:hAnsi="Courier New" w:cs="Times New Roman"/>
      <w:i/>
      <w:szCs w:val="20"/>
      <w:lang w:eastAsia="en-US"/>
    </w:rPr>
  </w:style>
  <w:style w:type="paragraph" w:customStyle="1" w:styleId="HeadingBase">
    <w:name w:val="Heading Base"/>
    <w:rsid w:val="006A4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E0A"/>
    <w:pPr>
      <w:tabs>
        <w:tab w:val="right" w:leader="dot" w:pos="9072"/>
      </w:tabs>
      <w:ind w:left="567"/>
    </w:pPr>
    <w:rPr>
      <w:szCs w:val="22"/>
    </w:rPr>
  </w:style>
  <w:style w:type="paragraph" w:customStyle="1" w:styleId="TOCBase">
    <w:name w:val="TOC Base"/>
    <w:rsid w:val="006A4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E0A"/>
    <w:pPr>
      <w:tabs>
        <w:tab w:val="right" w:leader="dot" w:pos="9072"/>
      </w:tabs>
      <w:spacing w:before="40" w:after="40"/>
      <w:ind w:left="284"/>
    </w:pPr>
    <w:rPr>
      <w:rFonts w:ascii="Times New Roman" w:hAnsi="Times New Roman"/>
    </w:rPr>
  </w:style>
  <w:style w:type="paragraph" w:styleId="TOC1">
    <w:name w:val="toc 1"/>
    <w:basedOn w:val="TOCBase"/>
    <w:next w:val="Normal"/>
    <w:rsid w:val="006A4E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4E0A"/>
    <w:pPr>
      <w:spacing w:before="5040"/>
      <w:jc w:val="center"/>
    </w:pPr>
    <w:rPr>
      <w:sz w:val="48"/>
      <w:szCs w:val="72"/>
      <w:lang w:val="en-US"/>
    </w:rPr>
  </w:style>
  <w:style w:type="character" w:customStyle="1" w:styleId="TitleChar">
    <w:name w:val="Title Char"/>
    <w:basedOn w:val="DefaultParagraphFont"/>
    <w:link w:val="Title"/>
    <w:rsid w:val="006A4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E0A"/>
    <w:pPr>
      <w:tabs>
        <w:tab w:val="left" w:pos="3600"/>
        <w:tab w:val="left" w:pos="3958"/>
      </w:tabs>
    </w:pPr>
  </w:style>
  <w:style w:type="paragraph" w:styleId="List">
    <w:name w:val="List"/>
    <w:basedOn w:val="BodyText"/>
    <w:next w:val="BodyText"/>
    <w:rsid w:val="006A4E0A"/>
    <w:pPr>
      <w:tabs>
        <w:tab w:val="left" w:pos="340"/>
      </w:tabs>
      <w:spacing w:before="60" w:after="60"/>
      <w:ind w:left="340" w:hanging="340"/>
    </w:pPr>
  </w:style>
  <w:style w:type="paragraph" w:customStyle="1" w:styleId="Note">
    <w:name w:val="Note"/>
    <w:basedOn w:val="BodyText"/>
    <w:rsid w:val="006A4E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E0A"/>
    <w:pPr>
      <w:framePr w:wrap="auto" w:hAnchor="text" w:y="6049"/>
    </w:pPr>
    <w:rPr>
      <w:color w:val="000000"/>
      <w:sz w:val="40"/>
    </w:rPr>
  </w:style>
  <w:style w:type="paragraph" w:customStyle="1" w:styleId="TOCTitle">
    <w:name w:val="TOCTitle"/>
    <w:basedOn w:val="Heading1"/>
    <w:rsid w:val="006A4E0A"/>
    <w:pPr>
      <w:spacing w:after="240"/>
      <w:jc w:val="center"/>
      <w:outlineLvl w:val="9"/>
    </w:pPr>
    <w:rPr>
      <w:caps/>
    </w:rPr>
  </w:style>
  <w:style w:type="paragraph" w:customStyle="1" w:styleId="Version">
    <w:name w:val="Version"/>
    <w:rsid w:val="006A4E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E0A"/>
    <w:pPr>
      <w:keepNext w:val="0"/>
      <w:tabs>
        <w:tab w:val="right" w:pos="4176"/>
      </w:tabs>
      <w:ind w:left="198" w:hanging="198"/>
    </w:pPr>
    <w:rPr>
      <w:rFonts w:ascii="Garamond" w:hAnsi="Garamond"/>
    </w:rPr>
  </w:style>
  <w:style w:type="paragraph" w:styleId="IndexHeading">
    <w:name w:val="index heading"/>
    <w:basedOn w:val="Normal"/>
    <w:next w:val="Index1"/>
    <w:semiHidden/>
    <w:rsid w:val="006A4E0A"/>
    <w:pPr>
      <w:spacing w:before="120" w:after="120"/>
    </w:pPr>
    <w:rPr>
      <w:rFonts w:ascii="Arial" w:hAnsi="Arial"/>
      <w:b/>
      <w:color w:val="918585"/>
      <w:sz w:val="24"/>
    </w:rPr>
  </w:style>
  <w:style w:type="paragraph" w:styleId="Header">
    <w:name w:val="header"/>
    <w:basedOn w:val="Normal"/>
    <w:link w:val="HeaderChar"/>
    <w:rsid w:val="006A4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E0A"/>
    <w:rPr>
      <w:rFonts w:ascii="Times New Roman" w:eastAsia="Times New Roman" w:hAnsi="Times New Roman" w:cs="Times New Roman"/>
      <w:sz w:val="16"/>
      <w:szCs w:val="20"/>
      <w:lang w:val="en-GB" w:eastAsia="en-US"/>
    </w:rPr>
  </w:style>
  <w:style w:type="paragraph" w:customStyle="1" w:styleId="Chapter">
    <w:name w:val="Chapter"/>
    <w:basedOn w:val="Normal"/>
    <w:rsid w:val="006A4E0A"/>
    <w:pPr>
      <w:spacing w:before="240"/>
    </w:pPr>
    <w:rPr>
      <w:rFonts w:ascii="Times New Roman" w:hAnsi="Times New Roman"/>
      <w:smallCaps/>
      <w:spacing w:val="80"/>
      <w:sz w:val="28"/>
    </w:rPr>
  </w:style>
  <w:style w:type="paragraph" w:customStyle="1" w:styleId="InChapter">
    <w:name w:val="InChapter"/>
    <w:basedOn w:val="Heading3"/>
    <w:rsid w:val="006A4E0A"/>
    <w:pPr>
      <w:spacing w:after="240"/>
      <w:outlineLvl w:val="9"/>
    </w:pPr>
    <w:rPr>
      <w:noProof/>
    </w:rPr>
  </w:style>
  <w:style w:type="paragraph" w:styleId="Index2">
    <w:name w:val="index 2"/>
    <w:basedOn w:val="Normal"/>
    <w:next w:val="Normal"/>
    <w:semiHidden/>
    <w:rsid w:val="006A4E0A"/>
    <w:pPr>
      <w:tabs>
        <w:tab w:val="right" w:pos="4176"/>
      </w:tabs>
      <w:ind w:left="568" w:hanging="284"/>
    </w:pPr>
    <w:rPr>
      <w:rFonts w:ascii="Garamond" w:hAnsi="Garamond"/>
    </w:rPr>
  </w:style>
  <w:style w:type="paragraph" w:customStyle="1" w:styleId="Byline">
    <w:name w:val="Byline"/>
    <w:rsid w:val="006A4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E0A"/>
    <w:pPr>
      <w:tabs>
        <w:tab w:val="clear" w:pos="3600"/>
        <w:tab w:val="clear" w:pos="3958"/>
      </w:tabs>
      <w:jc w:val="right"/>
    </w:pPr>
  </w:style>
  <w:style w:type="character" w:styleId="Emphasis">
    <w:name w:val="Emphasis"/>
    <w:basedOn w:val="DefaultParagraphFont"/>
    <w:qFormat/>
    <w:rsid w:val="006A4E0A"/>
    <w:rPr>
      <w:i/>
    </w:rPr>
  </w:style>
  <w:style w:type="paragraph" w:styleId="Caption">
    <w:name w:val="caption"/>
    <w:basedOn w:val="BodyText"/>
    <w:next w:val="Normal"/>
    <w:qFormat/>
    <w:rsid w:val="006A4E0A"/>
    <w:pPr>
      <w:framePr w:w="2268" w:hSpace="181" w:vSpace="181" w:wrap="around" w:vAnchor="text" w:hAnchor="page" w:x="1135" w:y="285" w:anchorLock="1"/>
    </w:pPr>
    <w:rPr>
      <w:i/>
    </w:rPr>
  </w:style>
  <w:style w:type="paragraph" w:customStyle="1" w:styleId="MiniTOCTitle">
    <w:name w:val="MiniTOCTitle"/>
    <w:basedOn w:val="Heading4"/>
    <w:rsid w:val="006A4E0A"/>
    <w:pPr>
      <w:spacing w:before="240"/>
      <w:outlineLvl w:val="9"/>
    </w:pPr>
    <w:rPr>
      <w:noProof/>
      <w:sz w:val="24"/>
    </w:rPr>
  </w:style>
  <w:style w:type="paragraph" w:customStyle="1" w:styleId="MiniTOCItem">
    <w:name w:val="MiniTOCItem"/>
    <w:basedOn w:val="ListBullet"/>
    <w:rsid w:val="006A4E0A"/>
    <w:pPr>
      <w:numPr>
        <w:numId w:val="0"/>
      </w:numPr>
      <w:tabs>
        <w:tab w:val="right" w:leader="dot" w:pos="6521"/>
      </w:tabs>
      <w:spacing w:before="0" w:after="0"/>
    </w:pPr>
  </w:style>
  <w:style w:type="paragraph" w:customStyle="1" w:styleId="TOFTitle">
    <w:name w:val="TOFTitle"/>
    <w:basedOn w:val="TOCTitle"/>
    <w:rsid w:val="006A4E0A"/>
  </w:style>
  <w:style w:type="paragraph" w:styleId="TableofFigures">
    <w:name w:val="table of figures"/>
    <w:basedOn w:val="Normal"/>
    <w:next w:val="Normal"/>
    <w:semiHidden/>
    <w:rsid w:val="006A4E0A"/>
    <w:pPr>
      <w:tabs>
        <w:tab w:val="right" w:leader="dot" w:pos="9072"/>
      </w:tabs>
      <w:ind w:left="970" w:hanging="403"/>
    </w:pPr>
    <w:rPr>
      <w:rFonts w:ascii="Times New Roman" w:hAnsi="Times New Roman"/>
      <w:b/>
    </w:rPr>
  </w:style>
  <w:style w:type="paragraph" w:styleId="ListNumber">
    <w:name w:val="List Number"/>
    <w:basedOn w:val="List"/>
    <w:rsid w:val="006A4E0A"/>
    <w:pPr>
      <w:numPr>
        <w:numId w:val="12"/>
      </w:numPr>
    </w:pPr>
  </w:style>
  <w:style w:type="character" w:customStyle="1" w:styleId="WingdingSymbols">
    <w:name w:val="Wingding Symbols"/>
    <w:rsid w:val="006A4E0A"/>
    <w:rPr>
      <w:rFonts w:ascii="Wingdings" w:hAnsi="Wingdings"/>
    </w:rPr>
  </w:style>
  <w:style w:type="paragraph" w:customStyle="1" w:styleId="TableHeading">
    <w:name w:val="Table Heading"/>
    <w:basedOn w:val="HeadingBase"/>
    <w:rsid w:val="006A4E0A"/>
    <w:pPr>
      <w:keepLines/>
      <w:pBdr>
        <w:bottom w:val="single" w:sz="6" w:space="1" w:color="918585"/>
      </w:pBdr>
      <w:spacing w:before="240"/>
    </w:pPr>
  </w:style>
  <w:style w:type="character" w:customStyle="1" w:styleId="HotSpot">
    <w:name w:val="HotSpot"/>
    <w:rsid w:val="006A4E0A"/>
    <w:rPr>
      <w:color w:val="0033CC"/>
      <w:u w:val="none"/>
    </w:rPr>
  </w:style>
  <w:style w:type="paragraph" w:customStyle="1" w:styleId="BodyTextRight">
    <w:name w:val="Body Text Right"/>
    <w:basedOn w:val="BodyText"/>
    <w:rsid w:val="006A4E0A"/>
    <w:pPr>
      <w:spacing w:before="0" w:after="0"/>
      <w:jc w:val="right"/>
    </w:pPr>
  </w:style>
  <w:style w:type="paragraph" w:styleId="Index3">
    <w:name w:val="index 3"/>
    <w:basedOn w:val="ListNumber2"/>
    <w:next w:val="Normal"/>
    <w:semiHidden/>
    <w:rsid w:val="006A4E0A"/>
    <w:pPr>
      <w:numPr>
        <w:numId w:val="0"/>
      </w:numPr>
      <w:tabs>
        <w:tab w:val="right" w:leader="dot" w:pos="4176"/>
      </w:tabs>
    </w:pPr>
  </w:style>
  <w:style w:type="paragraph" w:styleId="ListNumber2">
    <w:name w:val="List Number 2"/>
    <w:basedOn w:val="List2"/>
    <w:rsid w:val="006A4E0A"/>
    <w:pPr>
      <w:numPr>
        <w:numId w:val="11"/>
      </w:numPr>
      <w:tabs>
        <w:tab w:val="clear" w:pos="1060"/>
      </w:tabs>
    </w:pPr>
  </w:style>
  <w:style w:type="paragraph" w:customStyle="1" w:styleId="MarginNote">
    <w:name w:val="Margin Note"/>
    <w:basedOn w:val="BodyText"/>
    <w:rsid w:val="006A4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E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E0A"/>
    <w:rPr>
      <w:sz w:val="32"/>
    </w:rPr>
  </w:style>
  <w:style w:type="paragraph" w:customStyle="1" w:styleId="HeadingProcedure">
    <w:name w:val="Heading Procedure"/>
    <w:basedOn w:val="HeadingBase"/>
    <w:next w:val="Normal"/>
    <w:rsid w:val="006A4E0A"/>
    <w:pPr>
      <w:tabs>
        <w:tab w:val="left" w:pos="0"/>
      </w:tabs>
      <w:spacing w:before="120" w:after="60"/>
    </w:pPr>
    <w:rPr>
      <w:i/>
      <w:color w:val="918585"/>
      <w:sz w:val="22"/>
    </w:rPr>
  </w:style>
  <w:style w:type="paragraph" w:customStyle="1" w:styleId="TableBodyText">
    <w:name w:val="Table Body Text"/>
    <w:basedOn w:val="BodyText"/>
    <w:rsid w:val="006A4E0A"/>
    <w:pPr>
      <w:spacing w:before="60" w:after="60"/>
    </w:pPr>
  </w:style>
  <w:style w:type="paragraph" w:styleId="ListContinue">
    <w:name w:val="List Continue"/>
    <w:basedOn w:val="List"/>
    <w:rsid w:val="006A4E0A"/>
    <w:pPr>
      <w:ind w:firstLine="0"/>
    </w:pPr>
  </w:style>
  <w:style w:type="paragraph" w:customStyle="1" w:styleId="ListNote">
    <w:name w:val="List Note"/>
    <w:basedOn w:val="List"/>
    <w:rsid w:val="006A4E0A"/>
    <w:pPr>
      <w:pBdr>
        <w:top w:val="single" w:sz="6" w:space="2" w:color="918585"/>
        <w:bottom w:val="single" w:sz="6" w:space="2" w:color="918585"/>
      </w:pBdr>
      <w:tabs>
        <w:tab w:val="left" w:pos="1021"/>
      </w:tabs>
      <w:ind w:firstLine="0"/>
    </w:pPr>
  </w:style>
  <w:style w:type="paragraph" w:customStyle="1" w:styleId="Warning">
    <w:name w:val="Warning"/>
    <w:basedOn w:val="BodyText"/>
    <w:rsid w:val="006A4E0A"/>
    <w:pPr>
      <w:shd w:val="clear" w:color="auto" w:fill="D9D9D9"/>
      <w:tabs>
        <w:tab w:val="left" w:pos="992"/>
      </w:tabs>
      <w:ind w:left="119" w:right="119"/>
    </w:pPr>
    <w:rPr>
      <w:sz w:val="20"/>
    </w:rPr>
  </w:style>
  <w:style w:type="paragraph" w:customStyle="1" w:styleId="MarginIcons">
    <w:name w:val="Margin Icons"/>
    <w:basedOn w:val="BodyText"/>
    <w:rsid w:val="006A4E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E0A"/>
    <w:rPr>
      <w:rFonts w:ascii="Courier New" w:hAnsi="Courier New"/>
    </w:rPr>
  </w:style>
  <w:style w:type="paragraph" w:customStyle="1" w:styleId="NoteBullet">
    <w:name w:val="Note Bullet"/>
    <w:basedOn w:val="Note"/>
    <w:rsid w:val="006A4E0A"/>
    <w:pPr>
      <w:tabs>
        <w:tab w:val="clear" w:pos="680"/>
      </w:tabs>
      <w:spacing w:before="60" w:after="60"/>
    </w:pPr>
  </w:style>
  <w:style w:type="paragraph" w:customStyle="1" w:styleId="SubHeading2">
    <w:name w:val="SubHeading2"/>
    <w:basedOn w:val="HeadingBase"/>
    <w:rsid w:val="006A4E0A"/>
    <w:pPr>
      <w:spacing w:before="240" w:after="60"/>
    </w:pPr>
    <w:rPr>
      <w:sz w:val="20"/>
    </w:rPr>
  </w:style>
  <w:style w:type="paragraph" w:customStyle="1" w:styleId="SubHeading1">
    <w:name w:val="SubHeading1"/>
    <w:basedOn w:val="HeadingBase"/>
    <w:rsid w:val="006A4E0A"/>
    <w:pPr>
      <w:spacing w:before="240" w:after="60"/>
    </w:pPr>
    <w:rPr>
      <w:color w:val="918585"/>
      <w:sz w:val="22"/>
    </w:rPr>
  </w:style>
  <w:style w:type="paragraph" w:customStyle="1" w:styleId="SideHeading">
    <w:name w:val="Side Heading"/>
    <w:basedOn w:val="HeadingBase"/>
    <w:rsid w:val="006A4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E0A"/>
    <w:pPr>
      <w:numPr>
        <w:numId w:val="13"/>
      </w:numPr>
    </w:pPr>
  </w:style>
  <w:style w:type="paragraph" w:styleId="PlainText">
    <w:name w:val="Plain Text"/>
    <w:basedOn w:val="Normal"/>
    <w:link w:val="PlainTextChar"/>
    <w:rsid w:val="006A4E0A"/>
    <w:rPr>
      <w:sz w:val="20"/>
    </w:rPr>
  </w:style>
  <w:style w:type="character" w:customStyle="1" w:styleId="PlainTextChar">
    <w:name w:val="Plain Text Char"/>
    <w:basedOn w:val="DefaultParagraphFont"/>
    <w:link w:val="PlainText"/>
    <w:rsid w:val="006A4E0A"/>
    <w:rPr>
      <w:rFonts w:ascii="Courier New" w:eastAsia="Times New Roman" w:hAnsi="Courier New" w:cs="Times New Roman"/>
      <w:sz w:val="20"/>
      <w:szCs w:val="20"/>
      <w:lang w:eastAsia="en-US"/>
    </w:rPr>
  </w:style>
  <w:style w:type="character" w:customStyle="1" w:styleId="MenuOption">
    <w:name w:val="Menu Option"/>
    <w:basedOn w:val="DefaultParagraphFont"/>
    <w:rsid w:val="006A4E0A"/>
    <w:rPr>
      <w:b/>
      <w:smallCaps/>
    </w:rPr>
  </w:style>
  <w:style w:type="paragraph" w:customStyle="1" w:styleId="TableListNumber">
    <w:name w:val="Table List Number"/>
    <w:basedOn w:val="ListNumber"/>
    <w:rsid w:val="006A4E0A"/>
    <w:pPr>
      <w:numPr>
        <w:numId w:val="0"/>
      </w:numPr>
    </w:pPr>
  </w:style>
  <w:style w:type="paragraph" w:styleId="TOC4">
    <w:name w:val="toc 4"/>
    <w:basedOn w:val="TOCBase"/>
    <w:next w:val="Normal"/>
    <w:semiHidden/>
    <w:rsid w:val="006A4E0A"/>
    <w:pPr>
      <w:tabs>
        <w:tab w:val="right" w:leader="dot" w:pos="9071"/>
      </w:tabs>
      <w:ind w:left="1701"/>
    </w:pPr>
  </w:style>
  <w:style w:type="paragraph" w:customStyle="1" w:styleId="ListAlpha">
    <w:name w:val="List Alpha"/>
    <w:basedOn w:val="List"/>
    <w:rsid w:val="006A4E0A"/>
    <w:pPr>
      <w:numPr>
        <w:numId w:val="10"/>
      </w:numPr>
    </w:pPr>
  </w:style>
  <w:style w:type="paragraph" w:customStyle="1" w:styleId="ListAlpha2">
    <w:name w:val="List Alpha 2"/>
    <w:basedOn w:val="List2"/>
    <w:rsid w:val="006A4E0A"/>
    <w:pPr>
      <w:numPr>
        <w:numId w:val="9"/>
      </w:numPr>
    </w:pPr>
  </w:style>
  <w:style w:type="paragraph" w:styleId="List2">
    <w:name w:val="List 2"/>
    <w:basedOn w:val="BodyText"/>
    <w:rsid w:val="006A4E0A"/>
    <w:pPr>
      <w:tabs>
        <w:tab w:val="left" w:pos="680"/>
      </w:tabs>
      <w:spacing w:before="60" w:after="60"/>
      <w:ind w:left="680" w:hanging="340"/>
    </w:pPr>
  </w:style>
  <w:style w:type="paragraph" w:styleId="List3">
    <w:name w:val="List 3"/>
    <w:basedOn w:val="BodyText"/>
    <w:rsid w:val="006A4E0A"/>
    <w:pPr>
      <w:tabs>
        <w:tab w:val="left" w:pos="1021"/>
      </w:tabs>
      <w:spacing w:before="60" w:after="60"/>
      <w:ind w:left="1020" w:hanging="340"/>
    </w:pPr>
  </w:style>
  <w:style w:type="paragraph" w:styleId="List4">
    <w:name w:val="List 4"/>
    <w:basedOn w:val="BodyText"/>
    <w:rsid w:val="006A4E0A"/>
    <w:pPr>
      <w:tabs>
        <w:tab w:val="left" w:pos="1361"/>
      </w:tabs>
      <w:spacing w:before="60" w:after="60"/>
      <w:ind w:left="1361" w:hanging="340"/>
    </w:pPr>
  </w:style>
  <w:style w:type="paragraph" w:styleId="List5">
    <w:name w:val="List 5"/>
    <w:basedOn w:val="BodyText"/>
    <w:rsid w:val="006A4E0A"/>
    <w:pPr>
      <w:tabs>
        <w:tab w:val="left" w:pos="1701"/>
      </w:tabs>
      <w:spacing w:before="60" w:after="60"/>
      <w:ind w:left="1701" w:hanging="340"/>
    </w:pPr>
  </w:style>
  <w:style w:type="paragraph" w:styleId="ListBullet4">
    <w:name w:val="List Bullet 4"/>
    <w:basedOn w:val="List4"/>
    <w:rsid w:val="006A4E0A"/>
    <w:pPr>
      <w:numPr>
        <w:numId w:val="4"/>
      </w:numPr>
    </w:pPr>
  </w:style>
  <w:style w:type="paragraph" w:styleId="ListBullet5">
    <w:name w:val="List Bullet 5"/>
    <w:basedOn w:val="List5"/>
    <w:rsid w:val="006A4E0A"/>
    <w:pPr>
      <w:numPr>
        <w:numId w:val="5"/>
      </w:numPr>
    </w:pPr>
  </w:style>
  <w:style w:type="paragraph" w:styleId="ListContinue2">
    <w:name w:val="List Continue 2"/>
    <w:basedOn w:val="List2"/>
    <w:rsid w:val="006A4E0A"/>
    <w:pPr>
      <w:ind w:firstLine="0"/>
    </w:pPr>
  </w:style>
  <w:style w:type="paragraph" w:styleId="ListContinue3">
    <w:name w:val="List Continue 3"/>
    <w:basedOn w:val="List3"/>
    <w:rsid w:val="006A4E0A"/>
    <w:pPr>
      <w:ind w:left="1021" w:firstLine="0"/>
    </w:pPr>
  </w:style>
  <w:style w:type="paragraph" w:styleId="ListContinue4">
    <w:name w:val="List Continue 4"/>
    <w:basedOn w:val="List4"/>
    <w:rsid w:val="006A4E0A"/>
    <w:pPr>
      <w:ind w:firstLine="0"/>
    </w:pPr>
  </w:style>
  <w:style w:type="paragraph" w:styleId="ListContinue5">
    <w:name w:val="List Continue 5"/>
    <w:basedOn w:val="List5"/>
    <w:rsid w:val="006A4E0A"/>
    <w:pPr>
      <w:ind w:firstLine="0"/>
    </w:pPr>
  </w:style>
  <w:style w:type="paragraph" w:styleId="ListNumber3">
    <w:name w:val="List Number 3"/>
    <w:basedOn w:val="List3"/>
    <w:rsid w:val="006A4E0A"/>
    <w:pPr>
      <w:numPr>
        <w:numId w:val="6"/>
      </w:numPr>
    </w:pPr>
  </w:style>
  <w:style w:type="paragraph" w:styleId="ListNumber4">
    <w:name w:val="List Number 4"/>
    <w:basedOn w:val="List4"/>
    <w:rsid w:val="006A4E0A"/>
    <w:pPr>
      <w:numPr>
        <w:numId w:val="7"/>
      </w:numPr>
    </w:pPr>
  </w:style>
  <w:style w:type="paragraph" w:styleId="ListNumber5">
    <w:name w:val="List Number 5"/>
    <w:basedOn w:val="List5"/>
    <w:rsid w:val="006A4E0A"/>
    <w:pPr>
      <w:numPr>
        <w:numId w:val="8"/>
      </w:numPr>
    </w:pPr>
  </w:style>
  <w:style w:type="paragraph" w:styleId="BlockText">
    <w:name w:val="Block Text"/>
    <w:basedOn w:val="Normal"/>
    <w:rsid w:val="006A4E0A"/>
    <w:pPr>
      <w:spacing w:after="120"/>
      <w:ind w:left="1440" w:right="1440"/>
    </w:pPr>
  </w:style>
  <w:style w:type="character" w:customStyle="1" w:styleId="Subscript">
    <w:name w:val="Subscript"/>
    <w:basedOn w:val="DefaultParagraphFont"/>
    <w:rsid w:val="006A4E0A"/>
    <w:rPr>
      <w:sz w:val="16"/>
      <w:vertAlign w:val="subscript"/>
    </w:rPr>
  </w:style>
  <w:style w:type="character" w:customStyle="1" w:styleId="Superscript">
    <w:name w:val="Superscript"/>
    <w:basedOn w:val="DefaultParagraphFont"/>
    <w:rsid w:val="006A4E0A"/>
    <w:rPr>
      <w:sz w:val="16"/>
      <w:vertAlign w:val="superscript"/>
    </w:rPr>
  </w:style>
  <w:style w:type="character" w:customStyle="1" w:styleId="Symbols">
    <w:name w:val="Symbols"/>
    <w:basedOn w:val="DefaultParagraphFont"/>
    <w:rsid w:val="006A4E0A"/>
    <w:rPr>
      <w:rFonts w:ascii="Symbol" w:hAnsi="Symbol"/>
    </w:rPr>
  </w:style>
  <w:style w:type="character" w:customStyle="1" w:styleId="MenuOptions">
    <w:name w:val="Menu Options"/>
    <w:basedOn w:val="DefaultParagraphFont"/>
    <w:rsid w:val="006A4E0A"/>
    <w:rPr>
      <w:rFonts w:ascii="Arial Narrow" w:hAnsi="Arial Narrow"/>
      <w:smallCaps/>
    </w:rPr>
  </w:style>
  <w:style w:type="character" w:customStyle="1" w:styleId="Buttons">
    <w:name w:val="Buttons"/>
    <w:basedOn w:val="DefaultParagraphFont"/>
    <w:rsid w:val="006A4E0A"/>
    <w:rPr>
      <w:b/>
    </w:rPr>
  </w:style>
  <w:style w:type="character" w:customStyle="1" w:styleId="Underlined">
    <w:name w:val="Underlined"/>
    <w:basedOn w:val="DefaultParagraphFont"/>
    <w:rsid w:val="006A4E0A"/>
    <w:rPr>
      <w:u w:val="single"/>
    </w:rPr>
  </w:style>
  <w:style w:type="paragraph" w:customStyle="1" w:styleId="TableBodyTextRight">
    <w:name w:val="Table Body Text Right"/>
    <w:basedOn w:val="TableBodyText"/>
    <w:rsid w:val="006A4E0A"/>
    <w:pPr>
      <w:widowControl w:val="0"/>
      <w:autoSpaceDE w:val="0"/>
      <w:autoSpaceDN w:val="0"/>
      <w:adjustRightInd w:val="0"/>
      <w:jc w:val="right"/>
    </w:pPr>
    <w:rPr>
      <w:rFonts w:cs="Arial"/>
      <w:szCs w:val="18"/>
    </w:rPr>
  </w:style>
  <w:style w:type="paragraph" w:customStyle="1" w:styleId="CopyrightText">
    <w:name w:val="Copyright Text"/>
    <w:basedOn w:val="BodyText"/>
    <w:rsid w:val="006A4E0A"/>
    <w:rPr>
      <w:sz w:val="18"/>
    </w:rPr>
  </w:style>
  <w:style w:type="paragraph" w:customStyle="1" w:styleId="BodySmallRight">
    <w:name w:val="Body Small Right"/>
    <w:basedOn w:val="BodyTextRight"/>
    <w:rsid w:val="006A4E0A"/>
    <w:rPr>
      <w:sz w:val="18"/>
      <w:szCs w:val="18"/>
    </w:rPr>
  </w:style>
  <w:style w:type="paragraph" w:customStyle="1" w:styleId="MarginEdition">
    <w:name w:val="Margin Edition"/>
    <w:basedOn w:val="MarginNote"/>
    <w:rsid w:val="006A4E0A"/>
    <w:pPr>
      <w:spacing w:before="0" w:after="0"/>
    </w:pPr>
    <w:rPr>
      <w:rFonts w:ascii="Times New Roman" w:hAnsi="Times New Roman"/>
      <w:color w:val="999999"/>
    </w:rPr>
  </w:style>
  <w:style w:type="paragraph" w:customStyle="1" w:styleId="Spacer">
    <w:name w:val="Spacer"/>
    <w:basedOn w:val="Normal"/>
    <w:rsid w:val="006A4E0A"/>
    <w:rPr>
      <w:sz w:val="2"/>
      <w:szCs w:val="2"/>
    </w:rPr>
  </w:style>
  <w:style w:type="character" w:customStyle="1" w:styleId="Small">
    <w:name w:val="Small"/>
    <w:basedOn w:val="DefaultParagraphFont"/>
    <w:rsid w:val="006A4E0A"/>
    <w:rPr>
      <w:sz w:val="16"/>
    </w:rPr>
  </w:style>
  <w:style w:type="paragraph" w:customStyle="1" w:styleId="WideTable">
    <w:name w:val="Wide Table"/>
    <w:basedOn w:val="Normal"/>
    <w:rsid w:val="006A4E0A"/>
    <w:pPr>
      <w:ind w:left="-1418"/>
    </w:pPr>
    <w:rPr>
      <w:sz w:val="2"/>
      <w:szCs w:val="2"/>
    </w:rPr>
  </w:style>
  <w:style w:type="character" w:styleId="PageNumber">
    <w:name w:val="page number"/>
    <w:basedOn w:val="DefaultParagraphFont"/>
    <w:rsid w:val="006A4E0A"/>
  </w:style>
  <w:style w:type="paragraph" w:styleId="Quote">
    <w:name w:val="Quote"/>
    <w:basedOn w:val="Heading1"/>
    <w:link w:val="QuoteChar"/>
    <w:qFormat/>
    <w:rsid w:val="006A4E0A"/>
    <w:rPr>
      <w:b w:val="0"/>
      <w:sz w:val="72"/>
      <w:szCs w:val="72"/>
      <w:lang w:val="en-NZ"/>
    </w:rPr>
  </w:style>
  <w:style w:type="character" w:customStyle="1" w:styleId="QuoteChar">
    <w:name w:val="Quote Char"/>
    <w:basedOn w:val="DefaultParagraphFont"/>
    <w:link w:val="Quote"/>
    <w:rsid w:val="006A4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E0A"/>
    <w:pPr>
      <w:pageBreakBefore/>
    </w:pPr>
  </w:style>
  <w:style w:type="paragraph" w:customStyle="1" w:styleId="Border">
    <w:name w:val="Border"/>
    <w:basedOn w:val="Normal"/>
    <w:qFormat/>
    <w:rsid w:val="006A4E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E0A"/>
    <w:rPr>
      <w:b/>
      <w:bCs/>
      <w:i/>
      <w:iCs/>
      <w:color w:val="auto"/>
    </w:rPr>
  </w:style>
  <w:style w:type="paragraph" w:styleId="IntenseQuote">
    <w:name w:val="Intense Quote"/>
    <w:basedOn w:val="Normal"/>
    <w:next w:val="Normal"/>
    <w:link w:val="IntenseQuoteChar"/>
    <w:uiPriority w:val="30"/>
    <w:qFormat/>
    <w:rsid w:val="006A4E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E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E0A"/>
    <w:rPr>
      <w:smallCaps/>
      <w:color w:val="auto"/>
      <w:u w:val="single"/>
    </w:rPr>
  </w:style>
  <w:style w:type="character" w:styleId="IntenseReference">
    <w:name w:val="Intense Reference"/>
    <w:basedOn w:val="DefaultParagraphFont"/>
    <w:uiPriority w:val="32"/>
    <w:qFormat/>
    <w:rsid w:val="006A4E0A"/>
    <w:rPr>
      <w:b/>
      <w:bCs/>
      <w:smallCaps/>
      <w:color w:val="auto"/>
      <w:spacing w:val="5"/>
      <w:u w:val="single"/>
    </w:rPr>
  </w:style>
  <w:style w:type="paragraph" w:customStyle="1" w:styleId="2ColumnHeading">
    <w:name w:val="2Column Heading"/>
    <w:basedOn w:val="BodyText"/>
    <w:qFormat/>
    <w:rsid w:val="006A4E0A"/>
    <w:pPr>
      <w:spacing w:after="60"/>
      <w:ind w:left="-2268"/>
    </w:pPr>
    <w:rPr>
      <w:b/>
    </w:rPr>
  </w:style>
  <w:style w:type="paragraph" w:customStyle="1" w:styleId="Heading1TOC">
    <w:name w:val="Heading1 TOC"/>
    <w:basedOn w:val="Normal"/>
    <w:qFormat/>
    <w:rsid w:val="006A4E0A"/>
    <w:pPr>
      <w:spacing w:before="240" w:after="120"/>
    </w:pPr>
    <w:rPr>
      <w:rFonts w:ascii="Times New Roman" w:hAnsi="Times New Roman"/>
      <w:b/>
      <w:sz w:val="32"/>
    </w:rPr>
  </w:style>
  <w:style w:type="paragraph" w:customStyle="1" w:styleId="Heading2TOC">
    <w:name w:val="Heading2 TOC"/>
    <w:basedOn w:val="Normal"/>
    <w:qFormat/>
    <w:rsid w:val="006A4E0A"/>
    <w:pPr>
      <w:spacing w:before="240" w:after="60"/>
    </w:pPr>
    <w:rPr>
      <w:rFonts w:ascii="Times New Roman" w:hAnsi="Times New Roman"/>
      <w:b/>
      <w:sz w:val="28"/>
    </w:rPr>
  </w:style>
  <w:style w:type="character" w:customStyle="1" w:styleId="Underline">
    <w:name w:val="Underline"/>
    <w:basedOn w:val="DefaultParagraphFont"/>
    <w:qFormat/>
    <w:rsid w:val="006A4E0A"/>
    <w:rPr>
      <w:u w:val="single"/>
    </w:rPr>
  </w:style>
  <w:style w:type="character" w:customStyle="1" w:styleId="BoldandItalics">
    <w:name w:val="Bold and Italics"/>
    <w:qFormat/>
    <w:rsid w:val="006A4E0A"/>
    <w:rPr>
      <w:b/>
      <w:i/>
      <w:u w:val="none"/>
    </w:rPr>
  </w:style>
  <w:style w:type="paragraph" w:styleId="BalloonText">
    <w:name w:val="Balloon Text"/>
    <w:basedOn w:val="Normal"/>
    <w:link w:val="BalloonTextChar"/>
    <w:rsid w:val="006A4E0A"/>
    <w:rPr>
      <w:rFonts w:ascii="Tahoma" w:hAnsi="Tahoma" w:cs="Tahoma"/>
      <w:sz w:val="16"/>
      <w:szCs w:val="16"/>
    </w:rPr>
  </w:style>
  <w:style w:type="character" w:customStyle="1" w:styleId="BalloonTextChar">
    <w:name w:val="Balloon Text Char"/>
    <w:basedOn w:val="DefaultParagraphFont"/>
    <w:link w:val="BalloonText"/>
    <w:rsid w:val="006A4E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E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4E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E0A"/>
    <w:rPr>
      <w:b/>
      <w:color w:val="660033"/>
      <w:spacing w:val="0"/>
    </w:rPr>
  </w:style>
  <w:style w:type="paragraph" w:customStyle="1" w:styleId="Nameditemlist">
    <w:name w:val="Named item list"/>
    <w:basedOn w:val="BodyText"/>
    <w:qFormat/>
    <w:rsid w:val="006A4E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3367</Words>
  <Characters>20978</Characters>
  <Application>Microsoft Office Word</Application>
  <DocSecurity>0</DocSecurity>
  <Lines>826</Lines>
  <Paragraphs>343</Paragraphs>
  <ScaleCrop>false</ScaleCrop>
  <Company>Author-it Software Corporation Ltd.</Company>
  <LinksUpToDate>false</LinksUpToDate>
  <CharactersWithSpaces>24136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UEGNSG308B Identify, evaluate and control threats to transmission pipelines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2012-10-10T09:30:00Z</dcterms:created>
  <dcterms:modified xsi:type="dcterms:W3CDTF">2012-10-10T09:31:00Z</dcterms:modified>
</cp:coreProperties>
</file>