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AAD" w:rsidP="00BD3AAD">
      <w:pPr>
        <w:pStyle w:val="Title"/>
      </w:pPr>
      <w:r>
        <w:fldChar w:fldCharType="begin"/>
      </w:r>
      <w:r>
        <w:instrText xml:space="preserve"> TITLE   \* MERGEFORMAT </w:instrText>
      </w:r>
      <w:r>
        <w:fldChar w:fldCharType="separate"/>
      </w:r>
      <w:r>
        <w:t>UEGNSG306B Pipeline pigging in gas transmission pipeline</w:t>
      </w:r>
      <w:r>
        <w:fldChar w:fldCharType="end"/>
      </w:r>
    </w:p>
    <w:p w:rsidR="00BD3AAD" w:rsidP="00BD3AAD">
      <w:pPr>
        <w:pStyle w:val="Version"/>
        <w:sectPr w:rsidSect="00413A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AAD" w:rsidP="00413AAD">
      <w:pPr>
        <w:pStyle w:val="SuperHeading"/>
      </w:pPr>
      <w:r w:rsidRPr="00413AAD">
        <w:t>UEGNSG306B Pipeline pigging in gas transmission pipeline</w:t>
      </w:r>
    </w:p>
    <w:p w:rsidR="00000000" w:rsidRPr="00413AAD" w:rsidP="00413AAD">
      <w:pPr>
        <w:pStyle w:val="Heading1"/>
      </w:pPr>
      <w:bookmarkStart w:id="1" w:name="O_401981"/>
      <w:bookmarkEnd w:id="1"/>
      <w:r w:rsidRPr="00413AAD">
        <w:t>Modification History</w:t>
      </w:r>
    </w:p>
    <w:p w:rsidR="00000000" w:rsidRPr="00413AAD" w:rsidP="00413AAD">
      <w:pPr>
        <w:pStyle w:val="BodyText"/>
      </w:pPr>
      <w:r w:rsidRPr="00413AAD">
        <w:t>Not applicable.</w:t>
      </w:r>
    </w:p>
    <w:p w:rsidR="00000000" w:rsidRPr="00413AAD" w:rsidP="00413AAD">
      <w:pPr>
        <w:pStyle w:val="AllowPageBreak"/>
      </w:pPr>
    </w:p>
    <w:p w:rsidR="00000000" w:rsidRPr="00413AAD" w:rsidP="00413AAD">
      <w:pPr>
        <w:pStyle w:val="Heading1"/>
      </w:pPr>
      <w:bookmarkStart w:id="2" w:name="O_401979"/>
      <w:bookmarkEnd w:id="2"/>
      <w:r w:rsidRPr="00413AAD">
        <w:t>Unit Descriptor</w:t>
      </w:r>
    </w:p>
    <w:tbl>
      <w:tblPr>
        <w:tblW w:w="0" w:type="auto"/>
        <w:tblLayout w:type="fixed"/>
        <w:tblCellMar>
          <w:left w:w="62" w:type="dxa"/>
          <w:right w:w="62" w:type="dxa"/>
        </w:tblCellMar>
        <w:tblLook w:val="0000"/>
      </w:tblPr>
      <w:tblGrid>
        <w:gridCol w:w="2700"/>
        <w:gridCol w:w="5760"/>
      </w:tblGrid>
      <w:tr w:rsidTr="00BD3A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1) Scope:</w:t>
            </w:r>
          </w:p>
        </w:tc>
      </w:tr>
      <w:tr w:rsidTr="00BD3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13AA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1.1) Descriptor</w:t>
            </w:r>
          </w:p>
        </w:tc>
      </w:tr>
      <w:tr w:rsidTr="00BD3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t>This Competency Standard Unit covers the assembly launch and recovery of PIGs in a gas transmission pipelines to correct and determine internal condition on pipeline. It also encompasses liaising with authorities; the analysis and interpretation of the dat</w:t>
            </w:r>
            <w:r w:rsidRPr="00413AAD">
              <w:t>a captured through the pigging process; using various types of PIGs; testing and inspecting; use of manufacturer’s and legislative requirements.</w:t>
            </w:r>
          </w:p>
        </w:tc>
      </w:tr>
    </w:tbl>
    <w:p w:rsidR="00000000" w:rsidRPr="00413AAD" w:rsidP="00413AAD">
      <w:pPr>
        <w:pStyle w:val="BodyText"/>
      </w:pPr>
    </w:p>
    <w:p w:rsidR="00000000" w:rsidRPr="00413AAD" w:rsidP="00413AAD">
      <w:pPr>
        <w:pStyle w:val="AllowPageBreak"/>
      </w:pPr>
    </w:p>
    <w:p w:rsidR="00000000" w:rsidRPr="00413AAD" w:rsidP="00413AAD">
      <w:pPr>
        <w:pStyle w:val="Heading1"/>
      </w:pPr>
      <w:bookmarkStart w:id="3" w:name="O_401968"/>
      <w:bookmarkEnd w:id="3"/>
      <w:r w:rsidRPr="00413AAD">
        <w:t>Application of the Unit</w:t>
      </w:r>
    </w:p>
    <w:tbl>
      <w:tblPr>
        <w:tblW w:w="0" w:type="auto"/>
        <w:tblLayout w:type="fixed"/>
        <w:tblCellMar>
          <w:left w:w="62" w:type="dxa"/>
          <w:right w:w="62" w:type="dxa"/>
        </w:tblCellMar>
        <w:tblLook w:val="0000"/>
      </w:tblPr>
      <w:tblGrid>
        <w:gridCol w:w="2672"/>
        <w:gridCol w:w="5699"/>
      </w:tblGrid>
      <w:tr w:rsidTr="00BD3AA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2)</w:t>
            </w:r>
          </w:p>
        </w:tc>
      </w:tr>
      <w:tr w:rsidTr="00BD3AA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t>This competency standard shall apply to any basic and safe work site where Gas Industry operations occur. It could also apply, where applicable to other workplaces in the electricity supply industry (transmission and distribution and generation), the elect</w:t>
            </w:r>
            <w:r w:rsidRPr="00413AAD">
              <w:t>rotechnology industry and the water industry, subject to all Occupational Health and Safety and duty of care requirements being met for the workplace.</w:t>
            </w:r>
          </w:p>
        </w:tc>
      </w:tr>
    </w:tbl>
    <w:p w:rsidR="00000000" w:rsidRPr="00413AAD" w:rsidP="00413AAD">
      <w:pPr>
        <w:pStyle w:val="BodyText"/>
      </w:pPr>
    </w:p>
    <w:p w:rsidR="00000000" w:rsidRPr="00413AAD" w:rsidP="00413AAD">
      <w:pPr>
        <w:pStyle w:val="AllowPageBreak"/>
      </w:pPr>
    </w:p>
    <w:p w:rsidR="00000000" w:rsidRPr="00413AAD" w:rsidP="00413AAD">
      <w:pPr>
        <w:pStyle w:val="Heading1"/>
      </w:pPr>
      <w:bookmarkStart w:id="4" w:name="O_401975"/>
      <w:bookmarkEnd w:id="4"/>
      <w:r w:rsidRPr="00413AAD">
        <w:t>Licensing/Regulatory Information</w:t>
      </w:r>
    </w:p>
    <w:tbl>
      <w:tblPr>
        <w:tblW w:w="0" w:type="auto"/>
        <w:tblLayout w:type="fixed"/>
        <w:tblCellMar>
          <w:left w:w="62" w:type="dxa"/>
          <w:right w:w="62" w:type="dxa"/>
        </w:tblCellMar>
        <w:tblLook w:val="0000"/>
      </w:tblPr>
      <w:tblGrid>
        <w:gridCol w:w="2700"/>
        <w:gridCol w:w="5760"/>
      </w:tblGrid>
      <w:tr w:rsidTr="00BD3A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 xml:space="preserve">3) </w:t>
            </w:r>
          </w:p>
        </w:tc>
      </w:tr>
      <w:tr w:rsidTr="00BD3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t xml:space="preserve">The skills and knowledge described in this unit are not subject to licence regulation other than those directly related to Occupational Health and Safety, </w:t>
            </w:r>
            <w:r w:rsidRPr="00413AAD">
              <w:t>gas/electricity/water industry safety and compliance, industrial relations, environmental protection,</w:t>
            </w:r>
            <w:r w:rsidRPr="00413AAD">
              <w:t xml:space="preserve"> telecommunications, anti discrimination and training. Commonwealth, State/Territory or Local Government legislation and regulations may exist that limits the age of persons who can operate certain equipment.</w:t>
            </w:r>
          </w:p>
        </w:tc>
      </w:tr>
    </w:tbl>
    <w:p w:rsidR="00000000" w:rsidRPr="00413AAD" w:rsidP="00413AAD">
      <w:pPr>
        <w:pStyle w:val="BodyText"/>
      </w:pPr>
    </w:p>
    <w:p w:rsidR="00000000" w:rsidRPr="00413AAD" w:rsidP="00413AAD">
      <w:pPr>
        <w:pStyle w:val="AllowPageBreak"/>
      </w:pPr>
    </w:p>
    <w:p w:rsidR="00000000" w:rsidRPr="00413AAD" w:rsidP="00413AAD">
      <w:pPr>
        <w:pStyle w:val="Heading1"/>
      </w:pPr>
      <w:bookmarkStart w:id="5" w:name="O_401976"/>
      <w:bookmarkEnd w:id="5"/>
      <w:r w:rsidRPr="00413AAD">
        <w:t>Pre-Requisites</w:t>
      </w:r>
    </w:p>
    <w:tbl>
      <w:tblPr>
        <w:tblW w:w="0" w:type="auto"/>
        <w:tblLayout w:type="fixed"/>
        <w:tblCellMar>
          <w:left w:w="62" w:type="dxa"/>
          <w:right w:w="62" w:type="dxa"/>
        </w:tblCellMar>
        <w:tblLook w:val="0000"/>
      </w:tblPr>
      <w:tblGrid>
        <w:gridCol w:w="2700"/>
        <w:gridCol w:w="1800"/>
        <w:gridCol w:w="3960"/>
      </w:tblGrid>
      <w:tr w:rsidTr="00BD3A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 xml:space="preserve">4) </w:t>
            </w:r>
          </w:p>
        </w:tc>
      </w:tr>
      <w:tr w:rsidTr="00BD3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4.1)</w:t>
            </w:r>
          </w:p>
        </w:tc>
      </w:tr>
      <w:tr w:rsidTr="00BD3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Granting of competency in this unit shall be made only after competency in the following unit(s) has/have been confirmed:</w:t>
            </w:r>
          </w:p>
        </w:tc>
      </w:tr>
      <w:tr w:rsidTr="00BD3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Nil</w:t>
            </w:r>
          </w:p>
        </w:tc>
        <w:tc>
          <w:tcPr>
            <w:tcW w:w="3960" w:type="dxa"/>
            <w:tcBorders>
              <w:top w:val="nil"/>
              <w:left w:val="nil"/>
              <w:bottom w:val="nil"/>
              <w:right w:val="nil"/>
            </w:tcBorders>
            <w:tcMar>
              <w:top w:w="0" w:type="dxa"/>
              <w:left w:w="62" w:type="dxa"/>
              <w:bottom w:w="0" w:type="dxa"/>
              <w:right w:w="62" w:type="dxa"/>
            </w:tcMar>
          </w:tcPr>
          <w:p w:rsidR="00000000" w:rsidRPr="00413AAD" w:rsidP="00413AAD">
            <w:pPr>
              <w:pStyle w:val="BodyText"/>
            </w:pPr>
          </w:p>
        </w:tc>
      </w:tr>
    </w:tbl>
    <w:p w:rsidR="00000000" w:rsidRPr="00413AAD" w:rsidP="00413AA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D3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rPr>
                <w:rStyle w:val="SpecialBold"/>
              </w:rPr>
              <w:t xml:space="preserve">4.2) </w:t>
            </w:r>
          </w:p>
          <w:p w:rsidR="00000000" w:rsidP="00413AAD">
            <w:pPr>
              <w:pStyle w:val="BodyText"/>
              <w:rPr>
                <w:lang w:val="en-NZ"/>
              </w:rPr>
            </w:pPr>
            <w:r w:rsidRPr="00413AAD">
              <w:t>Participants are best equipped to achieve this unit if they have reading, writing and numeracy skills indicated by the following scales. Description of each scale is given in Volume 2, Part 3 ‘Literacy and Numeracy’</w:t>
            </w:r>
          </w:p>
        </w:tc>
      </w:tr>
      <w:tr w:rsidTr="00BD3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Reading</w:t>
            </w:r>
          </w:p>
        </w:tc>
        <w:tc>
          <w:tcPr>
            <w:tcW w:w="81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4</w:t>
            </w:r>
          </w:p>
        </w:tc>
        <w:tc>
          <w:tcPr>
            <w:tcW w:w="99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Writing</w:t>
            </w: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4</w:t>
            </w:r>
          </w:p>
        </w:tc>
        <w:tc>
          <w:tcPr>
            <w:tcW w:w="12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Numeracy</w:t>
            </w:r>
          </w:p>
        </w:tc>
        <w:tc>
          <w:tcPr>
            <w:tcW w:w="72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t>4</w:t>
            </w:r>
          </w:p>
        </w:tc>
      </w:tr>
    </w:tbl>
    <w:p w:rsidR="00000000" w:rsidRPr="00413AAD" w:rsidP="00413AAD">
      <w:pPr>
        <w:pStyle w:val="BodyText"/>
      </w:pPr>
    </w:p>
    <w:p w:rsidR="00000000" w:rsidRPr="00413AAD" w:rsidP="00413AAD">
      <w:pPr>
        <w:pStyle w:val="AllowPageBreak"/>
      </w:pPr>
    </w:p>
    <w:p w:rsidR="00000000" w:rsidRPr="00413AAD" w:rsidP="00413AAD">
      <w:pPr>
        <w:pStyle w:val="Heading1"/>
      </w:pPr>
      <w:bookmarkStart w:id="6" w:name="O_401972"/>
      <w:bookmarkEnd w:id="6"/>
      <w:r w:rsidRPr="00413AAD">
        <w:t>Employability Skills Information</w:t>
      </w:r>
    </w:p>
    <w:tbl>
      <w:tblPr>
        <w:tblW w:w="0" w:type="auto"/>
        <w:tblLayout w:type="fixed"/>
        <w:tblCellMar>
          <w:left w:w="62" w:type="dxa"/>
          <w:right w:w="62" w:type="dxa"/>
        </w:tblCellMar>
        <w:tblLook w:val="0000"/>
      </w:tblPr>
      <w:tblGrid>
        <w:gridCol w:w="2700"/>
        <w:gridCol w:w="5760"/>
      </w:tblGrid>
      <w:tr w:rsidTr="00BD3A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 xml:space="preserve">5) </w:t>
            </w:r>
          </w:p>
        </w:tc>
      </w:tr>
      <w:tr w:rsidTr="00BD3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This unit contains Employability Skills</w:t>
            </w:r>
          </w:p>
        </w:tc>
      </w:tr>
      <w:tr w:rsidTr="00BD3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13AAD">
              <w:t>requirements.</w:t>
            </w:r>
          </w:p>
        </w:tc>
      </w:tr>
    </w:tbl>
    <w:p w:rsidR="00000000" w:rsidRPr="00413AAD" w:rsidP="00413AAD">
      <w:pPr>
        <w:pStyle w:val="BodyText"/>
      </w:pPr>
    </w:p>
    <w:p w:rsidR="00000000" w:rsidRPr="00413AAD" w:rsidP="00413AAD">
      <w:pPr>
        <w:pStyle w:val="AllowPageBreak"/>
      </w:pPr>
    </w:p>
    <w:p w:rsidR="00000000" w:rsidRPr="00413AAD" w:rsidP="00413AAD">
      <w:pPr>
        <w:pStyle w:val="Heading1"/>
      </w:pPr>
      <w:bookmarkStart w:id="7" w:name="O_401971"/>
      <w:bookmarkEnd w:id="7"/>
      <w:r w:rsidRPr="00413AAD">
        <w:t>Elements and Performance Criteria Pre-Content</w:t>
      </w:r>
    </w:p>
    <w:tbl>
      <w:tblPr>
        <w:tblW w:w="0" w:type="auto"/>
        <w:tblLayout w:type="fixed"/>
        <w:tblCellMar>
          <w:left w:w="62" w:type="dxa"/>
          <w:right w:w="62" w:type="dxa"/>
        </w:tblCellMar>
        <w:tblLook w:val="0000"/>
      </w:tblPr>
      <w:tblGrid>
        <w:gridCol w:w="2700"/>
        <w:gridCol w:w="5760"/>
      </w:tblGrid>
      <w:tr w:rsidTr="00BD3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6)</w:t>
            </w:r>
            <w:r w:rsidRPr="00413AA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t>Performance Criteria describe the required performance needed to demonstrate achievement of the element</w:t>
            </w:r>
            <w:r w:rsidRPr="00413AAD">
              <w:t>. Assessment of performance is to be consistent with the Evidence Guide.</w:t>
            </w:r>
          </w:p>
        </w:tc>
      </w:tr>
    </w:tbl>
    <w:p w:rsidR="00000000" w:rsidRPr="00413AAD" w:rsidP="00413AAD">
      <w:pPr>
        <w:pStyle w:val="BodyText"/>
      </w:pPr>
    </w:p>
    <w:p w:rsidR="00000000" w:rsidRPr="00413AAD" w:rsidP="00413AAD">
      <w:pPr>
        <w:pStyle w:val="AllowPageBreak"/>
      </w:pPr>
    </w:p>
    <w:p w:rsidR="00000000" w:rsidRPr="00413AAD" w:rsidP="00413AAD">
      <w:pPr>
        <w:pStyle w:val="Heading1"/>
      </w:pPr>
      <w:bookmarkStart w:id="8" w:name="O_401970"/>
      <w:bookmarkEnd w:id="8"/>
      <w:r w:rsidRPr="00413AA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D3AA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PERFORMANCE CRITERIA</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1</w:t>
            </w:r>
          </w:p>
        </w:tc>
        <w:tc>
          <w:tcPr>
            <w:tcW w:w="2296"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 xml:space="preserve">Prepare and plan for pigging and gas transmission pipeline </w:t>
            </w: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1.1</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 xml:space="preserve">Transmission pipeline pigging operation is prepared and confirmed as per the work schedule(s), including drawings, plans, requirements and established procedures </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1.2</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Relevant requirements and established procedures for the work are communicated to all persons and identified for all work sites</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1.3</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 xml:space="preserve">OHS, environmental and sustainable energy policies and procedures related to the launch and recovery of gas transmission </w:t>
            </w:r>
            <w:r w:rsidRPr="00413AAD">
              <w:t xml:space="preserve">pipeline PIG are identified and confirmed for the purposes of the work performed and communicated </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1.4</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Work is prioritised and sequenced following consultation with others for completion within acceptable timeframes and in accordance with established pr</w:t>
            </w:r>
            <w:r w:rsidRPr="00413AAD">
              <w:t>ocedures</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1.5</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Risk control measures for identified hazards are prioritised, implemented and monitored against the work schedule</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1.6</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Relevant work permits are obtained to access and perform work according to requirements and established procedures</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1.7</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Resources including persons, equipment, tools and personal protective equipment required for the job are identified, scheduled and obtained and confirmed in working order</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1.8</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 xml:space="preserve">Relevant persons at worksite are confirmed to be current in First Aid and </w:t>
            </w:r>
            <w:r w:rsidRPr="00413AAD">
              <w:t>other related work procedures according to requirements</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1.9</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Liaison and communication issues with authorised persons, authorities, clients and land owners are resolved and activities coordinated to carry out work</w:t>
            </w:r>
          </w:p>
        </w:tc>
      </w:tr>
      <w:tr w:rsidTr="00BD3AAD">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1.10</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Site PIG, and pipeline is prepar</w:t>
            </w:r>
            <w:r w:rsidRPr="00413AAD">
              <w:t>ed according to the work schedule and to minimise risk and damage to property, commerce and individuals in accordance with established procedures</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1.11</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 xml:space="preserve">Persons participating in the work, including plant operators and contractors are fully briefed and respective responsibilities confirmed where applicable in accordance with established procedures </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1.12</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Road signs, barriers and warning devices are positi</w:t>
            </w:r>
            <w:r w:rsidRPr="00413AAD">
              <w:t xml:space="preserve">oned in accordance with requirements </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2</w:t>
            </w:r>
          </w:p>
        </w:tc>
        <w:tc>
          <w:tcPr>
            <w:tcW w:w="2296"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Launch, and recover transmission pipeline PIG</w:t>
            </w: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2.1</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OHS policies and procedures and safe work practices are followed to eliminate or minimise incidents and hazards</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2.2</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 xml:space="preserve">Lifting, </w:t>
            </w:r>
            <w:r w:rsidRPr="00413AAD">
              <w:t>climbing, working in confined spaces, excavations, trenches, or aloft, and use of power tools, techniques and practices are safely followed and currency according to requirements confirmed</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2.3</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 xml:space="preserve">Essential Knowledge and Associated Skills is applied to the </w:t>
            </w:r>
            <w:r w:rsidRPr="00413AAD">
              <w:t>launch and recovery of a gas transmission pipeline PIG to ensure completion in an agreed timeframe and to quality standards with a minimum of waste according to requirements</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2.4</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Performing the launch and recovery of gas transmission pipeline PIG is carr</w:t>
            </w:r>
            <w:r w:rsidRPr="00413AAD">
              <w:t>ied out in accordance with the work schedule and to established procedures</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2.5</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Hazard warnings and safety signs are recognised and hazards are assessed and OHS risks are reported to the immediate authorised persons for directions according to establishe</w:t>
            </w:r>
            <w:r w:rsidRPr="00413AAD">
              <w:t>d procedures</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2.6</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 xml:space="preserve">Data/results from transmission pipeline pigging operations is gathered/retrieved and analysed to determine internal pipeline conditions in accordance with requirements and established procedures </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2.7</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Tests and inspecting of the pipeline and pigging equipment is conducted in accordance with requirements and established procedures</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2.8</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Unplanned events in the launch and recovery of a gas transmission pipeline PIG are undertaken with the scope of establ</w:t>
            </w:r>
            <w:r w:rsidRPr="00413AAD">
              <w:t xml:space="preserve">ished procedures </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2.9</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Known solutions to a variety of problems are applied using Essential Knowledge and Associated Skills</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2.10</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Ongoing checks of quality of the work are undertaken in accordance with given instructions and established procedures</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3</w:t>
            </w:r>
          </w:p>
        </w:tc>
        <w:tc>
          <w:tcPr>
            <w:tcW w:w="2296"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Re-establish transmission pipeline to operational conditions and notify of completion of work</w:t>
            </w: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3.1</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Inspection of the received PIG is undertaken to determine the wear sustained to the PIG material is checked against works schedule for conformance with requir</w:t>
            </w:r>
            <w:r w:rsidRPr="00413AAD">
              <w:t>ements, anomalies are reported in accordance with established procedures</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3.2</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Accidents and injuries are reported in accordance with requirements and established procedures where applicable</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3.3</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 xml:space="preserve">Waste materials are safely disposed of and the work site </w:t>
            </w:r>
            <w:r w:rsidRPr="00413AAD">
              <w:t>is rehabilitated, cleaned up and made safe in accordance with given instructions and established procedures</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3.4</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 xml:space="preserve">Tools, equipment and any surplus resources and materials are, where appropriate, cleaned, checked and returned to storage in accordance with </w:t>
            </w:r>
            <w:r w:rsidRPr="00413AAD">
              <w:t>established procedures</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3.5</w:t>
            </w:r>
          </w:p>
        </w:tc>
        <w:tc>
          <w:tcPr>
            <w:tcW w:w="48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Relevant work permit(s) are signed off and equipment is returned to service in accordance with requirements</w:t>
            </w:r>
          </w:p>
        </w:tc>
      </w:tr>
      <w:tr w:rsidTr="00BD3A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3.6</w:t>
            </w:r>
          </w:p>
        </w:tc>
        <w:tc>
          <w:tcPr>
            <w:tcW w:w="486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t>Data is accurately recorded and work completion r</w:t>
            </w:r>
            <w:r w:rsidRPr="00413AAD">
              <w:t>ecords, reports as modified drawings and documentation and information are finalised and processed and appropriate persons notified</w:t>
            </w:r>
          </w:p>
        </w:tc>
      </w:tr>
    </w:tbl>
    <w:p w:rsidR="00000000" w:rsidRPr="00413AAD" w:rsidP="00413AAD">
      <w:pPr>
        <w:pStyle w:val="BodyText"/>
      </w:pPr>
    </w:p>
    <w:p w:rsidR="00000000" w:rsidRPr="00413AAD" w:rsidP="00413AAD">
      <w:pPr>
        <w:pStyle w:val="AllowPageBreak"/>
      </w:pPr>
    </w:p>
    <w:p w:rsidR="00000000" w:rsidRPr="00413AAD" w:rsidP="00413AAD">
      <w:pPr>
        <w:pStyle w:val="Heading1"/>
      </w:pPr>
      <w:bookmarkStart w:id="9" w:name="O_401978"/>
      <w:bookmarkEnd w:id="9"/>
      <w:r w:rsidRPr="00413AAD">
        <w:t>Required Skills and Knowledge</w:t>
      </w:r>
    </w:p>
    <w:tbl>
      <w:tblPr>
        <w:tblW w:w="0" w:type="auto"/>
        <w:tblLayout w:type="fixed"/>
        <w:tblCellMar>
          <w:left w:w="62" w:type="dxa"/>
          <w:right w:w="62" w:type="dxa"/>
        </w:tblCellMar>
        <w:tblLook w:val="0000"/>
      </w:tblPr>
      <w:tblGrid>
        <w:gridCol w:w="8460"/>
      </w:tblGrid>
      <w:tr w:rsidTr="00BD3A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REQUIRED SKILLS AND KNOWLEDGE</w:t>
            </w:r>
          </w:p>
        </w:tc>
      </w:tr>
      <w:tr w:rsidTr="00BD3A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 xml:space="preserve">8) </w:t>
            </w:r>
            <w:r w:rsidRPr="00413AAD">
              <w:t>This describes the essential skills and knowledge and their level, required for this unit.</w:t>
            </w:r>
          </w:p>
        </w:tc>
      </w:tr>
      <w:tr w:rsidTr="00BD3A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Evidence shall show that knowledge has been acquired of safe working practices for the launching and recovering of a pig.</w:t>
            </w:r>
          </w:p>
        </w:tc>
      </w:tr>
      <w:tr w:rsidTr="00BD3AAD">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t>All knowledge and skills detailed in this</w:t>
            </w:r>
            <w:r w:rsidRPr="00413AAD">
              <w:t xml:space="preserve"> unit should be contextualised to current industry practices and technologies.</w:t>
            </w:r>
          </w:p>
        </w:tc>
      </w:tr>
    </w:tbl>
    <w:p w:rsidR="00000000" w:rsidRPr="00413AAD" w:rsidP="00413AAD">
      <w:pPr>
        <w:pStyle w:val="BodyText"/>
      </w:pPr>
    </w:p>
    <w:tbl>
      <w:tblPr>
        <w:tblW w:w="0" w:type="auto"/>
        <w:tblLayout w:type="fixed"/>
        <w:tblCellMar>
          <w:left w:w="62" w:type="dxa"/>
          <w:right w:w="62" w:type="dxa"/>
        </w:tblCellMar>
        <w:tblLook w:val="0000"/>
      </w:tblPr>
      <w:tblGrid>
        <w:gridCol w:w="1440"/>
        <w:gridCol w:w="990"/>
        <w:gridCol w:w="6030"/>
      </w:tblGrid>
      <w:tr w:rsidTr="00BD3AAD">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rPr>
                <w:rStyle w:val="SpecialBold"/>
              </w:rPr>
              <w:t>KS01-G306B</w:t>
            </w:r>
          </w:p>
        </w:tc>
        <w:tc>
          <w:tcPr>
            <w:tcW w:w="7020" w:type="dxa"/>
            <w:gridSpan w:val="2"/>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Transmission pipeline PIGging</w:t>
            </w:r>
          </w:p>
        </w:tc>
      </w:tr>
      <w:tr w:rsidTr="00BD3AA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G 3.3.38</w:t>
            </w:r>
          </w:p>
        </w:tc>
        <w:tc>
          <w:tcPr>
            <w:tcW w:w="603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t>Set up of pipeline for pigging</w:t>
            </w:r>
          </w:p>
          <w:p w:rsidR="00000000" w:rsidRPr="00413AAD" w:rsidP="00413AAD">
            <w:pPr>
              <w:pStyle w:val="BodyText"/>
            </w:pPr>
            <w:r w:rsidRPr="00413AAD">
              <w:t>Evidence shall show an understanding of the correct pipeline set up for the launching and recovery of a PIG, indicated by the following:</w:t>
            </w:r>
          </w:p>
          <w:p w:rsidR="00000000" w:rsidRPr="00413AAD" w:rsidP="00413AAD">
            <w:pPr>
              <w:pStyle w:val="ListBullet"/>
            </w:pPr>
            <w:r w:rsidRPr="00413AAD">
              <w:t>pipeline is set up correctly according to requirements</w:t>
            </w:r>
          </w:p>
          <w:p w:rsidR="00000000" w:rsidP="00413AAD">
            <w:pPr>
              <w:pStyle w:val="ListBullet"/>
              <w:rPr>
                <w:lang w:val="en-NZ"/>
              </w:rPr>
            </w:pPr>
            <w:r w:rsidRPr="00413AAD">
              <w:t>appropriate authorities and persons are identified and notified</w:t>
            </w:r>
            <w:r w:rsidRPr="00413AAD">
              <w:t xml:space="preserve"> according requirements.</w:t>
            </w:r>
          </w:p>
        </w:tc>
      </w:tr>
      <w:tr w:rsidTr="00BD3AA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 xml:space="preserve">G 3.3.39 </w:t>
            </w:r>
          </w:p>
        </w:tc>
        <w:tc>
          <w:tcPr>
            <w:tcW w:w="603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t>Assembly and use of PIGs</w:t>
            </w:r>
          </w:p>
          <w:p w:rsidR="00000000" w:rsidRPr="00413AAD" w:rsidP="00413AAD">
            <w:pPr>
              <w:pStyle w:val="BodyText"/>
            </w:pPr>
            <w:r w:rsidRPr="00413AAD">
              <w:t>Evidence shall show an understanding of how to assemble and launch and recover a PIG, indicated by the following:</w:t>
            </w:r>
          </w:p>
          <w:p w:rsidR="00000000" w:rsidRPr="00413AAD" w:rsidP="00413AAD">
            <w:pPr>
              <w:pStyle w:val="ListBullet"/>
            </w:pPr>
            <w:r w:rsidRPr="00413AAD">
              <w:t>understanding the different types of PIGs available</w:t>
            </w:r>
          </w:p>
          <w:p w:rsidR="00000000" w:rsidRPr="00413AAD" w:rsidP="00413AAD">
            <w:pPr>
              <w:pStyle w:val="ListBullet"/>
            </w:pPr>
            <w:r w:rsidRPr="00413AAD">
              <w:t>manufacturer's operating instructions</w:t>
            </w:r>
          </w:p>
          <w:p w:rsidR="00000000" w:rsidP="00413AAD">
            <w:pPr>
              <w:pStyle w:val="ListBullet"/>
              <w:rPr>
                <w:lang w:val="en-NZ"/>
              </w:rPr>
            </w:pPr>
            <w:r w:rsidRPr="00413AAD">
              <w:t>legislative requirements for using PIGs.</w:t>
            </w:r>
          </w:p>
        </w:tc>
      </w:tr>
      <w:tr w:rsidTr="00BD3AA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 xml:space="preserve">G 3.3.40 </w:t>
            </w:r>
          </w:p>
        </w:tc>
        <w:tc>
          <w:tcPr>
            <w:tcW w:w="603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t>Interpreting and analysing data captured by a PIG</w:t>
            </w:r>
          </w:p>
          <w:p w:rsidR="00000000" w:rsidRPr="00413AAD" w:rsidP="00413AAD">
            <w:pPr>
              <w:pStyle w:val="BodyText"/>
            </w:pPr>
            <w:r w:rsidRPr="00413AAD">
              <w:t>Evidence shall show an understanding of the interpretation and analysing of the data captured through the pigging p</w:t>
            </w:r>
            <w:r w:rsidRPr="00413AAD">
              <w:t>rocess, indicated by the following:</w:t>
            </w:r>
          </w:p>
          <w:p w:rsidR="00000000" w:rsidP="00413AAD">
            <w:pPr>
              <w:pStyle w:val="ListBullet"/>
              <w:rPr>
                <w:lang w:val="en-NZ"/>
              </w:rPr>
            </w:pPr>
            <w:r w:rsidRPr="00413AAD">
              <w:t>data is interpreted and analysed correctly.</w:t>
            </w:r>
          </w:p>
        </w:tc>
      </w:tr>
      <w:tr w:rsidTr="00BD3AA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G 3.3.41</w:t>
            </w:r>
          </w:p>
        </w:tc>
        <w:tc>
          <w:tcPr>
            <w:tcW w:w="603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t>Select and use appropriate tools and equipment for PIGging</w:t>
            </w:r>
          </w:p>
          <w:p w:rsidR="00000000" w:rsidRPr="00413AAD" w:rsidP="00413AAD">
            <w:pPr>
              <w:pStyle w:val="BodyText"/>
            </w:pPr>
            <w:r w:rsidRPr="00413AAD">
              <w:t>Evidence shall show an understanding of the requirements to select and use the appropriate tools and equipment for pigging, indicated by the following:</w:t>
            </w:r>
          </w:p>
          <w:p w:rsidR="00000000" w:rsidRPr="00413AAD" w:rsidP="00413AAD">
            <w:pPr>
              <w:pStyle w:val="ListBullet"/>
            </w:pPr>
            <w:r w:rsidRPr="00413AAD">
              <w:t>testing and inspection methods and their appropriate applications</w:t>
            </w:r>
          </w:p>
          <w:p w:rsidR="00000000" w:rsidRPr="00413AAD" w:rsidP="00413AAD">
            <w:pPr>
              <w:pStyle w:val="ListBullet"/>
            </w:pPr>
            <w:r w:rsidRPr="00413AAD">
              <w:t>appropriate use of test and inspectio</w:t>
            </w:r>
            <w:r w:rsidRPr="00413AAD">
              <w:t>n equipment.</w:t>
            </w:r>
          </w:p>
        </w:tc>
      </w:tr>
    </w:tbl>
    <w:p w:rsidR="00BD3AAD" w:rsidP="00413AAD">
      <w:pPr>
        <w:pStyle w:val="BodyText"/>
      </w:pPr>
    </w:p>
    <w:p w:rsidR="00BD3AAD" w:rsidP="00413AAD">
      <w:pPr>
        <w:pStyle w:val="BodyText"/>
      </w:pPr>
    </w:p>
    <w:p w:rsidR="00000000" w:rsidRPr="00413AAD" w:rsidP="00413AAD">
      <w:pPr>
        <w:pStyle w:val="Heading1"/>
      </w:pPr>
      <w:bookmarkStart w:id="10" w:name="O_401973"/>
      <w:bookmarkEnd w:id="10"/>
      <w:r w:rsidRPr="00413AAD">
        <w:t>Evidence Guide</w:t>
      </w:r>
    </w:p>
    <w:tbl>
      <w:tblPr>
        <w:tblW w:w="0" w:type="auto"/>
        <w:tblLayout w:type="fixed"/>
        <w:tblCellMar>
          <w:left w:w="62" w:type="dxa"/>
          <w:right w:w="62" w:type="dxa"/>
        </w:tblCellMar>
        <w:tblLook w:val="0000"/>
      </w:tblPr>
      <w:tblGrid>
        <w:gridCol w:w="8460"/>
      </w:tblGrid>
      <w:tr w:rsidTr="00BD3A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EVIDENCE GUIDE</w:t>
            </w:r>
          </w:p>
        </w:tc>
      </w:tr>
      <w:tr w:rsidTr="00BD3A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rPr>
                <w:rStyle w:val="SpecialBold"/>
              </w:rPr>
              <w:t>9)</w:t>
            </w:r>
            <w:r w:rsidRPr="00413AAD">
              <w:t xml:space="preserve"> The Evidence Guide forms an integral part of this Competency Standard Unit and shall be used in conjunction with all component</w:t>
            </w:r>
            <w:r w:rsidRPr="00413AAD">
              <w:t>s parts of this unit and performed in accordance with the Assessment Guidelines of this Training Package.</w:t>
            </w:r>
          </w:p>
        </w:tc>
      </w:tr>
    </w:tbl>
    <w:p w:rsidR="00000000" w:rsidRPr="00413AAD" w:rsidP="00413AAD">
      <w:pPr>
        <w:pStyle w:val="BodyText"/>
      </w:pPr>
    </w:p>
    <w:tbl>
      <w:tblPr>
        <w:tblW w:w="0" w:type="auto"/>
        <w:tblLayout w:type="fixed"/>
        <w:tblCellMar>
          <w:left w:w="62" w:type="dxa"/>
          <w:right w:w="62" w:type="dxa"/>
        </w:tblCellMar>
        <w:tblLook w:val="0000"/>
      </w:tblPr>
      <w:tblGrid>
        <w:gridCol w:w="1890"/>
        <w:gridCol w:w="6570"/>
      </w:tblGrid>
      <w:tr w:rsidTr="00BD3AAD">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9.1)</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 xml:space="preserve">Longitudinal competency development approaches to assessment, such as Profiling, require data to be reliably gathered </w:t>
            </w:r>
            <w:r w:rsidRPr="00413AAD">
              <w:t>in a form that can be consistently interpreted over time. This approach is best utilised in Apprenticeship programs and reduces assessment intervention. It is the Industry’s preferred model for apprenticeships. However, where summative (or final) assessmen</w:t>
            </w:r>
            <w:r w:rsidRPr="00413AAD">
              <w:t xml:space="preserve">t is used it is to include the application of the competency in the normal work environment or, at a minimum, the application of the competency in a realistically simulated work environment. It is recognised that, in some circumstances, assessment in part </w:t>
            </w:r>
            <w:r w:rsidRPr="00413AAD">
              <w:t>or full can occur outside the workplace. However, it must be in accord with Industry regulatory policy in this regard.</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Methods chosen for a particular assessment will be influenced by various factors. These include the extent of the assessment, the m</w:t>
            </w:r>
            <w:r w:rsidRPr="00413AAD">
              <w:t>ost effective locations for the assessment activities to take place, access to physical resources, additional safety measures that may be required and the critical nature of the competencies being assessed.</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The critical safety nature of working with elec</w:t>
            </w:r>
            <w:r w:rsidRPr="00413AAD">
              <w:t>tricity, electrical equipment, gas or any other hazardous substance/material carries risk in deeming a person competent. Hence, sources of evidence need to be ‘rich’ in nature so as to minimise error in judgment.</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t>Activities associated with normal every d</w:t>
            </w:r>
            <w:r w:rsidRPr="00413AAD">
              <w:t>ay work have a bearing on the decision as to how much and how detailed the data gathered will contribute to its ‘richness’. Some skills are more critical to safety and operational requirements while the same skills may be more or less frequently practiced.</w:t>
            </w:r>
            <w:r w:rsidRPr="00413AAD">
              <w:t xml:space="preserve">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413AAD" w:rsidP="00413AAD">
      <w:pPr>
        <w:pStyle w:val="BodyText"/>
      </w:pPr>
    </w:p>
    <w:tbl>
      <w:tblPr>
        <w:tblW w:w="0" w:type="auto"/>
        <w:tblLayout w:type="fixed"/>
        <w:tblCellMar>
          <w:left w:w="62" w:type="dxa"/>
          <w:right w:w="62" w:type="dxa"/>
        </w:tblCellMar>
        <w:tblLook w:val="0000"/>
      </w:tblPr>
      <w:tblGrid>
        <w:gridCol w:w="1890"/>
        <w:gridCol w:w="6570"/>
      </w:tblGrid>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rPr>
                <w:rStyle w:val="SpecialBold"/>
              </w:rPr>
              <w:t>Critical aspe</w:t>
            </w:r>
            <w:r w:rsidRPr="00413AAD">
              <w:rPr>
                <w:rStyle w:val="SpecialBold"/>
              </w:rPr>
              <w:t>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9.2)</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Before the critical aspects of evidence are considered all prerequisites shall be met.</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13AAD">
            <w:pPr>
              <w:pStyle w:val="ListBullet"/>
              <w:rPr>
                <w:lang w:val="en-NZ"/>
              </w:rPr>
            </w:pPr>
            <w:r w:rsidRPr="00413AAD">
              <w:t>A representative body of work performance demonstrated within the timeframes typically expected of the discipline, work function and industrial environment. In particular this shall incorporate evidence that shows a candidate is able to:</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13AAD">
            <w:pPr>
              <w:pStyle w:val="ListBullet2"/>
              <w:rPr>
                <w:lang w:val="en-NZ"/>
              </w:rPr>
            </w:pPr>
            <w:r w:rsidRPr="00413AAD">
              <w:t>Implement Occupational Health and Safety workplace procedures and practices including the use of risk control measures as specified in the Performance Criteria and range</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13AAD">
            <w:pPr>
              <w:pStyle w:val="ListBullet2"/>
              <w:rPr>
                <w:lang w:val="en-NZ"/>
              </w:rPr>
            </w:pPr>
            <w:r w:rsidRPr="00413AAD">
              <w:t>Apply sustainable energy principles and practices as specified in the Performance C</w:t>
            </w:r>
            <w:r w:rsidRPr="00413AAD">
              <w:t>riteria and range</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13AAD">
            <w:pPr>
              <w:pStyle w:val="ListBullet2"/>
              <w:rPr>
                <w:lang w:val="en-NZ"/>
              </w:rPr>
            </w:pPr>
            <w:r w:rsidRPr="00413AAD">
              <w:t>Demonstrate an understanding of the essential knowledge and associated skills as described in this unit to such an extent that the learner’s performance outcome is reporte</w:t>
            </w:r>
            <w:r w:rsidRPr="00413AAD">
              <w:t>d in accordance with the preferred approach; namely a percentile graded result, where required by the regulated environment</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13AAD">
            <w:pPr>
              <w:pStyle w:val="ListBullet2"/>
              <w:rPr>
                <w:lang w:val="en-NZ"/>
              </w:rPr>
            </w:pPr>
            <w:r w:rsidRPr="00413AAD">
              <w:t>Demonstrate an appropriate level of employability skills</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13AAD">
            <w:pPr>
              <w:pStyle w:val="ListBullet2"/>
              <w:rPr>
                <w:lang w:val="en-NZ"/>
              </w:rPr>
            </w:pPr>
            <w:r w:rsidRPr="00413AAD">
              <w:t xml:space="preserve">Conduct work observing the relevant anti-discrimination legislation, </w:t>
            </w:r>
            <w:r w:rsidRPr="00413AAD">
              <w:t>regulations, polices and workplace procedures</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413AAD" w:rsidP="00413AAD">
            <w:pPr>
              <w:pStyle w:val="ListBullet"/>
            </w:pPr>
            <w:r w:rsidRPr="00413AAD">
              <w:t>Demonstrate performance across a representative range of contexts from the prescribed items below.</w:t>
            </w:r>
          </w:p>
        </w:tc>
      </w:tr>
    </w:tbl>
    <w:p w:rsidR="00000000" w:rsidRPr="00413AAD" w:rsidP="00413AAD">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BD3AAD">
        <w:tblPrEx>
          <w:tblW w:w="0" w:type="auto"/>
          <w:tblLayout w:type="fixed"/>
          <w:tblCellMar>
            <w:left w:w="62" w:type="dxa"/>
            <w:right w:w="62" w:type="dxa"/>
          </w:tblCellMar>
          <w:tblLook w:val="0000"/>
        </w:tblPrEx>
        <w:trPr>
          <w:trHeight w:val="47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413AAD">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AD">
            <w:pPr>
              <w:pStyle w:val="BodyText"/>
              <w:rPr>
                <w:lang w:val="en-NZ"/>
              </w:rPr>
            </w:pPr>
            <w:r w:rsidRPr="00413AAD">
              <w:rPr>
                <w:rStyle w:val="SpecialBold"/>
              </w:rPr>
              <w:t>Range of tools/equipment/procedures/workplace</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413AAD">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AD" w:rsidP="00413AAD">
            <w:pPr>
              <w:pStyle w:val="BodyText"/>
            </w:pPr>
            <w:r w:rsidRPr="00413AAD">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AD" w:rsidP="00413AAD">
            <w:pPr>
              <w:pStyle w:val="BodyText"/>
            </w:pPr>
            <w:r w:rsidRPr="00413AAD">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AD">
            <w:pPr>
              <w:pStyle w:val="BodyText"/>
              <w:rPr>
                <w:lang w:val="en-NZ"/>
              </w:rPr>
            </w:pPr>
            <w:r w:rsidRPr="00413AAD">
              <w:rPr>
                <w:rStyle w:val="SpecialBold"/>
              </w:rPr>
              <w:t>Item List</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AD">
            <w:pPr>
              <w:pStyle w:val="BodyText"/>
              <w:rPr>
                <w:lang w:val="en-NZ"/>
              </w:rPr>
            </w:pPr>
            <w:r w:rsidRPr="00413AAD">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AD">
            <w:pPr>
              <w:pStyle w:val="BodyText"/>
              <w:rPr>
                <w:lang w:val="en-NZ"/>
              </w:rPr>
            </w:pPr>
            <w:r w:rsidRPr="00413AAD">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AD" w:rsidP="00413AAD">
            <w:pPr>
              <w:pStyle w:val="BodyText"/>
            </w:pPr>
            <w:r w:rsidRPr="00413AAD">
              <w:t>Interpret technical drawings and symbols</w:t>
            </w:r>
          </w:p>
          <w:p w:rsidR="00000000" w:rsidRPr="00413AAD" w:rsidP="00413AAD">
            <w:pPr>
              <w:pStyle w:val="BodyText"/>
            </w:pPr>
            <w:r w:rsidRPr="00413AAD">
              <w:t>Emergency response procedures in place</w:t>
            </w:r>
          </w:p>
          <w:p w:rsidR="00000000" w:rsidRPr="00413AAD" w:rsidP="00413AAD">
            <w:pPr>
              <w:pStyle w:val="BodyText"/>
            </w:pPr>
            <w:r w:rsidRPr="00413AAD">
              <w:t>Communication with other authorities and stakeholders</w:t>
            </w:r>
          </w:p>
          <w:p w:rsidR="00000000" w:rsidRPr="00413AAD" w:rsidP="00413AAD">
            <w:pPr>
              <w:pStyle w:val="BodyText"/>
            </w:pPr>
            <w:r w:rsidRPr="00413AAD">
              <w:t>Communicate schedules/coordinate to persons</w:t>
            </w:r>
          </w:p>
          <w:p w:rsidR="00000000" w:rsidRPr="00413AAD" w:rsidP="00413AAD">
            <w:pPr>
              <w:pStyle w:val="BodyText"/>
            </w:pPr>
            <w:r w:rsidRPr="00413AAD">
              <w:t>Carry out job safety analysis</w:t>
            </w:r>
          </w:p>
          <w:p w:rsidR="00000000" w:rsidRPr="00413AAD" w:rsidP="00413AAD">
            <w:pPr>
              <w:pStyle w:val="BodyText"/>
            </w:pPr>
            <w:r w:rsidRPr="00413AAD">
              <w:t>Obtain work permit</w:t>
            </w:r>
          </w:p>
          <w:p w:rsidR="00000000" w:rsidRPr="00413AAD" w:rsidP="00413AAD">
            <w:pPr>
              <w:pStyle w:val="BodyText"/>
            </w:pPr>
            <w:r w:rsidRPr="00413AAD">
              <w:t>Use and interpret dial before you dig report</w:t>
            </w:r>
          </w:p>
          <w:p w:rsidR="00000000" w:rsidP="00413AAD">
            <w:pPr>
              <w:pStyle w:val="BodyText"/>
              <w:rPr>
                <w:lang w:val="en-NZ"/>
              </w:rPr>
            </w:pPr>
            <w:r w:rsidRPr="00413AAD">
              <w:t>Relevant knowledge of AS 2865</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AD">
            <w:pPr>
              <w:pStyle w:val="BodyText"/>
              <w:rPr>
                <w:lang w:val="en-NZ"/>
              </w:rPr>
            </w:pPr>
            <w:r w:rsidRPr="00413AAD">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AD">
            <w:pPr>
              <w:pStyle w:val="BodyText"/>
              <w:rPr>
                <w:lang w:val="en-NZ"/>
              </w:rPr>
            </w:pPr>
            <w:r w:rsidRPr="00413AAD">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AD" w:rsidP="00413AAD">
            <w:pPr>
              <w:pStyle w:val="BodyText"/>
            </w:pPr>
            <w:r w:rsidRPr="00413AAD">
              <w:t>Excavation</w:t>
            </w:r>
          </w:p>
          <w:p w:rsidR="00000000" w:rsidRPr="00413AAD" w:rsidP="00413AAD">
            <w:pPr>
              <w:pStyle w:val="BodyText"/>
            </w:pPr>
            <w:r w:rsidRPr="00413AAD">
              <w:t>Trenching</w:t>
            </w:r>
          </w:p>
          <w:p w:rsidR="00000000" w:rsidRPr="00413AAD" w:rsidP="00413AAD">
            <w:pPr>
              <w:pStyle w:val="BodyText"/>
            </w:pPr>
            <w:r w:rsidRPr="00413AAD">
              <w:t>Shoring</w:t>
            </w:r>
          </w:p>
          <w:p w:rsidR="00000000" w:rsidRPr="00413AAD" w:rsidP="00413AAD">
            <w:pPr>
              <w:pStyle w:val="BodyText"/>
            </w:pPr>
            <w:r w:rsidRPr="00413AAD">
              <w:t>Stitch bore</w:t>
            </w:r>
          </w:p>
          <w:p w:rsidR="00000000" w:rsidRPr="00413AAD" w:rsidP="00413AAD">
            <w:pPr>
              <w:pStyle w:val="BodyText"/>
            </w:pPr>
            <w:r w:rsidRPr="00413AAD">
              <w:t>Horizontal drilling</w:t>
            </w:r>
          </w:p>
          <w:p w:rsidR="00000000" w:rsidP="00413AAD">
            <w:pPr>
              <w:pStyle w:val="BodyText"/>
              <w:rPr>
                <w:lang w:val="en-NZ"/>
              </w:rPr>
            </w:pPr>
            <w:r w:rsidRPr="00413AAD">
              <w:t>Directional</w:t>
            </w:r>
            <w:r w:rsidRPr="00413AAD">
              <w:t xml:space="preserve"> drilling</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AD">
            <w:pPr>
              <w:pStyle w:val="BodyText"/>
              <w:rPr>
                <w:lang w:val="en-NZ"/>
              </w:rPr>
            </w:pPr>
            <w:r w:rsidRPr="00413AAD">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AD">
            <w:pPr>
              <w:pStyle w:val="BodyText"/>
              <w:rPr>
                <w:lang w:val="en-NZ"/>
              </w:rPr>
            </w:pPr>
            <w:r w:rsidRPr="00413AAD">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AD" w:rsidP="00413AAD">
            <w:pPr>
              <w:pStyle w:val="BodyText"/>
            </w:pPr>
            <w:r w:rsidRPr="00413AAD">
              <w:t>Steel pipeline coating repair</w:t>
            </w:r>
          </w:p>
          <w:p w:rsidR="00000000" w:rsidRPr="00413AAD" w:rsidP="00413AAD">
            <w:pPr>
              <w:pStyle w:val="BodyText"/>
            </w:pPr>
            <w:r w:rsidRPr="00413AAD">
              <w:t>Steel pipeline coating testing (Jeeper)</w:t>
            </w:r>
          </w:p>
          <w:p w:rsidR="00000000" w:rsidP="00413AAD">
            <w:pPr>
              <w:pStyle w:val="BodyText"/>
              <w:rPr>
                <w:lang w:val="en-NZ"/>
              </w:rPr>
            </w:pPr>
            <w:r w:rsidRPr="00413AAD">
              <w:t>Steel, field joint coating</w:t>
            </w:r>
          </w:p>
        </w:tc>
      </w:tr>
      <w:tr w:rsidTr="00BD3AAD">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AD">
            <w:pPr>
              <w:pStyle w:val="BodyText"/>
              <w:rPr>
                <w:lang w:val="en-NZ"/>
              </w:rPr>
            </w:pPr>
            <w:r w:rsidRPr="00413AAD">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AD">
            <w:pPr>
              <w:pStyle w:val="BodyText"/>
              <w:rPr>
                <w:lang w:val="en-NZ"/>
              </w:rPr>
            </w:pPr>
            <w:r w:rsidRPr="00413AAD">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AD" w:rsidP="00413AAD">
            <w:pPr>
              <w:pStyle w:val="BodyText"/>
            </w:pPr>
            <w:r w:rsidRPr="00413AAD">
              <w:t xml:space="preserve">Isolate, vent and purge gas pipeline systems </w:t>
            </w:r>
          </w:p>
          <w:p w:rsidR="00000000" w:rsidRPr="00413AAD" w:rsidP="00413AAD">
            <w:pPr>
              <w:pStyle w:val="BodyText"/>
            </w:pPr>
            <w:r w:rsidRPr="00413AAD">
              <w:t>Operation of gas detector</w:t>
            </w:r>
          </w:p>
          <w:p w:rsidR="00000000" w:rsidRPr="00413AAD" w:rsidP="00413AAD">
            <w:pPr>
              <w:pStyle w:val="BodyText"/>
            </w:pPr>
            <w:r w:rsidRPr="00413AAD">
              <w:t>Operate service locator</w:t>
            </w:r>
          </w:p>
          <w:p w:rsidR="00000000" w:rsidP="00413AAD">
            <w:pPr>
              <w:pStyle w:val="BodyText"/>
              <w:rPr>
                <w:lang w:val="en-NZ"/>
              </w:rPr>
            </w:pPr>
            <w:r w:rsidRPr="00413AAD">
              <w:t>Where relevant, calculate nitrogen volume needed</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AD">
            <w:pPr>
              <w:pStyle w:val="BodyText"/>
              <w:rPr>
                <w:lang w:val="en-NZ"/>
              </w:rPr>
            </w:pPr>
            <w:r w:rsidRPr="00413AAD">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AD">
            <w:pPr>
              <w:pStyle w:val="BodyText"/>
              <w:rPr>
                <w:lang w:val="en-NZ"/>
              </w:rPr>
            </w:pPr>
            <w:r w:rsidRPr="00413AAD">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AD" w:rsidP="00413AAD">
            <w:pPr>
              <w:pStyle w:val="BodyText"/>
            </w:pPr>
            <w:r w:rsidRPr="00413AAD">
              <w:t xml:space="preserve">Prepare pig trap for launch </w:t>
            </w:r>
          </w:p>
          <w:p w:rsidR="00000000" w:rsidRPr="00413AAD" w:rsidP="00413AAD">
            <w:pPr>
              <w:pStyle w:val="BodyText"/>
            </w:pPr>
            <w:r w:rsidRPr="00413AAD">
              <w:t>Prepare trap for receiving</w:t>
            </w:r>
          </w:p>
          <w:p w:rsidR="00000000" w:rsidRPr="00413AAD" w:rsidP="00413AAD">
            <w:pPr>
              <w:pStyle w:val="BodyText"/>
            </w:pPr>
            <w:r w:rsidRPr="00413AAD">
              <w:t>Determine volume of water needed</w:t>
            </w:r>
          </w:p>
          <w:p w:rsidR="00000000" w:rsidRPr="00413AAD" w:rsidP="00413AAD">
            <w:pPr>
              <w:pStyle w:val="BodyText"/>
            </w:pPr>
            <w:r w:rsidRPr="00413AAD">
              <w:t>Install disc pig</w:t>
            </w:r>
          </w:p>
          <w:p w:rsidR="00000000" w:rsidRPr="00413AAD" w:rsidP="00413AAD">
            <w:pPr>
              <w:pStyle w:val="BodyText"/>
            </w:pPr>
            <w:r w:rsidRPr="00413AAD">
              <w:t>Carry out pigging operation</w:t>
            </w:r>
          </w:p>
          <w:p w:rsidR="00000000" w:rsidRPr="00413AAD" w:rsidP="00413AAD">
            <w:pPr>
              <w:pStyle w:val="BodyText"/>
            </w:pPr>
            <w:r w:rsidRPr="00413AAD">
              <w:t>Install foam pig</w:t>
            </w:r>
          </w:p>
          <w:p w:rsidR="00000000" w:rsidRPr="00413AAD" w:rsidP="00413AAD">
            <w:pPr>
              <w:pStyle w:val="BodyText"/>
            </w:pPr>
            <w:r w:rsidRPr="00413AAD">
              <w:t>Carry out pigging operation</w:t>
            </w:r>
          </w:p>
          <w:p w:rsidR="00000000" w:rsidP="00413AAD">
            <w:pPr>
              <w:pStyle w:val="BodyText"/>
              <w:rPr>
                <w:lang w:val="en-NZ"/>
              </w:rPr>
            </w:pPr>
            <w:r w:rsidRPr="00413AAD">
              <w:t>Pressure test pipeline</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AD">
            <w:pPr>
              <w:pStyle w:val="BodyText"/>
              <w:rPr>
                <w:lang w:val="en-NZ"/>
              </w:rPr>
            </w:pPr>
            <w:r w:rsidRPr="00413AAD">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AAD">
            <w:pPr>
              <w:pStyle w:val="BodyText"/>
              <w:rPr>
                <w:lang w:val="en-NZ"/>
              </w:rPr>
            </w:pPr>
            <w:r w:rsidRPr="00413AAD">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AAD" w:rsidP="00413AAD">
            <w:pPr>
              <w:pStyle w:val="BodyText"/>
            </w:pPr>
            <w:r w:rsidRPr="00413AAD">
              <w:t xml:space="preserve">Deal with an unplanned event by drawing on essential knowledge and associated skills to provide appropriate solutions incorporated in the holistic assessment with the above listed items </w:t>
            </w:r>
          </w:p>
        </w:tc>
      </w:tr>
    </w:tbl>
    <w:p w:rsidR="00000000" w:rsidRPr="00413AAD" w:rsidP="00413AAD">
      <w:pPr>
        <w:pStyle w:val="BodyText"/>
      </w:pPr>
    </w:p>
    <w:tbl>
      <w:tblPr>
        <w:tblW w:w="0" w:type="auto"/>
        <w:tblLayout w:type="fixed"/>
        <w:tblCellMar>
          <w:left w:w="62" w:type="dxa"/>
          <w:right w:w="62" w:type="dxa"/>
        </w:tblCellMar>
        <w:tblLook w:val="0000"/>
      </w:tblPr>
      <w:tblGrid>
        <w:gridCol w:w="1890"/>
        <w:gridCol w:w="6570"/>
      </w:tblGrid>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9.3)</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This unit contains Employability Skills</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This unit should be assessed as it relates to normal work practice using procedures, information and resources typical of a workplace. This should include:</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13AAD">
            <w:pPr>
              <w:pStyle w:val="ListBullet"/>
              <w:rPr>
                <w:lang w:val="en-NZ"/>
              </w:rPr>
            </w:pPr>
            <w:r w:rsidRPr="00413AAD">
              <w:t>OHS policy and work procedures and instructions.</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13AAD">
            <w:pPr>
              <w:pStyle w:val="ListBullet"/>
              <w:rPr>
                <w:lang w:val="en-NZ"/>
              </w:rPr>
            </w:pPr>
            <w:r w:rsidRPr="00413AAD">
              <w:t>Suitable work environment, facilities, equipment and materials to undertake actual work as prescribed by this Competency Standard Unit.</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13AAD">
            <w:pPr>
              <w:pStyle w:val="ListBullet"/>
              <w:rPr>
                <w:lang w:val="en-NZ"/>
              </w:rPr>
            </w:pPr>
            <w:r w:rsidRPr="00413AAD">
              <w:t>Appropriate environmental regulation and work practices.</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13AAD">
            <w:pPr>
              <w:pStyle w:val="ListBullet"/>
              <w:rPr>
                <w:lang w:val="en-NZ"/>
              </w:rPr>
            </w:pPr>
            <w:r w:rsidRPr="00413AAD">
              <w:t>Appr</w:t>
            </w:r>
            <w:r w:rsidRPr="00413AAD">
              <w:t>opriate organisational requirements.</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13AAD">
            <w:pPr>
              <w:pStyle w:val="ListBullet"/>
              <w:rPr>
                <w:lang w:val="en-NZ"/>
              </w:rPr>
            </w:pPr>
            <w:r w:rsidRPr="00413AAD">
              <w:t>Appropriate work environment, equipment and tools.</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 xml:space="preserve">In addition to the resources listed above in, Context of and specific resources for assessment, evidence should show demonstrated competency </w:t>
            </w:r>
            <w:r w:rsidRPr="00413AAD">
              <w:t>of Pipeline pigging in gas transmission pipeline.</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t>Assessment of this competency must also be undertaken in either an actual workplace or under a simulated work environment. Assessment must also integrate the employability skills.</w:t>
            </w:r>
          </w:p>
        </w:tc>
      </w:tr>
    </w:tbl>
    <w:p w:rsidR="00000000" w:rsidRPr="00413AAD" w:rsidP="00413AAD">
      <w:pPr>
        <w:pStyle w:val="BodyText"/>
      </w:pPr>
    </w:p>
    <w:tbl>
      <w:tblPr>
        <w:tblW w:w="0" w:type="auto"/>
        <w:tblLayout w:type="fixed"/>
        <w:tblCellMar>
          <w:left w:w="62" w:type="dxa"/>
          <w:right w:w="62" w:type="dxa"/>
        </w:tblCellMar>
        <w:tblLook w:val="0000"/>
      </w:tblPr>
      <w:tblGrid>
        <w:gridCol w:w="1890"/>
        <w:gridCol w:w="6570"/>
      </w:tblGrid>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9</w:t>
            </w:r>
            <w:r w:rsidRPr="00413AAD">
              <w:rPr>
                <w:rStyle w:val="SpecialBold"/>
              </w:rPr>
              <w:t>.4)</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This Competency Standard Unit shall be assessed by methods given in Volume 1, Part 3 ‘Assessment Guidelines’.</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t>Note: Competent performance with inherent safe working practices is expected in the Industry to which this Competency Standard Unit applies. This requires that the specified Essential Knowledge and Associated Skills are assessed in a structured environment</w:t>
            </w:r>
            <w:r w:rsidRPr="00413AAD">
              <w:t xml:space="preserve"> which is primarily intended for learning/assessment and incorporates all necessary equipment and facilities for learners to develop and demonstrate the essential knowledge and associated skills described in this unit.</w:t>
            </w:r>
          </w:p>
        </w:tc>
      </w:tr>
    </w:tbl>
    <w:p w:rsidR="00000000" w:rsidRPr="00413AAD" w:rsidP="00413AAD">
      <w:pPr>
        <w:pStyle w:val="BodyText"/>
      </w:pPr>
    </w:p>
    <w:tbl>
      <w:tblPr>
        <w:tblW w:w="0" w:type="auto"/>
        <w:tblLayout w:type="fixed"/>
        <w:tblCellMar>
          <w:left w:w="62" w:type="dxa"/>
          <w:right w:w="62" w:type="dxa"/>
        </w:tblCellMar>
        <w:tblLook w:val="0000"/>
      </w:tblPr>
      <w:tblGrid>
        <w:gridCol w:w="1890"/>
        <w:gridCol w:w="1620"/>
        <w:gridCol w:w="4950"/>
      </w:tblGrid>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rPr>
                <w:rStyle w:val="SpecialBold"/>
              </w:rPr>
              <w:t>Concurrent assessment and relations</w:t>
            </w:r>
            <w:r w:rsidRPr="00413AAD">
              <w:rPr>
                <w:rStyle w:val="SpecialBold"/>
              </w:rPr>
              <w:t>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9.5)</w:t>
            </w:r>
          </w:p>
        </w:tc>
      </w:tr>
      <w:tr w:rsidTr="00BD3AAD">
        <w:tblPrEx>
          <w:tblW w:w="0" w:type="auto"/>
          <w:tblLayout w:type="fixed"/>
          <w:tblCellMar>
            <w:left w:w="62" w:type="dxa"/>
            <w:right w:w="62" w:type="dxa"/>
          </w:tblCellMar>
          <w:tblLook w:val="0000"/>
        </w:tblPrEx>
        <w:trPr>
          <w:trHeight w:val="108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 xml:space="preserve">There are no recommended concurrent assessments with this unit, however in some cases efficiencies may be gained in terms of learning and assessment effort being concurrently managed with allied Competency Standard Units where </w:t>
            </w:r>
            <w:r w:rsidRPr="00413AAD">
              <w:t>listed.</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UEGNSG302B</w:t>
            </w:r>
          </w:p>
        </w:tc>
        <w:tc>
          <w:tcPr>
            <w:tcW w:w="495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Maintain pipeline easements</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UEGNSG329A</w:t>
            </w:r>
          </w:p>
        </w:tc>
        <w:tc>
          <w:tcPr>
            <w:tcW w:w="495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Gas transmission pipeline surveillance</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UEGNSG308B</w:t>
            </w:r>
          </w:p>
        </w:tc>
        <w:tc>
          <w:tcPr>
            <w:tcW w:w="495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Identify, evaluate and control threats to transmission pipelines</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UEGNSG309B</w:t>
            </w:r>
          </w:p>
        </w:tc>
        <w:tc>
          <w:tcPr>
            <w:tcW w:w="495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First on site emergency response on transmission pipeline</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UEGNSG310B</w:t>
            </w:r>
          </w:p>
        </w:tc>
        <w:tc>
          <w:tcPr>
            <w:tcW w:w="495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Supervise and monitor contract work</w:t>
            </w:r>
          </w:p>
        </w:tc>
      </w:tr>
      <w:tr w:rsidTr="00BD3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UEGNSG311B</w:t>
            </w:r>
          </w:p>
        </w:tc>
        <w:tc>
          <w:tcPr>
            <w:tcW w:w="495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t>Site control of third party works in the vicinity of a transmission pipeline</w:t>
            </w:r>
          </w:p>
        </w:tc>
      </w:tr>
    </w:tbl>
    <w:p w:rsidR="00BD3AAD" w:rsidP="00413AAD">
      <w:pPr>
        <w:pStyle w:val="BodyText"/>
      </w:pPr>
    </w:p>
    <w:p w:rsidR="00BD3AAD" w:rsidP="00413AAD">
      <w:pPr>
        <w:pStyle w:val="BodyText"/>
      </w:pPr>
    </w:p>
    <w:p w:rsidR="00000000" w:rsidRPr="00413AAD" w:rsidP="00413AAD">
      <w:pPr>
        <w:pStyle w:val="Heading1"/>
      </w:pPr>
      <w:bookmarkStart w:id="11" w:name="O_401977"/>
      <w:bookmarkEnd w:id="11"/>
      <w:r w:rsidRPr="00413AAD">
        <w:t>Range Statement</w:t>
      </w:r>
    </w:p>
    <w:tbl>
      <w:tblPr>
        <w:tblW w:w="0" w:type="auto"/>
        <w:tblLayout w:type="fixed"/>
        <w:tblCellMar>
          <w:left w:w="62" w:type="dxa"/>
          <w:right w:w="62" w:type="dxa"/>
        </w:tblCellMar>
        <w:tblLook w:val="0000"/>
      </w:tblPr>
      <w:tblGrid>
        <w:gridCol w:w="8460"/>
      </w:tblGrid>
      <w:tr w:rsidTr="00BD3A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RANGE STATEMENT</w:t>
            </w:r>
          </w:p>
        </w:tc>
      </w:tr>
      <w:tr w:rsidTr="00BD3A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10)</w:t>
            </w:r>
            <w:r w:rsidRPr="00413AAD">
              <w:t xml:space="preserve"> This relates to the competency standard unit as a whole providing the range of contexts and conditions to which the Performance Criteria apply. It allows for different work environments and situations that will affect performance.</w:t>
            </w:r>
          </w:p>
        </w:tc>
      </w:tr>
      <w:tr w:rsidTr="00BD3A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This Competency Standar</w:t>
            </w:r>
            <w:r w:rsidRPr="00413AAD">
              <w:t>d Unit shall be demonstrated in relation to launching and recovering PIGs in gas transmission pipelines.</w:t>
            </w:r>
          </w:p>
        </w:tc>
      </w:tr>
      <w:tr w:rsidTr="00BD3A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t>The following constants and variables included in the element/Performance Criteria in this unit are fully described in the Definitions Section of this</w:t>
            </w:r>
            <w:r w:rsidRPr="00413AAD">
              <w:t xml:space="preserve"> volume and form an integral part of the Range Statement of this unit:</w:t>
            </w:r>
          </w:p>
        </w:tc>
      </w:tr>
      <w:tr w:rsidTr="00BD3A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t>Equipment (3)</w:t>
            </w:r>
          </w:p>
        </w:tc>
      </w:tr>
    </w:tbl>
    <w:p w:rsidR="00000000" w:rsidRPr="00413AAD" w:rsidP="00413AAD">
      <w:pPr>
        <w:pStyle w:val="BodyText"/>
      </w:pPr>
    </w:p>
    <w:p w:rsidR="00000000" w:rsidRPr="00413AAD" w:rsidP="00413AAD">
      <w:pPr>
        <w:pStyle w:val="AllowPageBreak"/>
      </w:pPr>
    </w:p>
    <w:p w:rsidR="00000000" w:rsidRPr="00413AAD" w:rsidP="00413AAD">
      <w:pPr>
        <w:pStyle w:val="Heading1"/>
      </w:pPr>
      <w:bookmarkStart w:id="12" w:name="O_401980"/>
      <w:bookmarkEnd w:id="12"/>
      <w:r w:rsidRPr="00413AAD">
        <w:t>Unit Sector(s)</w:t>
      </w:r>
    </w:p>
    <w:p w:rsidR="00000000" w:rsidRPr="00413AAD" w:rsidP="00413AAD">
      <w:pPr>
        <w:pStyle w:val="BodyText"/>
      </w:pPr>
      <w:r w:rsidRPr="00413AAD">
        <w:t>Not applicable.</w:t>
      </w:r>
    </w:p>
    <w:p w:rsidR="00000000" w:rsidRPr="00413AAD" w:rsidP="00413AAD">
      <w:pPr>
        <w:pStyle w:val="AllowPageBreak"/>
      </w:pPr>
    </w:p>
    <w:p w:rsidR="00000000" w:rsidRPr="00413AAD" w:rsidP="00413AAD">
      <w:pPr>
        <w:pStyle w:val="Heading1"/>
      </w:pPr>
      <w:bookmarkStart w:id="13" w:name="O_401969"/>
      <w:bookmarkEnd w:id="13"/>
      <w:r w:rsidRPr="00413AAD">
        <w:t>Competency Field</w:t>
      </w:r>
    </w:p>
    <w:tbl>
      <w:tblPr>
        <w:tblW w:w="0" w:type="auto"/>
        <w:tblLayout w:type="fixed"/>
        <w:tblCellMar>
          <w:left w:w="62" w:type="dxa"/>
          <w:right w:w="62" w:type="dxa"/>
        </w:tblCellMar>
        <w:tblLook w:val="0000"/>
      </w:tblPr>
      <w:tblGrid>
        <w:gridCol w:w="2700"/>
        <w:gridCol w:w="5760"/>
      </w:tblGrid>
      <w:tr w:rsidTr="00BD3A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13AAD">
            <w:pPr>
              <w:pStyle w:val="BodyText"/>
              <w:rPr>
                <w:lang w:val="en-NZ"/>
              </w:rPr>
            </w:pPr>
            <w:r w:rsidRPr="00413AAD">
              <w:rPr>
                <w:rStyle w:val="SpecialBold"/>
              </w:rPr>
              <w:t xml:space="preserve">11) </w:t>
            </w:r>
          </w:p>
        </w:tc>
      </w:tr>
      <w:tr w:rsidTr="00BD3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13AAD" w:rsidP="00413AAD">
            <w:pPr>
              <w:pStyle w:val="BodyText"/>
            </w:pPr>
            <w:r w:rsidRPr="00413AAD">
              <w:t>Transmission.</w:t>
            </w:r>
          </w:p>
        </w:tc>
      </w:tr>
    </w:tbl>
    <w:p w:rsidR="00000000" w:rsidRPr="00413AAD" w:rsidP="00413AAD">
      <w:pPr>
        <w:pStyle w:val="BodyText"/>
      </w:pPr>
    </w:p>
    <w:p w:rsidR="00000000" w:rsidRPr="00413AAD" w:rsidP="00413AAD"/>
    <w:sectPr w:rsidSect="00413A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AAD" w:rsidP="00BD3A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AAD" w:rsidP="00413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D3AAD" w:rsidP="00413A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D3AAD" w:rsidP="00413A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AAD" w:rsidP="00BD3A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AAD" w:rsidP="00413AAD">
    <w:pPr>
      <w:pStyle w:val="Header"/>
      <w:framePr w:wrap="around"/>
    </w:pPr>
    <w:r>
      <w:fldChar w:fldCharType="begin"/>
    </w:r>
    <w:r>
      <w:instrText xml:space="preserve"> TITLE   \* MERGEFORMAT </w:instrText>
    </w:r>
    <w:r>
      <w:fldChar w:fldCharType="separate"/>
    </w:r>
    <w:r>
      <w:t>UEGNSG306B Pipeline pigging in gas transmission pipeline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3AAD" w:rsidP="00413A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163F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F070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2A8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A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3AAD"/>
    <w:pPr>
      <w:spacing w:before="360" w:after="60"/>
      <w:outlineLvl w:val="0"/>
    </w:pPr>
    <w:rPr>
      <w:sz w:val="32"/>
    </w:rPr>
  </w:style>
  <w:style w:type="paragraph" w:styleId="Heading2">
    <w:name w:val="heading 2"/>
    <w:basedOn w:val="HeadingBase"/>
    <w:next w:val="BodyText"/>
    <w:link w:val="Heading2Char"/>
    <w:qFormat/>
    <w:rsid w:val="00413AAD"/>
    <w:pPr>
      <w:keepLines/>
      <w:spacing w:before="240" w:after="120"/>
      <w:outlineLvl w:val="1"/>
    </w:pPr>
    <w:rPr>
      <w:sz w:val="28"/>
      <w:szCs w:val="40"/>
    </w:rPr>
  </w:style>
  <w:style w:type="paragraph" w:styleId="Heading3">
    <w:name w:val="heading 3"/>
    <w:basedOn w:val="HeadingBase"/>
    <w:next w:val="BodyText"/>
    <w:link w:val="Heading3Char"/>
    <w:qFormat/>
    <w:rsid w:val="00413AAD"/>
    <w:pPr>
      <w:spacing w:before="180" w:after="120"/>
      <w:outlineLvl w:val="2"/>
    </w:pPr>
    <w:rPr>
      <w:spacing w:val="-10"/>
      <w:kern w:val="32"/>
    </w:rPr>
  </w:style>
  <w:style w:type="paragraph" w:styleId="Heading4">
    <w:name w:val="heading 4"/>
    <w:basedOn w:val="HeadingBase"/>
    <w:next w:val="BodyText"/>
    <w:link w:val="Heading4Char"/>
    <w:qFormat/>
    <w:rsid w:val="00413AAD"/>
    <w:pPr>
      <w:spacing w:before="160" w:after="120"/>
      <w:outlineLvl w:val="3"/>
    </w:pPr>
    <w:rPr>
      <w:sz w:val="22"/>
    </w:rPr>
  </w:style>
  <w:style w:type="paragraph" w:styleId="Heading5">
    <w:name w:val="heading 5"/>
    <w:basedOn w:val="HeadingBase"/>
    <w:next w:val="Normal"/>
    <w:link w:val="Heading5Char"/>
    <w:qFormat/>
    <w:rsid w:val="00413AAD"/>
    <w:pPr>
      <w:spacing w:before="80"/>
      <w:outlineLvl w:val="4"/>
    </w:pPr>
    <w:rPr>
      <w:color w:val="918585"/>
      <w:sz w:val="20"/>
    </w:rPr>
  </w:style>
  <w:style w:type="paragraph" w:styleId="Heading6">
    <w:name w:val="heading 6"/>
    <w:basedOn w:val="HeadingBase"/>
    <w:next w:val="Normal"/>
    <w:link w:val="Heading6Char"/>
    <w:qFormat/>
    <w:rsid w:val="00413AAD"/>
    <w:pPr>
      <w:spacing w:before="60"/>
      <w:outlineLvl w:val="5"/>
    </w:pPr>
    <w:rPr>
      <w:color w:val="918585"/>
      <w:sz w:val="20"/>
    </w:rPr>
  </w:style>
  <w:style w:type="paragraph" w:styleId="Heading7">
    <w:name w:val="heading 7"/>
    <w:basedOn w:val="Normal"/>
    <w:next w:val="Normal"/>
    <w:link w:val="Heading7Char"/>
    <w:qFormat/>
    <w:rsid w:val="00413AAD"/>
    <w:pPr>
      <w:ind w:left="720"/>
      <w:outlineLvl w:val="6"/>
    </w:pPr>
    <w:rPr>
      <w:i/>
    </w:rPr>
  </w:style>
  <w:style w:type="paragraph" w:styleId="Heading8">
    <w:name w:val="heading 8"/>
    <w:basedOn w:val="Normal"/>
    <w:next w:val="Normal"/>
    <w:link w:val="Heading8Char"/>
    <w:qFormat/>
    <w:rsid w:val="00413AAD"/>
    <w:pPr>
      <w:ind w:left="720"/>
      <w:outlineLvl w:val="7"/>
    </w:pPr>
    <w:rPr>
      <w:i/>
    </w:rPr>
  </w:style>
  <w:style w:type="paragraph" w:styleId="Heading9">
    <w:name w:val="heading 9"/>
    <w:basedOn w:val="Normal"/>
    <w:next w:val="Normal"/>
    <w:link w:val="Heading9Char"/>
    <w:qFormat/>
    <w:rsid w:val="00413AAD"/>
    <w:pPr>
      <w:ind w:left="720"/>
      <w:outlineLvl w:val="8"/>
    </w:pPr>
    <w:rPr>
      <w:i/>
    </w:rPr>
  </w:style>
  <w:style w:type="character" w:default="1" w:styleId="DefaultParagraphFont">
    <w:name w:val="Default Paragraph Font"/>
    <w:uiPriority w:val="1"/>
    <w:unhideWhenUsed/>
    <w:rsid w:val="00413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AAD"/>
  </w:style>
  <w:style w:type="character" w:customStyle="1" w:styleId="Heading1Char">
    <w:name w:val="Heading 1 Char"/>
    <w:basedOn w:val="DefaultParagraphFont"/>
    <w:link w:val="Heading1"/>
    <w:rsid w:val="00413AAD"/>
    <w:rPr>
      <w:rFonts w:ascii="Times New Roman" w:eastAsia="Times New Roman" w:hAnsi="Times New Roman" w:cs="Times New Roman"/>
      <w:b/>
      <w:sz w:val="32"/>
      <w:szCs w:val="20"/>
      <w:lang w:eastAsia="en-US"/>
    </w:rPr>
  </w:style>
  <w:style w:type="paragraph" w:styleId="BodyText">
    <w:name w:val="Body Text"/>
    <w:basedOn w:val="Normal"/>
    <w:link w:val="BodyTextChar"/>
    <w:rsid w:val="00413A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3AAD"/>
    <w:rPr>
      <w:rFonts w:ascii="Times New Roman" w:eastAsia="Times New Roman" w:hAnsi="Times New Roman" w:cs="Times New Roman"/>
      <w:sz w:val="24"/>
      <w:lang w:val="en-US" w:eastAsia="en-US"/>
    </w:rPr>
  </w:style>
  <w:style w:type="paragraph" w:styleId="Footer">
    <w:name w:val="footer"/>
    <w:basedOn w:val="Normal"/>
    <w:link w:val="FooterChar"/>
    <w:rsid w:val="00413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AAD"/>
    <w:rPr>
      <w:rFonts w:ascii="Times New Roman" w:eastAsia="Times New Roman" w:hAnsi="Times New Roman" w:cs="Times New Roman"/>
      <w:sz w:val="16"/>
      <w:lang w:val="en-US" w:eastAsia="en-US"/>
    </w:rPr>
  </w:style>
  <w:style w:type="paragraph" w:styleId="ListBullet">
    <w:name w:val="List Bullet"/>
    <w:basedOn w:val="List"/>
    <w:rsid w:val="00413AAD"/>
    <w:pPr>
      <w:numPr>
        <w:numId w:val="13"/>
      </w:numPr>
      <w:tabs>
        <w:tab w:val="clear" w:pos="340"/>
      </w:tabs>
      <w:spacing w:before="40" w:after="40"/>
    </w:pPr>
  </w:style>
  <w:style w:type="character" w:customStyle="1" w:styleId="SpecialBold">
    <w:name w:val="Special Bold"/>
    <w:basedOn w:val="DefaultParagraphFont"/>
    <w:rsid w:val="00413AAD"/>
    <w:rPr>
      <w:b/>
      <w:spacing w:val="0"/>
    </w:rPr>
  </w:style>
  <w:style w:type="paragraph" w:styleId="ListBullet2">
    <w:name w:val="List Bullet 2"/>
    <w:basedOn w:val="List2"/>
    <w:rsid w:val="00413AAD"/>
    <w:pPr>
      <w:numPr>
        <w:numId w:val="14"/>
      </w:numPr>
      <w:tabs>
        <w:tab w:val="clear" w:pos="680"/>
      </w:tabs>
    </w:pPr>
  </w:style>
  <w:style w:type="paragraph" w:styleId="Header">
    <w:name w:val="header"/>
    <w:basedOn w:val="Normal"/>
    <w:link w:val="HeaderChar"/>
    <w:rsid w:val="00413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A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3AAD"/>
    <w:pPr>
      <w:spacing w:before="240" w:after="120"/>
      <w:outlineLvl w:val="0"/>
    </w:pPr>
    <w:rPr>
      <w:rFonts w:ascii="Times New Roman" w:hAnsi="Times New Roman"/>
      <w:b/>
      <w:sz w:val="28"/>
    </w:rPr>
  </w:style>
  <w:style w:type="paragraph" w:customStyle="1" w:styleId="AllowPageBreak">
    <w:name w:val="AllowPageBreak"/>
    <w:rsid w:val="00413A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3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A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3A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3AAD"/>
    <w:rPr>
      <w:rFonts w:ascii="Courier New" w:eastAsia="Times New Roman" w:hAnsi="Courier New" w:cs="Times New Roman"/>
      <w:i/>
      <w:szCs w:val="20"/>
      <w:lang w:val="en-US" w:eastAsia="en-US"/>
    </w:rPr>
  </w:style>
  <w:style w:type="paragraph" w:customStyle="1" w:styleId="HeadingBase">
    <w:name w:val="Heading Base"/>
    <w:rsid w:val="00413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AAD"/>
    <w:pPr>
      <w:tabs>
        <w:tab w:val="right" w:leader="dot" w:pos="9072"/>
      </w:tabs>
      <w:ind w:left="567"/>
    </w:pPr>
    <w:rPr>
      <w:szCs w:val="22"/>
    </w:rPr>
  </w:style>
  <w:style w:type="paragraph" w:customStyle="1" w:styleId="TOCBase">
    <w:name w:val="TOC Base"/>
    <w:rsid w:val="00413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AAD"/>
    <w:pPr>
      <w:tabs>
        <w:tab w:val="right" w:leader="dot" w:pos="9072"/>
      </w:tabs>
      <w:spacing w:before="40" w:after="40"/>
      <w:ind w:left="284"/>
    </w:pPr>
    <w:rPr>
      <w:rFonts w:ascii="Times New Roman" w:hAnsi="Times New Roman"/>
    </w:rPr>
  </w:style>
  <w:style w:type="paragraph" w:styleId="TOC1">
    <w:name w:val="toc 1"/>
    <w:basedOn w:val="TOCBase"/>
    <w:next w:val="Normal"/>
    <w:rsid w:val="00413A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3AAD"/>
    <w:pPr>
      <w:spacing w:before="5040"/>
      <w:jc w:val="center"/>
    </w:pPr>
    <w:rPr>
      <w:sz w:val="48"/>
      <w:szCs w:val="72"/>
      <w:lang w:val="en-US"/>
    </w:rPr>
  </w:style>
  <w:style w:type="character" w:customStyle="1" w:styleId="TitleChar">
    <w:name w:val="Title Char"/>
    <w:basedOn w:val="DefaultParagraphFont"/>
    <w:link w:val="Title"/>
    <w:rsid w:val="00413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AAD"/>
    <w:pPr>
      <w:tabs>
        <w:tab w:val="left" w:pos="3600"/>
        <w:tab w:val="left" w:pos="3958"/>
      </w:tabs>
    </w:pPr>
  </w:style>
  <w:style w:type="paragraph" w:styleId="List">
    <w:name w:val="List"/>
    <w:basedOn w:val="BodyText"/>
    <w:next w:val="BodyText"/>
    <w:rsid w:val="00413AAD"/>
    <w:pPr>
      <w:tabs>
        <w:tab w:val="left" w:pos="340"/>
      </w:tabs>
      <w:spacing w:before="60" w:after="60"/>
      <w:ind w:left="340" w:hanging="340"/>
    </w:pPr>
  </w:style>
  <w:style w:type="paragraph" w:customStyle="1" w:styleId="Note">
    <w:name w:val="Note"/>
    <w:basedOn w:val="BodyText"/>
    <w:rsid w:val="00413A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AAD"/>
    <w:pPr>
      <w:framePr w:wrap="auto" w:hAnchor="text" w:y="6049"/>
    </w:pPr>
    <w:rPr>
      <w:color w:val="000000"/>
      <w:sz w:val="40"/>
    </w:rPr>
  </w:style>
  <w:style w:type="paragraph" w:customStyle="1" w:styleId="TOCTitle">
    <w:name w:val="TOCTitle"/>
    <w:basedOn w:val="Heading1"/>
    <w:rsid w:val="00413AAD"/>
    <w:pPr>
      <w:spacing w:after="240"/>
      <w:jc w:val="center"/>
      <w:outlineLvl w:val="9"/>
    </w:pPr>
    <w:rPr>
      <w:caps/>
    </w:rPr>
  </w:style>
  <w:style w:type="paragraph" w:customStyle="1" w:styleId="Version">
    <w:name w:val="Version"/>
    <w:rsid w:val="00413A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3AAD"/>
    <w:pPr>
      <w:keepNext w:val="0"/>
      <w:tabs>
        <w:tab w:val="right" w:pos="4176"/>
      </w:tabs>
      <w:ind w:left="198" w:hanging="198"/>
    </w:pPr>
    <w:rPr>
      <w:rFonts w:ascii="Garamond" w:hAnsi="Garamond"/>
    </w:rPr>
  </w:style>
  <w:style w:type="paragraph" w:styleId="IndexHeading">
    <w:name w:val="index heading"/>
    <w:basedOn w:val="Normal"/>
    <w:next w:val="Index1"/>
    <w:semiHidden/>
    <w:rsid w:val="00413AAD"/>
    <w:pPr>
      <w:spacing w:before="120" w:after="120"/>
    </w:pPr>
    <w:rPr>
      <w:rFonts w:ascii="Arial" w:hAnsi="Arial"/>
      <w:b/>
      <w:color w:val="918585"/>
      <w:sz w:val="24"/>
    </w:rPr>
  </w:style>
  <w:style w:type="paragraph" w:customStyle="1" w:styleId="Chapter">
    <w:name w:val="Chapter"/>
    <w:basedOn w:val="Normal"/>
    <w:rsid w:val="00413AAD"/>
    <w:pPr>
      <w:spacing w:before="240"/>
    </w:pPr>
    <w:rPr>
      <w:rFonts w:ascii="Times New Roman" w:hAnsi="Times New Roman"/>
      <w:smallCaps/>
      <w:spacing w:val="80"/>
      <w:sz w:val="28"/>
    </w:rPr>
  </w:style>
  <w:style w:type="paragraph" w:customStyle="1" w:styleId="InChapter">
    <w:name w:val="InChapter"/>
    <w:basedOn w:val="Heading3"/>
    <w:rsid w:val="00413AAD"/>
    <w:pPr>
      <w:spacing w:after="240"/>
      <w:outlineLvl w:val="9"/>
    </w:pPr>
    <w:rPr>
      <w:noProof/>
    </w:rPr>
  </w:style>
  <w:style w:type="paragraph" w:styleId="Index2">
    <w:name w:val="index 2"/>
    <w:basedOn w:val="Normal"/>
    <w:next w:val="Normal"/>
    <w:semiHidden/>
    <w:rsid w:val="00413AAD"/>
    <w:pPr>
      <w:tabs>
        <w:tab w:val="right" w:pos="4176"/>
      </w:tabs>
      <w:ind w:left="568" w:hanging="284"/>
    </w:pPr>
    <w:rPr>
      <w:rFonts w:ascii="Garamond" w:hAnsi="Garamond"/>
    </w:rPr>
  </w:style>
  <w:style w:type="paragraph" w:customStyle="1" w:styleId="Byline">
    <w:name w:val="Byline"/>
    <w:rsid w:val="00413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AAD"/>
    <w:pPr>
      <w:tabs>
        <w:tab w:val="clear" w:pos="3600"/>
        <w:tab w:val="clear" w:pos="3958"/>
      </w:tabs>
      <w:jc w:val="right"/>
    </w:pPr>
  </w:style>
  <w:style w:type="character" w:styleId="Emphasis">
    <w:name w:val="Emphasis"/>
    <w:basedOn w:val="DefaultParagraphFont"/>
    <w:qFormat/>
    <w:rsid w:val="00413AAD"/>
    <w:rPr>
      <w:i/>
    </w:rPr>
  </w:style>
  <w:style w:type="paragraph" w:styleId="Caption">
    <w:name w:val="caption"/>
    <w:basedOn w:val="BodyText"/>
    <w:next w:val="Normal"/>
    <w:qFormat/>
    <w:rsid w:val="00413AAD"/>
    <w:pPr>
      <w:framePr w:w="2268" w:hSpace="181" w:vSpace="181" w:wrap="around" w:vAnchor="text" w:hAnchor="page" w:x="1135" w:y="285" w:anchorLock="1"/>
    </w:pPr>
    <w:rPr>
      <w:i/>
    </w:rPr>
  </w:style>
  <w:style w:type="paragraph" w:customStyle="1" w:styleId="MiniTOCTitle">
    <w:name w:val="MiniTOCTitle"/>
    <w:basedOn w:val="Heading4"/>
    <w:rsid w:val="00413AAD"/>
    <w:pPr>
      <w:spacing w:before="240"/>
      <w:outlineLvl w:val="9"/>
    </w:pPr>
    <w:rPr>
      <w:noProof/>
      <w:sz w:val="24"/>
    </w:rPr>
  </w:style>
  <w:style w:type="paragraph" w:customStyle="1" w:styleId="MiniTOCItem">
    <w:name w:val="MiniTOCItem"/>
    <w:basedOn w:val="ListBullet"/>
    <w:rsid w:val="00413AAD"/>
    <w:pPr>
      <w:numPr>
        <w:numId w:val="0"/>
      </w:numPr>
      <w:tabs>
        <w:tab w:val="right" w:leader="dot" w:pos="6521"/>
      </w:tabs>
      <w:spacing w:before="0" w:after="0"/>
    </w:pPr>
  </w:style>
  <w:style w:type="paragraph" w:customStyle="1" w:styleId="TOFTitle">
    <w:name w:val="TOFTitle"/>
    <w:basedOn w:val="TOCTitle"/>
    <w:rsid w:val="00413AAD"/>
  </w:style>
  <w:style w:type="paragraph" w:styleId="TableofFigures">
    <w:name w:val="table of figures"/>
    <w:basedOn w:val="Normal"/>
    <w:next w:val="Normal"/>
    <w:semiHidden/>
    <w:rsid w:val="00413AAD"/>
    <w:pPr>
      <w:tabs>
        <w:tab w:val="right" w:leader="dot" w:pos="9072"/>
      </w:tabs>
      <w:ind w:left="970" w:hanging="403"/>
    </w:pPr>
    <w:rPr>
      <w:rFonts w:ascii="Times New Roman" w:hAnsi="Times New Roman"/>
      <w:b/>
    </w:rPr>
  </w:style>
  <w:style w:type="paragraph" w:styleId="ListNumber">
    <w:name w:val="List Number"/>
    <w:basedOn w:val="List"/>
    <w:rsid w:val="00413AAD"/>
    <w:pPr>
      <w:numPr>
        <w:numId w:val="11"/>
      </w:numPr>
    </w:pPr>
  </w:style>
  <w:style w:type="character" w:customStyle="1" w:styleId="WingdingSymbols">
    <w:name w:val="Wingding Symbols"/>
    <w:rsid w:val="00413AAD"/>
    <w:rPr>
      <w:rFonts w:ascii="Wingdings" w:hAnsi="Wingdings"/>
    </w:rPr>
  </w:style>
  <w:style w:type="paragraph" w:customStyle="1" w:styleId="TableHeading">
    <w:name w:val="Table Heading"/>
    <w:basedOn w:val="HeadingBase"/>
    <w:rsid w:val="00413AAD"/>
    <w:pPr>
      <w:keepLines/>
      <w:pBdr>
        <w:bottom w:val="single" w:sz="6" w:space="1" w:color="918585"/>
      </w:pBdr>
      <w:spacing w:before="240"/>
    </w:pPr>
  </w:style>
  <w:style w:type="character" w:customStyle="1" w:styleId="HotSpot">
    <w:name w:val="HotSpot"/>
    <w:rsid w:val="00413AAD"/>
    <w:rPr>
      <w:color w:val="0033CC"/>
      <w:u w:val="none"/>
    </w:rPr>
  </w:style>
  <w:style w:type="paragraph" w:customStyle="1" w:styleId="BodyTextRight">
    <w:name w:val="Body Text Right"/>
    <w:basedOn w:val="BodyText"/>
    <w:rsid w:val="00413AAD"/>
    <w:pPr>
      <w:spacing w:before="0" w:after="0"/>
      <w:jc w:val="right"/>
    </w:pPr>
  </w:style>
  <w:style w:type="paragraph" w:styleId="Index3">
    <w:name w:val="index 3"/>
    <w:basedOn w:val="ListNumber2"/>
    <w:next w:val="Normal"/>
    <w:semiHidden/>
    <w:rsid w:val="00413AAD"/>
    <w:pPr>
      <w:numPr>
        <w:numId w:val="0"/>
      </w:numPr>
      <w:tabs>
        <w:tab w:val="right" w:leader="dot" w:pos="4176"/>
      </w:tabs>
    </w:pPr>
  </w:style>
  <w:style w:type="paragraph" w:styleId="ListNumber2">
    <w:name w:val="List Number 2"/>
    <w:basedOn w:val="List2"/>
    <w:rsid w:val="00413AAD"/>
    <w:pPr>
      <w:numPr>
        <w:numId w:val="10"/>
      </w:numPr>
      <w:tabs>
        <w:tab w:val="clear" w:pos="1060"/>
      </w:tabs>
    </w:pPr>
  </w:style>
  <w:style w:type="paragraph" w:customStyle="1" w:styleId="MarginNote">
    <w:name w:val="Margin Note"/>
    <w:basedOn w:val="BodyText"/>
    <w:rsid w:val="00413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A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3AAD"/>
    <w:rPr>
      <w:sz w:val="32"/>
    </w:rPr>
  </w:style>
  <w:style w:type="paragraph" w:customStyle="1" w:styleId="HeadingProcedure">
    <w:name w:val="Heading Procedure"/>
    <w:basedOn w:val="HeadingBase"/>
    <w:next w:val="Normal"/>
    <w:rsid w:val="00413AAD"/>
    <w:pPr>
      <w:tabs>
        <w:tab w:val="left" w:pos="0"/>
      </w:tabs>
      <w:spacing w:before="120" w:after="60"/>
    </w:pPr>
    <w:rPr>
      <w:i/>
      <w:color w:val="918585"/>
      <w:sz w:val="22"/>
    </w:rPr>
  </w:style>
  <w:style w:type="paragraph" w:customStyle="1" w:styleId="TableBodyText">
    <w:name w:val="Table Body Text"/>
    <w:basedOn w:val="BodyText"/>
    <w:rsid w:val="00413AAD"/>
    <w:pPr>
      <w:spacing w:before="60" w:after="60"/>
    </w:pPr>
  </w:style>
  <w:style w:type="paragraph" w:styleId="ListContinue">
    <w:name w:val="List Continue"/>
    <w:basedOn w:val="List"/>
    <w:rsid w:val="00413AAD"/>
    <w:pPr>
      <w:ind w:firstLine="0"/>
    </w:pPr>
  </w:style>
  <w:style w:type="paragraph" w:customStyle="1" w:styleId="ListNote">
    <w:name w:val="List Note"/>
    <w:basedOn w:val="List"/>
    <w:rsid w:val="00413AAD"/>
    <w:pPr>
      <w:pBdr>
        <w:top w:val="single" w:sz="6" w:space="2" w:color="918585"/>
        <w:bottom w:val="single" w:sz="6" w:space="2" w:color="918585"/>
      </w:pBdr>
      <w:tabs>
        <w:tab w:val="left" w:pos="1021"/>
      </w:tabs>
      <w:ind w:firstLine="0"/>
    </w:pPr>
  </w:style>
  <w:style w:type="paragraph" w:customStyle="1" w:styleId="Warning">
    <w:name w:val="Warning"/>
    <w:basedOn w:val="BodyText"/>
    <w:rsid w:val="00413AAD"/>
    <w:pPr>
      <w:shd w:val="clear" w:color="auto" w:fill="D9D9D9"/>
      <w:tabs>
        <w:tab w:val="left" w:pos="992"/>
      </w:tabs>
      <w:ind w:left="119" w:right="119"/>
    </w:pPr>
    <w:rPr>
      <w:sz w:val="20"/>
    </w:rPr>
  </w:style>
  <w:style w:type="paragraph" w:customStyle="1" w:styleId="MarginIcons">
    <w:name w:val="Margin Icons"/>
    <w:basedOn w:val="BodyText"/>
    <w:rsid w:val="00413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AAD"/>
    <w:rPr>
      <w:rFonts w:ascii="Courier New" w:hAnsi="Courier New"/>
    </w:rPr>
  </w:style>
  <w:style w:type="paragraph" w:customStyle="1" w:styleId="NoteBullet">
    <w:name w:val="Note Bullet"/>
    <w:basedOn w:val="Note"/>
    <w:rsid w:val="00413AAD"/>
    <w:pPr>
      <w:tabs>
        <w:tab w:val="clear" w:pos="680"/>
      </w:tabs>
      <w:spacing w:before="60" w:after="60"/>
    </w:pPr>
  </w:style>
  <w:style w:type="paragraph" w:customStyle="1" w:styleId="SubHeading2">
    <w:name w:val="SubHeading2"/>
    <w:basedOn w:val="HeadingBase"/>
    <w:rsid w:val="00413AAD"/>
    <w:pPr>
      <w:spacing w:before="240" w:after="60"/>
    </w:pPr>
    <w:rPr>
      <w:sz w:val="20"/>
    </w:rPr>
  </w:style>
  <w:style w:type="paragraph" w:customStyle="1" w:styleId="SubHeading1">
    <w:name w:val="SubHeading1"/>
    <w:basedOn w:val="HeadingBase"/>
    <w:rsid w:val="00413AAD"/>
    <w:pPr>
      <w:spacing w:before="240" w:after="60"/>
    </w:pPr>
    <w:rPr>
      <w:color w:val="918585"/>
      <w:sz w:val="22"/>
    </w:rPr>
  </w:style>
  <w:style w:type="paragraph" w:customStyle="1" w:styleId="SideHeading">
    <w:name w:val="Side Heading"/>
    <w:basedOn w:val="HeadingBase"/>
    <w:rsid w:val="00413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AAD"/>
    <w:pPr>
      <w:numPr>
        <w:numId w:val="12"/>
      </w:numPr>
    </w:pPr>
  </w:style>
  <w:style w:type="paragraph" w:styleId="PlainText">
    <w:name w:val="Plain Text"/>
    <w:basedOn w:val="Normal"/>
    <w:link w:val="PlainTextChar"/>
    <w:rsid w:val="00413AAD"/>
    <w:rPr>
      <w:sz w:val="20"/>
    </w:rPr>
  </w:style>
  <w:style w:type="character" w:customStyle="1" w:styleId="PlainTextChar">
    <w:name w:val="Plain Text Char"/>
    <w:basedOn w:val="DefaultParagraphFont"/>
    <w:link w:val="PlainText"/>
    <w:rsid w:val="00413A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3AAD"/>
    <w:rPr>
      <w:b/>
      <w:smallCaps/>
    </w:rPr>
  </w:style>
  <w:style w:type="paragraph" w:customStyle="1" w:styleId="TableListNumber">
    <w:name w:val="Table List Number"/>
    <w:basedOn w:val="ListNumber"/>
    <w:rsid w:val="00413AAD"/>
    <w:pPr>
      <w:numPr>
        <w:numId w:val="0"/>
      </w:numPr>
    </w:pPr>
  </w:style>
  <w:style w:type="paragraph" w:styleId="TOC4">
    <w:name w:val="toc 4"/>
    <w:basedOn w:val="TOCBase"/>
    <w:next w:val="Normal"/>
    <w:semiHidden/>
    <w:rsid w:val="00413AAD"/>
    <w:pPr>
      <w:tabs>
        <w:tab w:val="right" w:leader="dot" w:pos="9071"/>
      </w:tabs>
      <w:ind w:left="1701"/>
    </w:pPr>
  </w:style>
  <w:style w:type="paragraph" w:customStyle="1" w:styleId="ListAlpha">
    <w:name w:val="List Alpha"/>
    <w:basedOn w:val="List"/>
    <w:rsid w:val="00413AAD"/>
    <w:pPr>
      <w:numPr>
        <w:numId w:val="9"/>
      </w:numPr>
    </w:pPr>
  </w:style>
  <w:style w:type="paragraph" w:customStyle="1" w:styleId="ListAlpha2">
    <w:name w:val="List Alpha 2"/>
    <w:basedOn w:val="List2"/>
    <w:rsid w:val="00413AAD"/>
    <w:pPr>
      <w:numPr>
        <w:numId w:val="8"/>
      </w:numPr>
    </w:pPr>
  </w:style>
  <w:style w:type="paragraph" w:styleId="List2">
    <w:name w:val="List 2"/>
    <w:basedOn w:val="BodyText"/>
    <w:rsid w:val="00413AAD"/>
    <w:pPr>
      <w:tabs>
        <w:tab w:val="left" w:pos="680"/>
      </w:tabs>
      <w:spacing w:before="60" w:after="60"/>
      <w:ind w:left="680" w:hanging="340"/>
    </w:pPr>
  </w:style>
  <w:style w:type="paragraph" w:styleId="List3">
    <w:name w:val="List 3"/>
    <w:basedOn w:val="BodyText"/>
    <w:rsid w:val="00413AAD"/>
    <w:pPr>
      <w:tabs>
        <w:tab w:val="left" w:pos="1021"/>
      </w:tabs>
      <w:spacing w:before="60" w:after="60"/>
      <w:ind w:left="1020" w:hanging="340"/>
    </w:pPr>
  </w:style>
  <w:style w:type="paragraph" w:styleId="List4">
    <w:name w:val="List 4"/>
    <w:basedOn w:val="BodyText"/>
    <w:rsid w:val="00413AAD"/>
    <w:pPr>
      <w:tabs>
        <w:tab w:val="left" w:pos="1361"/>
      </w:tabs>
      <w:spacing w:before="60" w:after="60"/>
      <w:ind w:left="1361" w:hanging="340"/>
    </w:pPr>
  </w:style>
  <w:style w:type="paragraph" w:styleId="List5">
    <w:name w:val="List 5"/>
    <w:basedOn w:val="BodyText"/>
    <w:rsid w:val="00413AAD"/>
    <w:pPr>
      <w:tabs>
        <w:tab w:val="left" w:pos="1701"/>
      </w:tabs>
      <w:spacing w:before="60" w:after="60"/>
      <w:ind w:left="1701" w:hanging="340"/>
    </w:pPr>
  </w:style>
  <w:style w:type="paragraph" w:styleId="ListBullet3">
    <w:name w:val="List Bullet 3"/>
    <w:basedOn w:val="List3"/>
    <w:rsid w:val="00413AAD"/>
    <w:pPr>
      <w:numPr>
        <w:numId w:val="15"/>
      </w:numPr>
      <w:tabs>
        <w:tab w:val="clear" w:pos="1021"/>
      </w:tabs>
      <w:ind w:left="1037" w:hanging="357"/>
    </w:pPr>
  </w:style>
  <w:style w:type="paragraph" w:styleId="ListBullet4">
    <w:name w:val="List Bullet 4"/>
    <w:basedOn w:val="List4"/>
    <w:rsid w:val="00413AAD"/>
    <w:pPr>
      <w:numPr>
        <w:numId w:val="3"/>
      </w:numPr>
    </w:pPr>
  </w:style>
  <w:style w:type="paragraph" w:styleId="ListBullet5">
    <w:name w:val="List Bullet 5"/>
    <w:basedOn w:val="List5"/>
    <w:rsid w:val="00413AAD"/>
    <w:pPr>
      <w:numPr>
        <w:numId w:val="4"/>
      </w:numPr>
    </w:pPr>
  </w:style>
  <w:style w:type="paragraph" w:styleId="ListContinue2">
    <w:name w:val="List Continue 2"/>
    <w:basedOn w:val="List2"/>
    <w:rsid w:val="00413AAD"/>
    <w:pPr>
      <w:ind w:firstLine="0"/>
    </w:pPr>
  </w:style>
  <w:style w:type="paragraph" w:styleId="ListContinue3">
    <w:name w:val="List Continue 3"/>
    <w:basedOn w:val="List3"/>
    <w:rsid w:val="00413AAD"/>
    <w:pPr>
      <w:ind w:left="1021" w:firstLine="0"/>
    </w:pPr>
  </w:style>
  <w:style w:type="paragraph" w:styleId="ListContinue4">
    <w:name w:val="List Continue 4"/>
    <w:basedOn w:val="List4"/>
    <w:rsid w:val="00413AAD"/>
    <w:pPr>
      <w:ind w:firstLine="0"/>
    </w:pPr>
  </w:style>
  <w:style w:type="paragraph" w:styleId="ListContinue5">
    <w:name w:val="List Continue 5"/>
    <w:basedOn w:val="List5"/>
    <w:rsid w:val="00413AAD"/>
    <w:pPr>
      <w:ind w:firstLine="0"/>
    </w:pPr>
  </w:style>
  <w:style w:type="paragraph" w:styleId="ListNumber3">
    <w:name w:val="List Number 3"/>
    <w:basedOn w:val="List3"/>
    <w:rsid w:val="00413AAD"/>
    <w:pPr>
      <w:numPr>
        <w:numId w:val="5"/>
      </w:numPr>
    </w:pPr>
  </w:style>
  <w:style w:type="paragraph" w:styleId="ListNumber4">
    <w:name w:val="List Number 4"/>
    <w:basedOn w:val="List4"/>
    <w:rsid w:val="00413AAD"/>
    <w:pPr>
      <w:numPr>
        <w:numId w:val="6"/>
      </w:numPr>
    </w:pPr>
  </w:style>
  <w:style w:type="paragraph" w:styleId="ListNumber5">
    <w:name w:val="List Number 5"/>
    <w:basedOn w:val="List5"/>
    <w:rsid w:val="00413AAD"/>
    <w:pPr>
      <w:numPr>
        <w:numId w:val="7"/>
      </w:numPr>
    </w:pPr>
  </w:style>
  <w:style w:type="paragraph" w:styleId="BlockText">
    <w:name w:val="Block Text"/>
    <w:basedOn w:val="Normal"/>
    <w:rsid w:val="00413AAD"/>
    <w:pPr>
      <w:spacing w:after="120"/>
      <w:ind w:left="1440" w:right="1440"/>
    </w:pPr>
  </w:style>
  <w:style w:type="character" w:customStyle="1" w:styleId="Subscript">
    <w:name w:val="Subscript"/>
    <w:basedOn w:val="DefaultParagraphFont"/>
    <w:rsid w:val="00413AAD"/>
    <w:rPr>
      <w:sz w:val="16"/>
      <w:vertAlign w:val="subscript"/>
    </w:rPr>
  </w:style>
  <w:style w:type="character" w:customStyle="1" w:styleId="Superscript">
    <w:name w:val="Superscript"/>
    <w:basedOn w:val="DefaultParagraphFont"/>
    <w:rsid w:val="00413AAD"/>
    <w:rPr>
      <w:sz w:val="16"/>
      <w:vertAlign w:val="superscript"/>
    </w:rPr>
  </w:style>
  <w:style w:type="character" w:customStyle="1" w:styleId="Symbols">
    <w:name w:val="Symbols"/>
    <w:basedOn w:val="DefaultParagraphFont"/>
    <w:rsid w:val="00413AAD"/>
    <w:rPr>
      <w:rFonts w:ascii="Symbol" w:hAnsi="Symbol"/>
    </w:rPr>
  </w:style>
  <w:style w:type="character" w:customStyle="1" w:styleId="MenuOptions">
    <w:name w:val="Menu Options"/>
    <w:basedOn w:val="DefaultParagraphFont"/>
    <w:rsid w:val="00413AAD"/>
    <w:rPr>
      <w:rFonts w:ascii="Arial Narrow" w:hAnsi="Arial Narrow"/>
      <w:smallCaps/>
    </w:rPr>
  </w:style>
  <w:style w:type="character" w:customStyle="1" w:styleId="Buttons">
    <w:name w:val="Buttons"/>
    <w:basedOn w:val="DefaultParagraphFont"/>
    <w:rsid w:val="00413AAD"/>
    <w:rPr>
      <w:b/>
    </w:rPr>
  </w:style>
  <w:style w:type="character" w:customStyle="1" w:styleId="Underlined">
    <w:name w:val="Underlined"/>
    <w:basedOn w:val="DefaultParagraphFont"/>
    <w:rsid w:val="00413AAD"/>
    <w:rPr>
      <w:u w:val="single"/>
    </w:rPr>
  </w:style>
  <w:style w:type="paragraph" w:customStyle="1" w:styleId="TableBodyTextRight">
    <w:name w:val="Table Body Text Right"/>
    <w:basedOn w:val="TableBodyText"/>
    <w:rsid w:val="00413AAD"/>
    <w:pPr>
      <w:widowControl w:val="0"/>
      <w:autoSpaceDE w:val="0"/>
      <w:autoSpaceDN w:val="0"/>
      <w:adjustRightInd w:val="0"/>
      <w:jc w:val="right"/>
    </w:pPr>
    <w:rPr>
      <w:rFonts w:cs="Arial"/>
      <w:szCs w:val="18"/>
    </w:rPr>
  </w:style>
  <w:style w:type="paragraph" w:customStyle="1" w:styleId="CopyrightText">
    <w:name w:val="Copyright Text"/>
    <w:basedOn w:val="BodyText"/>
    <w:rsid w:val="00413AAD"/>
    <w:rPr>
      <w:sz w:val="18"/>
    </w:rPr>
  </w:style>
  <w:style w:type="paragraph" w:customStyle="1" w:styleId="BodySmallRight">
    <w:name w:val="Body Small Right"/>
    <w:basedOn w:val="BodyTextRight"/>
    <w:rsid w:val="00413AAD"/>
    <w:rPr>
      <w:sz w:val="18"/>
      <w:szCs w:val="18"/>
    </w:rPr>
  </w:style>
  <w:style w:type="paragraph" w:customStyle="1" w:styleId="MarginEdition">
    <w:name w:val="Margin Edition"/>
    <w:basedOn w:val="MarginNote"/>
    <w:rsid w:val="00413AAD"/>
    <w:pPr>
      <w:spacing w:before="0" w:after="0"/>
    </w:pPr>
    <w:rPr>
      <w:rFonts w:ascii="Times New Roman" w:hAnsi="Times New Roman"/>
      <w:color w:val="999999"/>
    </w:rPr>
  </w:style>
  <w:style w:type="paragraph" w:customStyle="1" w:styleId="Spacer">
    <w:name w:val="Spacer"/>
    <w:basedOn w:val="Normal"/>
    <w:rsid w:val="00413AAD"/>
    <w:rPr>
      <w:sz w:val="2"/>
      <w:szCs w:val="2"/>
    </w:rPr>
  </w:style>
  <w:style w:type="character" w:customStyle="1" w:styleId="Small">
    <w:name w:val="Small"/>
    <w:basedOn w:val="DefaultParagraphFont"/>
    <w:rsid w:val="00413AAD"/>
    <w:rPr>
      <w:sz w:val="16"/>
    </w:rPr>
  </w:style>
  <w:style w:type="paragraph" w:customStyle="1" w:styleId="WideTable">
    <w:name w:val="Wide Table"/>
    <w:basedOn w:val="Normal"/>
    <w:rsid w:val="00413AAD"/>
    <w:pPr>
      <w:ind w:left="-1418"/>
    </w:pPr>
    <w:rPr>
      <w:sz w:val="2"/>
      <w:szCs w:val="2"/>
    </w:rPr>
  </w:style>
  <w:style w:type="character" w:styleId="PageNumber">
    <w:name w:val="page number"/>
    <w:basedOn w:val="DefaultParagraphFont"/>
    <w:rsid w:val="00413AAD"/>
  </w:style>
  <w:style w:type="paragraph" w:styleId="Quote">
    <w:name w:val="Quote"/>
    <w:basedOn w:val="Heading1"/>
    <w:link w:val="QuoteChar"/>
    <w:qFormat/>
    <w:rsid w:val="00413AAD"/>
    <w:rPr>
      <w:b w:val="0"/>
      <w:sz w:val="72"/>
      <w:szCs w:val="72"/>
      <w:lang w:val="en-NZ"/>
    </w:rPr>
  </w:style>
  <w:style w:type="character" w:customStyle="1" w:styleId="QuoteChar">
    <w:name w:val="Quote Char"/>
    <w:basedOn w:val="DefaultParagraphFont"/>
    <w:link w:val="Quote"/>
    <w:rsid w:val="00413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AAD"/>
    <w:pPr>
      <w:pageBreakBefore/>
    </w:pPr>
  </w:style>
  <w:style w:type="paragraph" w:customStyle="1" w:styleId="Border">
    <w:name w:val="Border"/>
    <w:basedOn w:val="Normal"/>
    <w:qFormat/>
    <w:rsid w:val="00413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AAD"/>
    <w:rPr>
      <w:b/>
      <w:bCs/>
      <w:i/>
      <w:iCs/>
      <w:color w:val="auto"/>
    </w:rPr>
  </w:style>
  <w:style w:type="paragraph" w:styleId="IntenseQuote">
    <w:name w:val="Intense Quote"/>
    <w:basedOn w:val="Normal"/>
    <w:next w:val="Normal"/>
    <w:link w:val="IntenseQuoteChar"/>
    <w:uiPriority w:val="30"/>
    <w:qFormat/>
    <w:rsid w:val="00413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A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3AAD"/>
    <w:rPr>
      <w:smallCaps/>
      <w:color w:val="auto"/>
      <w:u w:val="single"/>
    </w:rPr>
  </w:style>
  <w:style w:type="character" w:styleId="IntenseReference">
    <w:name w:val="Intense Reference"/>
    <w:basedOn w:val="DefaultParagraphFont"/>
    <w:uiPriority w:val="32"/>
    <w:qFormat/>
    <w:rsid w:val="00413AAD"/>
    <w:rPr>
      <w:b/>
      <w:bCs/>
      <w:smallCaps/>
      <w:color w:val="auto"/>
      <w:spacing w:val="5"/>
      <w:u w:val="single"/>
    </w:rPr>
  </w:style>
  <w:style w:type="paragraph" w:customStyle="1" w:styleId="2ColumnHeading">
    <w:name w:val="2Column Heading"/>
    <w:basedOn w:val="BodyText"/>
    <w:qFormat/>
    <w:rsid w:val="00413AAD"/>
    <w:pPr>
      <w:spacing w:after="60"/>
      <w:ind w:left="-2268"/>
    </w:pPr>
    <w:rPr>
      <w:b/>
    </w:rPr>
  </w:style>
  <w:style w:type="paragraph" w:customStyle="1" w:styleId="Heading1TOC">
    <w:name w:val="Heading1 TOC"/>
    <w:basedOn w:val="Normal"/>
    <w:qFormat/>
    <w:rsid w:val="00413AAD"/>
    <w:pPr>
      <w:spacing w:before="240" w:after="120"/>
    </w:pPr>
    <w:rPr>
      <w:rFonts w:ascii="Times New Roman" w:hAnsi="Times New Roman"/>
      <w:b/>
      <w:sz w:val="32"/>
    </w:rPr>
  </w:style>
  <w:style w:type="paragraph" w:customStyle="1" w:styleId="Heading2TOC">
    <w:name w:val="Heading2 TOC"/>
    <w:basedOn w:val="Normal"/>
    <w:qFormat/>
    <w:rsid w:val="00413AAD"/>
    <w:pPr>
      <w:spacing w:before="240" w:after="60"/>
    </w:pPr>
    <w:rPr>
      <w:rFonts w:ascii="Times New Roman" w:hAnsi="Times New Roman"/>
      <w:b/>
      <w:sz w:val="28"/>
    </w:rPr>
  </w:style>
  <w:style w:type="character" w:customStyle="1" w:styleId="Underline">
    <w:name w:val="Underline"/>
    <w:basedOn w:val="DefaultParagraphFont"/>
    <w:qFormat/>
    <w:rsid w:val="00413AAD"/>
    <w:rPr>
      <w:u w:val="single"/>
    </w:rPr>
  </w:style>
  <w:style w:type="character" w:customStyle="1" w:styleId="BoldandItalics">
    <w:name w:val="Bold and Italics"/>
    <w:qFormat/>
    <w:rsid w:val="00413AAD"/>
    <w:rPr>
      <w:b/>
      <w:i/>
      <w:u w:val="none"/>
    </w:rPr>
  </w:style>
  <w:style w:type="paragraph" w:styleId="BalloonText">
    <w:name w:val="Balloon Text"/>
    <w:basedOn w:val="Normal"/>
    <w:link w:val="BalloonTextChar"/>
    <w:rsid w:val="00413AAD"/>
    <w:rPr>
      <w:rFonts w:ascii="Tahoma" w:hAnsi="Tahoma" w:cs="Tahoma"/>
      <w:sz w:val="16"/>
      <w:szCs w:val="16"/>
    </w:rPr>
  </w:style>
  <w:style w:type="character" w:customStyle="1" w:styleId="BalloonTextChar">
    <w:name w:val="Balloon Text Char"/>
    <w:basedOn w:val="DefaultParagraphFont"/>
    <w:link w:val="BalloonText"/>
    <w:rsid w:val="00413A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3A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3A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2417</Words>
  <Characters>14505</Characters>
  <Application>Microsoft Office Word</Application>
  <DocSecurity>0</DocSecurity>
  <Lines>639</Lines>
  <Paragraphs>242</Paragraphs>
  <ScaleCrop>false</ScaleCrop>
  <Company>Author-it Software Corporation Ltd.</Company>
  <LinksUpToDate>false</LinksUpToDate>
  <CharactersWithSpaces>16717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UEGNSG306B Pipeline pigging in gas transmission pipeline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2012-05-26T22:06:00Z</dcterms:created>
  <dcterms:modified xsi:type="dcterms:W3CDTF">2012-05-26T22:06:00Z</dcterms:modified>
</cp:coreProperties>
</file>