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B85" w:rsidP="001E0B85">
      <w:pPr>
        <w:pStyle w:val="Title"/>
      </w:pPr>
      <w:r>
        <w:fldChar w:fldCharType="begin"/>
      </w:r>
      <w:r>
        <w:instrText xml:space="preserve"> TITLE   \* MERGEFORMAT </w:instrText>
      </w:r>
      <w:r>
        <w:fldChar w:fldCharType="separate"/>
      </w:r>
      <w:r>
        <w:t>UEGNSG228A Construct and lay large copper gas distribution pipelines</w:t>
      </w:r>
      <w:r>
        <w:fldChar w:fldCharType="end"/>
      </w:r>
    </w:p>
    <w:p w:rsidR="001E0B85" w:rsidP="001E0B85">
      <w:pPr>
        <w:pStyle w:val="Version"/>
        <w:sectPr w:rsidSect="007511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111A" w:rsidP="0075111A">
      <w:pPr>
        <w:pStyle w:val="SuperHeading"/>
      </w:pPr>
      <w:r w:rsidRPr="0075111A">
        <w:t>UEGNSG228A Construct and lay large copper gas distribution pipelines</w:t>
      </w:r>
    </w:p>
    <w:p w:rsidR="00000000" w:rsidRPr="0075111A" w:rsidP="0075111A">
      <w:pPr>
        <w:pStyle w:val="Heading1"/>
      </w:pPr>
      <w:bookmarkStart w:id="1" w:name="O_611898"/>
      <w:bookmarkEnd w:id="1"/>
      <w:r w:rsidRPr="0075111A">
        <w:t>Modification History</w:t>
      </w:r>
    </w:p>
    <w:p w:rsidR="00000000" w:rsidRPr="0075111A" w:rsidP="0075111A">
      <w:pPr>
        <w:pStyle w:val="BodyText"/>
      </w:pPr>
      <w:r w:rsidRPr="0075111A">
        <w:t>Not applicable.</w:t>
      </w:r>
    </w:p>
    <w:p w:rsidR="00000000" w:rsidRPr="0075111A" w:rsidP="0075111A">
      <w:pPr>
        <w:pStyle w:val="AllowPageBreak"/>
      </w:pPr>
    </w:p>
    <w:p w:rsidR="00000000" w:rsidRPr="0075111A" w:rsidP="0075111A">
      <w:pPr>
        <w:pStyle w:val="Heading1"/>
      </w:pPr>
      <w:bookmarkStart w:id="2" w:name="O_611899"/>
      <w:bookmarkEnd w:id="2"/>
      <w:r w:rsidRPr="0075111A">
        <w:t>Unit Descriptor</w:t>
      </w:r>
    </w:p>
    <w:tbl>
      <w:tblPr>
        <w:tblW w:w="0" w:type="auto"/>
        <w:tblLayout w:type="fixed"/>
        <w:tblCellMar>
          <w:left w:w="62" w:type="dxa"/>
          <w:right w:w="62" w:type="dxa"/>
        </w:tblCellMar>
        <w:tblLook w:val="0000"/>
      </w:tblPr>
      <w:tblGrid>
        <w:gridCol w:w="2576"/>
        <w:gridCol w:w="5760"/>
      </w:tblGrid>
      <w:tr w:rsidTr="0075111A">
        <w:tblPrEx>
          <w:tblW w:w="0" w:type="auto"/>
          <w:tblLayout w:type="fixed"/>
          <w:tblCellMar>
            <w:left w:w="62" w:type="dxa"/>
            <w:right w:w="62" w:type="dxa"/>
          </w:tblCellMar>
          <w:tblLook w:val="0000"/>
        </w:tblPrEx>
        <w:trPr>
          <w:trHeight w:val="331"/>
          <w:tblHeader/>
        </w:trPr>
        <w:tc>
          <w:tcPr>
            <w:tcW w:w="2576"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1) Scope:</w:t>
            </w:r>
          </w:p>
        </w:tc>
      </w:tr>
      <w:tr w:rsidTr="0075111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75111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1.1) Descriptor</w:t>
            </w:r>
          </w:p>
        </w:tc>
      </w:tr>
      <w:tr w:rsidTr="0075111A">
        <w:tblPrEx>
          <w:tblW w:w="0" w:type="auto"/>
          <w:tblLayout w:type="fixed"/>
          <w:tblCellMar>
            <w:left w:w="62" w:type="dxa"/>
            <w:right w:w="62" w:type="dxa"/>
          </w:tblCellMar>
          <w:tblLook w:val="0000"/>
        </w:tblPrEx>
        <w:trPr>
          <w:trHeight w:val="361"/>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 xml:space="preserve">This unit covers excavated bed preparation and the construction and laying of copper gas distribution pipelines and services above 20mm diameter.  </w:t>
            </w:r>
          </w:p>
          <w:p w:rsidR="00000000" w:rsidRPr="0075111A" w:rsidP="0075111A">
            <w:pPr>
              <w:pStyle w:val="BodyText"/>
            </w:pPr>
          </w:p>
          <w:p w:rsidR="00000000" w:rsidRPr="0075111A" w:rsidP="0075111A">
            <w:pPr>
              <w:pStyle w:val="BodyText"/>
            </w:pPr>
            <w:r w:rsidRPr="0075111A">
              <w:t xml:space="preserve">This encompasses includes the use of relevant tools and equipment, working safely using standard operating </w:t>
            </w:r>
            <w:r w:rsidRPr="0075111A">
              <w:t xml:space="preserve">procedures, complying with relevant legislative, standard and code requirements and completing necessary documentation. </w:t>
            </w:r>
          </w:p>
        </w:tc>
      </w:tr>
    </w:tbl>
    <w:p w:rsidR="001E0B85" w:rsidP="0075111A">
      <w:pPr>
        <w:pStyle w:val="BodyText"/>
      </w:pPr>
    </w:p>
    <w:p w:rsidR="001E0B85" w:rsidP="0075111A">
      <w:pPr>
        <w:pStyle w:val="BodyText"/>
      </w:pPr>
    </w:p>
    <w:p w:rsidR="00000000" w:rsidRPr="0075111A" w:rsidP="0075111A">
      <w:pPr>
        <w:pStyle w:val="Heading1"/>
      </w:pPr>
      <w:bookmarkStart w:id="3" w:name="O_611900"/>
      <w:bookmarkEnd w:id="3"/>
      <w:r w:rsidRPr="0075111A">
        <w:t>Application of the Unit</w:t>
      </w:r>
    </w:p>
    <w:tbl>
      <w:tblPr>
        <w:tblW w:w="0" w:type="auto"/>
        <w:tblLayout w:type="fixed"/>
        <w:tblCellMar>
          <w:left w:w="62" w:type="dxa"/>
          <w:right w:w="62" w:type="dxa"/>
        </w:tblCellMar>
        <w:tblLook w:val="0000"/>
      </w:tblPr>
      <w:tblGrid>
        <w:gridCol w:w="2548"/>
        <w:gridCol w:w="5699"/>
      </w:tblGrid>
      <w:tr w:rsidTr="0075111A">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2)</w:t>
            </w:r>
          </w:p>
        </w:tc>
      </w:tr>
      <w:tr w:rsidTr="0075111A">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This competency standard shall apply to any basic and safe work site where Gas Industry operations occur, subject to all Workplace  Health and Safety (WHS) / Occupational Health and Safety OHS) and duty of care requirements being met for the workplace.</w:t>
            </w:r>
          </w:p>
          <w:p w:rsidR="00000000" w:rsidRPr="0075111A" w:rsidP="0075111A">
            <w:pPr>
              <w:pStyle w:val="BodyText"/>
            </w:pPr>
          </w:p>
          <w:p w:rsidR="00000000" w:rsidRPr="0075111A" w:rsidP="0075111A">
            <w:pPr>
              <w:pStyle w:val="BodyText"/>
            </w:pPr>
            <w:r w:rsidRPr="0075111A">
              <w:t>Th</w:t>
            </w:r>
            <w:r w:rsidRPr="0075111A">
              <w:t>is unit is intended as an entry level AQF 3 competency for new entrants in the gas industry. It is suitable for employment-based programs under an approved contract of training.</w:t>
            </w:r>
          </w:p>
        </w:tc>
      </w:tr>
    </w:tbl>
    <w:p w:rsidR="001E0B85" w:rsidP="0075111A">
      <w:pPr>
        <w:pStyle w:val="BodyText"/>
      </w:pPr>
    </w:p>
    <w:p w:rsidR="001E0B85" w:rsidP="0075111A">
      <w:pPr>
        <w:pStyle w:val="BodyText"/>
      </w:pPr>
    </w:p>
    <w:p w:rsidR="00000000" w:rsidRPr="0075111A" w:rsidP="0075111A">
      <w:pPr>
        <w:pStyle w:val="Heading1"/>
      </w:pPr>
      <w:bookmarkStart w:id="4" w:name="O_611901"/>
      <w:bookmarkEnd w:id="4"/>
      <w:r w:rsidRPr="0075111A">
        <w:t>Licensing/Regulatory Information</w:t>
      </w:r>
    </w:p>
    <w:tbl>
      <w:tblPr>
        <w:tblW w:w="0" w:type="auto"/>
        <w:tblLayout w:type="fixed"/>
        <w:tblCellMar>
          <w:left w:w="62" w:type="dxa"/>
          <w:right w:w="62" w:type="dxa"/>
        </w:tblCellMar>
        <w:tblLook w:val="0000"/>
      </w:tblPr>
      <w:tblGrid>
        <w:gridCol w:w="2576"/>
        <w:gridCol w:w="5760"/>
      </w:tblGrid>
      <w:tr w:rsidTr="0075111A">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 xml:space="preserve">3) </w:t>
            </w:r>
          </w:p>
        </w:tc>
      </w:tr>
      <w:tr w:rsidTr="0075111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75111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 xml:space="preserve">During Training: </w:t>
            </w:r>
          </w:p>
          <w:p w:rsidR="00000000" w:rsidRPr="0075111A" w:rsidP="0075111A">
            <w:pPr>
              <w:pStyle w:val="BodyText"/>
            </w:pPr>
            <w:r w:rsidRPr="0075111A">
              <w:t xml:space="preserve">Competency development activities are subject to regulations directly related to licensing, Workplace health and safety and where applicable contracts of training such as apprenticeships. </w:t>
            </w:r>
          </w:p>
          <w:p w:rsidR="00000000" w:rsidRPr="0075111A" w:rsidP="0075111A">
            <w:pPr>
              <w:pStyle w:val="BodyText"/>
            </w:pPr>
          </w:p>
          <w:p w:rsidR="00000000" w:rsidRPr="0075111A" w:rsidP="0075111A">
            <w:pPr>
              <w:pStyle w:val="BodyText"/>
            </w:pPr>
            <w:r w:rsidRPr="0075111A">
              <w:rPr>
                <w:rStyle w:val="SpecialBold"/>
              </w:rPr>
              <w:t>In the workplace:</w:t>
            </w:r>
          </w:p>
          <w:p w:rsidR="00000000" w:rsidRPr="0075111A" w:rsidP="0075111A">
            <w:pPr>
              <w:pStyle w:val="BodyText"/>
            </w:pPr>
            <w:r w:rsidRPr="0075111A">
              <w:t>The skills and knowledge desc</w:t>
            </w:r>
            <w:r w:rsidRPr="0075111A">
              <w:t xml:space="preserve">ribed in this unit are not subject to licence regulation other than those directly related to Workplace Health and Safety/Occupational Health and Safety, gas/electricity/water industry safety and compliance, industrial relations, environmental protection, </w:t>
            </w:r>
            <w:r w:rsidRPr="0075111A">
              <w:t xml:space="preserve">telecommunications, anti-discrimination and training. </w:t>
            </w:r>
          </w:p>
          <w:p w:rsidR="00000000" w:rsidRPr="0075111A" w:rsidP="0075111A">
            <w:pPr>
              <w:pStyle w:val="BodyText"/>
            </w:pPr>
          </w:p>
          <w:p w:rsidR="00000000" w:rsidRPr="0075111A" w:rsidP="0075111A">
            <w:pPr>
              <w:pStyle w:val="BodyText"/>
            </w:pPr>
            <w:r w:rsidRPr="0075111A">
              <w:t>Commonwealth, State/Territory or Local Government legislation and regulations may exist that limit the age at which a person can operate certain equipment. Other conditions may apply to this competenc</w:t>
            </w:r>
            <w:r w:rsidRPr="0075111A">
              <w:t>y under State and Territory legislative and regulatory requirements.</w:t>
            </w:r>
          </w:p>
        </w:tc>
      </w:tr>
    </w:tbl>
    <w:p w:rsidR="001E0B85" w:rsidP="0075111A">
      <w:pPr>
        <w:pStyle w:val="BodyText"/>
      </w:pPr>
    </w:p>
    <w:p w:rsidR="001E0B85" w:rsidP="0075111A">
      <w:pPr>
        <w:pStyle w:val="BodyText"/>
      </w:pPr>
    </w:p>
    <w:p w:rsidR="00000000" w:rsidRPr="0075111A" w:rsidP="0075111A">
      <w:pPr>
        <w:pStyle w:val="Heading1"/>
      </w:pPr>
      <w:bookmarkStart w:id="5" w:name="O_611902"/>
      <w:bookmarkEnd w:id="5"/>
      <w:r w:rsidRPr="0075111A">
        <w:t>Pre-Requisites</w:t>
      </w:r>
    </w:p>
    <w:tbl>
      <w:tblPr>
        <w:tblW w:w="0" w:type="auto"/>
        <w:tblLayout w:type="fixed"/>
        <w:tblCellMar>
          <w:left w:w="62" w:type="dxa"/>
          <w:right w:w="62" w:type="dxa"/>
        </w:tblCellMar>
        <w:tblLook w:val="0000"/>
      </w:tblPr>
      <w:tblGrid>
        <w:gridCol w:w="2610"/>
        <w:gridCol w:w="1766"/>
        <w:gridCol w:w="3960"/>
      </w:tblGrid>
      <w:tr w:rsidTr="0075111A">
        <w:tblPrEx>
          <w:tblW w:w="0" w:type="auto"/>
          <w:tblLayout w:type="fixed"/>
          <w:tblCellMar>
            <w:left w:w="62" w:type="dxa"/>
            <w:right w:w="62" w:type="dxa"/>
          </w:tblCellMar>
          <w:tblLook w:val="0000"/>
        </w:tblPrEx>
        <w:trPr>
          <w:tblHeader/>
        </w:trPr>
        <w:tc>
          <w:tcPr>
            <w:tcW w:w="261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Prerequisite Unit(s)</w:t>
            </w:r>
          </w:p>
        </w:tc>
        <w:tc>
          <w:tcPr>
            <w:tcW w:w="5726" w:type="dxa"/>
            <w:gridSpan w:val="2"/>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 xml:space="preserve">4) </w:t>
            </w:r>
          </w:p>
        </w:tc>
      </w:tr>
      <w:tr w:rsidTr="0075111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Competencies</w:t>
            </w:r>
          </w:p>
        </w:tc>
        <w:tc>
          <w:tcPr>
            <w:tcW w:w="5726" w:type="dxa"/>
            <w:gridSpan w:val="2"/>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4.1)</w:t>
            </w:r>
          </w:p>
        </w:tc>
      </w:tr>
      <w:tr w:rsidTr="0075111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6" w:type="dxa"/>
            <w:gridSpan w:val="2"/>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Granting of competency in this unit shall be made only after competency in the following unit(s) has/have been confirmed:</w:t>
            </w:r>
          </w:p>
        </w:tc>
      </w:tr>
      <w:tr w:rsidTr="0075111A">
        <w:tblPrEx>
          <w:tblW w:w="0" w:type="auto"/>
          <w:tblLayout w:type="fixed"/>
          <w:tblCellMar>
            <w:left w:w="62" w:type="dxa"/>
            <w:right w:w="62" w:type="dxa"/>
          </w:tblCellMar>
          <w:tblLook w:val="0000"/>
        </w:tblPrEx>
        <w:trPr>
          <w:trHeight w:val="963"/>
        </w:trPr>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UEGNSG141A</w:t>
            </w:r>
          </w:p>
        </w:tc>
        <w:tc>
          <w:tcPr>
            <w:tcW w:w="39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Apply Workplace Health and Safety regulations, codes and practices in the gas industry</w:t>
            </w:r>
          </w:p>
        </w:tc>
      </w:tr>
      <w:tr w:rsidTr="0075111A">
        <w:tblPrEx>
          <w:tblW w:w="0" w:type="auto"/>
          <w:tblLayout w:type="fixed"/>
          <w:tblCellMar>
            <w:left w:w="62" w:type="dxa"/>
            <w:right w:w="62" w:type="dxa"/>
          </w:tblCellMar>
          <w:tblLook w:val="0000"/>
        </w:tblPrEx>
        <w:trPr>
          <w:trHeight w:val="361"/>
        </w:trPr>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UEGNSG005A</w:t>
            </w:r>
          </w:p>
        </w:tc>
        <w:tc>
          <w:tcPr>
            <w:tcW w:w="39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Prepare to work in the Australian gas industry</w:t>
            </w:r>
          </w:p>
        </w:tc>
      </w:tr>
      <w:tr w:rsidTr="0075111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UEGNSG132A</w:t>
            </w:r>
          </w:p>
        </w:tc>
        <w:tc>
          <w:tcPr>
            <w:tcW w:w="39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Carry out basic work activities in a utilities industry work environment</w:t>
            </w:r>
          </w:p>
        </w:tc>
      </w:tr>
      <w:tr w:rsidTr="0075111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UEGNSG140A</w:t>
            </w:r>
          </w:p>
        </w:tc>
        <w:tc>
          <w:tcPr>
            <w:tcW w:w="39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 xml:space="preserve">Apply environmental policies and procedures in the utilities industry </w:t>
            </w:r>
          </w:p>
        </w:tc>
      </w:tr>
      <w:tr w:rsidTr="0075111A">
        <w:tblPrEx>
          <w:tblW w:w="0" w:type="auto"/>
          <w:tblLayout w:type="fixed"/>
          <w:tblCellMar>
            <w:left w:w="62" w:type="dxa"/>
            <w:right w:w="62" w:type="dxa"/>
          </w:tblCellMar>
          <w:tblLook w:val="0000"/>
        </w:tblPrEx>
        <w:trPr>
          <w:trHeight w:val="361"/>
        </w:trPr>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UEGNSG134A</w:t>
            </w:r>
          </w:p>
        </w:tc>
        <w:tc>
          <w:tcPr>
            <w:tcW w:w="39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Establish a utilities infrastructure work site</w:t>
            </w:r>
          </w:p>
        </w:tc>
      </w:tr>
    </w:tbl>
    <w:p w:rsidR="00000000" w:rsidRPr="0075111A" w:rsidP="0075111A">
      <w:pPr>
        <w:pStyle w:val="BodyText"/>
      </w:pPr>
    </w:p>
    <w:tbl>
      <w:tblPr>
        <w:tblW w:w="0" w:type="auto"/>
        <w:tblLayout w:type="fixed"/>
        <w:tblCellMar>
          <w:left w:w="62" w:type="dxa"/>
          <w:right w:w="62" w:type="dxa"/>
        </w:tblCellMar>
        <w:tblLook w:val="0000"/>
      </w:tblPr>
      <w:tblGrid>
        <w:gridCol w:w="2576"/>
        <w:gridCol w:w="1080"/>
        <w:gridCol w:w="810"/>
        <w:gridCol w:w="990"/>
        <w:gridCol w:w="900"/>
        <w:gridCol w:w="1260"/>
        <w:gridCol w:w="720"/>
      </w:tblGrid>
      <w:tr w:rsidTr="0075111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 xml:space="preserve">4.2) </w:t>
            </w:r>
          </w:p>
          <w:p w:rsidR="00000000" w:rsidP="0075111A">
            <w:pPr>
              <w:pStyle w:val="BodyText"/>
              <w:rPr>
                <w:lang w:val="en-NZ"/>
              </w:rPr>
            </w:pPr>
            <w:r w:rsidRPr="0075111A">
              <w:t xml:space="preserve">Participants are best equipped to achieve this unit if they have reading, writing and numeracy skills indicated by the following scales. Description of each scale is given </w:t>
            </w:r>
            <w:r w:rsidRPr="0075111A">
              <w:t>in Volume 2, Part 3 ‘Literacy and Numeracy’</w:t>
            </w:r>
          </w:p>
        </w:tc>
      </w:tr>
      <w:tr w:rsidTr="0075111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Reading</w:t>
            </w:r>
          </w:p>
        </w:tc>
        <w:tc>
          <w:tcPr>
            <w:tcW w:w="81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3</w:t>
            </w:r>
          </w:p>
        </w:tc>
        <w:tc>
          <w:tcPr>
            <w:tcW w:w="99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Writing</w:t>
            </w: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3</w:t>
            </w:r>
          </w:p>
        </w:tc>
        <w:tc>
          <w:tcPr>
            <w:tcW w:w="12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Numeracy</w:t>
            </w:r>
          </w:p>
        </w:tc>
        <w:tc>
          <w:tcPr>
            <w:tcW w:w="72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3</w:t>
            </w:r>
          </w:p>
        </w:tc>
      </w:tr>
    </w:tbl>
    <w:p w:rsidR="001E0B85" w:rsidP="0075111A">
      <w:pPr>
        <w:pStyle w:val="BodyText"/>
      </w:pPr>
    </w:p>
    <w:p w:rsidR="001E0B85" w:rsidP="0075111A">
      <w:pPr>
        <w:pStyle w:val="BodyText"/>
      </w:pPr>
    </w:p>
    <w:p w:rsidR="00000000" w:rsidRPr="0075111A" w:rsidP="0075111A">
      <w:pPr>
        <w:pStyle w:val="Heading1"/>
      </w:pPr>
      <w:bookmarkStart w:id="6" w:name="O_611903"/>
      <w:bookmarkEnd w:id="6"/>
      <w:r w:rsidRPr="0075111A">
        <w:t>Employability Skills Information</w:t>
      </w:r>
    </w:p>
    <w:tbl>
      <w:tblPr>
        <w:tblW w:w="0" w:type="auto"/>
        <w:tblLayout w:type="fixed"/>
        <w:tblCellMar>
          <w:left w:w="62" w:type="dxa"/>
          <w:right w:w="62" w:type="dxa"/>
        </w:tblCellMar>
        <w:tblLook w:val="0000"/>
      </w:tblPr>
      <w:tblGrid>
        <w:gridCol w:w="2576"/>
        <w:gridCol w:w="5760"/>
      </w:tblGrid>
      <w:tr w:rsidTr="0075111A">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 xml:space="preserve">5) </w:t>
            </w:r>
          </w:p>
        </w:tc>
      </w:tr>
      <w:tr w:rsidTr="0075111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5111A">
              <w:t>requirements.</w:t>
            </w:r>
          </w:p>
        </w:tc>
      </w:tr>
    </w:tbl>
    <w:p w:rsidR="001E0B85" w:rsidP="0075111A">
      <w:pPr>
        <w:pStyle w:val="BodyText"/>
      </w:pPr>
    </w:p>
    <w:p w:rsidR="001E0B85" w:rsidP="0075111A">
      <w:pPr>
        <w:pStyle w:val="BodyText"/>
      </w:pPr>
    </w:p>
    <w:p w:rsidR="00000000" w:rsidRPr="0075111A" w:rsidP="0075111A">
      <w:pPr>
        <w:pStyle w:val="Heading1"/>
      </w:pPr>
      <w:bookmarkStart w:id="7" w:name="O_611904"/>
      <w:bookmarkEnd w:id="7"/>
      <w:r w:rsidRPr="0075111A">
        <w:t>Elements and Performance Criteria Pre-Content</w:t>
      </w:r>
    </w:p>
    <w:tbl>
      <w:tblPr>
        <w:tblW w:w="0" w:type="auto"/>
        <w:tblLayout w:type="fixed"/>
        <w:tblCellMar>
          <w:left w:w="62" w:type="dxa"/>
          <w:right w:w="62" w:type="dxa"/>
        </w:tblCellMar>
        <w:tblLook w:val="0000"/>
      </w:tblPr>
      <w:tblGrid>
        <w:gridCol w:w="2576"/>
        <w:gridCol w:w="5760"/>
      </w:tblGrid>
      <w:tr w:rsidTr="0075111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6)</w:t>
            </w:r>
            <w:r w:rsidRPr="0075111A">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Emphasis"/>
              </w:rPr>
              <w:t>Performance Criteria describe the required performance needed to demonstrate achievement of the element. Assessment of performance is to be consistent with the Evidence Guide.</w:t>
            </w:r>
          </w:p>
        </w:tc>
      </w:tr>
    </w:tbl>
    <w:p w:rsidR="001E0B85" w:rsidP="0075111A">
      <w:pPr>
        <w:pStyle w:val="BodyText"/>
      </w:pPr>
    </w:p>
    <w:p w:rsidR="001E0B85" w:rsidP="0075111A">
      <w:pPr>
        <w:pStyle w:val="BodyText"/>
      </w:pPr>
    </w:p>
    <w:p w:rsidR="00000000" w:rsidRPr="0075111A" w:rsidP="0075111A">
      <w:pPr>
        <w:pStyle w:val="Heading1"/>
      </w:pPr>
      <w:bookmarkStart w:id="8" w:name="O_611905"/>
      <w:bookmarkEnd w:id="8"/>
      <w:r w:rsidRPr="0075111A">
        <w:t>Elements and Performance Criteria</w:t>
      </w:r>
    </w:p>
    <w:tbl>
      <w:tblPr>
        <w:tblW w:w="0" w:type="auto"/>
        <w:tblLayout w:type="fixed"/>
        <w:tblCellMar>
          <w:left w:w="62" w:type="dxa"/>
          <w:right w:w="62" w:type="dxa"/>
        </w:tblCellMar>
        <w:tblLook w:val="0000"/>
      </w:tblPr>
      <w:tblGrid>
        <w:gridCol w:w="280"/>
        <w:gridCol w:w="2296"/>
        <w:gridCol w:w="900"/>
        <w:gridCol w:w="4860"/>
      </w:tblGrid>
      <w:tr w:rsidTr="0075111A">
        <w:tblPrEx>
          <w:tblW w:w="0" w:type="auto"/>
          <w:tblLayout w:type="fixed"/>
          <w:tblCellMar>
            <w:left w:w="62" w:type="dxa"/>
            <w:right w:w="62" w:type="dxa"/>
          </w:tblCellMar>
          <w:tblLook w:val="0000"/>
        </w:tblPrEx>
        <w:trPr>
          <w:tblHeader/>
        </w:trPr>
        <w:tc>
          <w:tcPr>
            <w:tcW w:w="2576" w:type="dxa"/>
            <w:gridSpan w:val="2"/>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PERFORMANCE CRITERIA</w:t>
            </w:r>
          </w:p>
        </w:tc>
      </w:tr>
      <w:tr w:rsidTr="0075111A">
        <w:tblPrEx>
          <w:tblW w:w="0" w:type="auto"/>
          <w:tblLayout w:type="fixed"/>
          <w:tblCellMar>
            <w:left w:w="62" w:type="dxa"/>
            <w:right w:w="62" w:type="dxa"/>
          </w:tblCellMar>
          <w:tblLook w:val="0000"/>
        </w:tblPrEx>
        <w:trPr>
          <w:trHeight w:val="602"/>
        </w:trPr>
        <w:tc>
          <w:tcPr>
            <w:tcW w:w="28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 xml:space="preserve">Prepare to construct and lay large copper gas distribution pipelines </w:t>
            </w: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1.1</w:t>
            </w:r>
          </w:p>
        </w:tc>
        <w:tc>
          <w:tcPr>
            <w:tcW w:w="48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WHS/OHS and environmental measures for the site are identified, obtained and understood</w:t>
            </w: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1.2</w:t>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 xml:space="preserve">Relevant requirements and established procedures for the site </w:t>
            </w:r>
            <w:r w:rsidRPr="0075111A">
              <w:t>are discussed with relevant persons to establish and confirm the work schedule.</w:t>
            </w:r>
          </w:p>
          <w:p w:rsidR="00000000" w:rsidP="0075111A">
            <w:pPr>
              <w:pStyle w:val="BodyText"/>
              <w:rPr>
                <w:lang w:val="en-NZ"/>
              </w:rPr>
            </w:pP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1.3</w:t>
            </w:r>
          </w:p>
        </w:tc>
        <w:tc>
          <w:tcPr>
            <w:tcW w:w="48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 xml:space="preserve">WHS/OHS, environmental and sustainable energy policies and procedures are received and confirmed.  </w:t>
            </w: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1.4</w:t>
            </w:r>
            <w:r w:rsidRPr="0075111A">
              <w:tab/>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Hazards are identified, WHS/OHS risks assessed and control measures are prioritised, implemented and monitored according to established procedures</w:t>
            </w:r>
          </w:p>
          <w:p w:rsidR="00000000" w:rsidP="0075111A">
            <w:pPr>
              <w:pStyle w:val="BodyText"/>
              <w:rPr>
                <w:lang w:val="en-NZ"/>
              </w:rPr>
            </w:pP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1.5</w:t>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Scope of responsibility under the relevant work permit and/or relevant notification is received and c</w:t>
            </w:r>
            <w:r w:rsidRPr="0075111A">
              <w:t>onfirmed with relevant persons according to requirements and established procedures</w:t>
            </w:r>
          </w:p>
          <w:p w:rsidR="00000000" w:rsidP="0075111A">
            <w:pPr>
              <w:pStyle w:val="BodyText"/>
              <w:rPr>
                <w:lang w:val="en-NZ"/>
              </w:rPr>
            </w:pP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1.6</w:t>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Equipment, plant, tools and personal protective equipment needed to construct and lay copper gas pipelines and services are identified, obtained and checked for ope</w:t>
            </w:r>
            <w:r w:rsidRPr="0075111A">
              <w:t xml:space="preserve">ration and safety. </w:t>
            </w:r>
          </w:p>
          <w:p w:rsidR="00000000" w:rsidP="0075111A">
            <w:pPr>
              <w:pStyle w:val="BodyText"/>
              <w:rPr>
                <w:lang w:val="en-NZ"/>
              </w:rPr>
            </w:pP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1.7</w:t>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Appropriate persons are consulted to ensure the work is coordinated effectively with others involved</w:t>
            </w:r>
          </w:p>
          <w:p w:rsidR="00000000" w:rsidP="0075111A">
            <w:pPr>
              <w:pStyle w:val="BodyText"/>
              <w:rPr>
                <w:lang w:val="en-NZ"/>
              </w:rPr>
            </w:pP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1.8</w:t>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Materials, plans, diagrams, drawings and resources required to construct and lay gas distribution pipelines are confirmed, scheduled and obtained in accordance with established procedures.</w:t>
            </w:r>
          </w:p>
          <w:p w:rsidR="00000000" w:rsidP="0075111A">
            <w:pPr>
              <w:pStyle w:val="BodyText"/>
              <w:rPr>
                <w:lang w:val="en-NZ"/>
              </w:rPr>
            </w:pP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1.9</w:t>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Relevant responsibilities associated with safety and emerge</w:t>
            </w:r>
            <w:r w:rsidRPr="0075111A">
              <w:t xml:space="preserve">ncy procedures for an incident at the worksite are checked and confirmed.  </w:t>
            </w:r>
          </w:p>
          <w:p w:rsidR="00000000" w:rsidP="0075111A">
            <w:pPr>
              <w:pStyle w:val="BodyText"/>
              <w:rPr>
                <w:lang w:val="en-NZ"/>
              </w:rPr>
            </w:pP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1.10</w:t>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 xml:space="preserve">Third party issues are referred to appropriate persons in accordance with established procedures. </w:t>
            </w:r>
          </w:p>
          <w:p w:rsidR="00000000" w:rsidP="0075111A">
            <w:pPr>
              <w:pStyle w:val="BodyText"/>
              <w:rPr>
                <w:lang w:val="en-NZ"/>
              </w:rPr>
            </w:pP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1.11</w:t>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Site preparation, safety plan and the work schedule are confirmed in accordance with established procedures.</w:t>
            </w:r>
          </w:p>
          <w:p w:rsidR="00000000" w:rsidP="0075111A">
            <w:pPr>
              <w:pStyle w:val="BodyText"/>
              <w:rPr>
                <w:lang w:val="en-NZ"/>
              </w:rPr>
            </w:pP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 xml:space="preserve"> Construct and lay large copper gas distribution pipelines </w:t>
            </w: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2.1</w:t>
            </w:r>
          </w:p>
        </w:tc>
        <w:tc>
          <w:tcPr>
            <w:tcW w:w="48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WHS/OHS risk control measures, schedule of work and standard operating procedur</w:t>
            </w:r>
            <w:r w:rsidRPr="0075111A">
              <w:t>es for carrying out the work are followed.</w:t>
            </w:r>
          </w:p>
        </w:tc>
      </w:tr>
      <w:tr w:rsidTr="0075111A">
        <w:tblPrEx>
          <w:tblW w:w="0" w:type="auto"/>
          <w:tblLayout w:type="fixed"/>
          <w:tblCellMar>
            <w:left w:w="62" w:type="dxa"/>
            <w:right w:w="62" w:type="dxa"/>
          </w:tblCellMar>
          <w:tblLook w:val="0000"/>
        </w:tblPrEx>
        <w:trPr>
          <w:trHeight w:val="843"/>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2.2</w:t>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Appropriate materials, tools, equipment and measuring devices are selected and used correctly and safely.</w:t>
            </w:r>
          </w:p>
          <w:p w:rsidR="00000000" w:rsidP="0075111A">
            <w:pPr>
              <w:pStyle w:val="BodyText"/>
              <w:rPr>
                <w:lang w:val="en-NZ"/>
              </w:rPr>
            </w:pP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2.3</w:t>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Hazardous activities such as lifting, climbing, working in confined spaces, excavations, trenches, or aloft, and use of power tools, techniques and practices are conducted safely in accordance with given instructions and to requirements.</w:t>
            </w:r>
          </w:p>
          <w:p w:rsidR="00000000" w:rsidP="0075111A">
            <w:pPr>
              <w:pStyle w:val="BodyText"/>
              <w:rPr>
                <w:lang w:val="en-NZ"/>
              </w:rPr>
            </w:pP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2.4</w:t>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 xml:space="preserve">Trench is </w:t>
            </w:r>
            <w:r w:rsidRPr="0075111A">
              <w:t>prepared for laying of pipe according to appropriate standards and procedures</w:t>
            </w:r>
          </w:p>
          <w:p w:rsidR="00000000" w:rsidP="0075111A">
            <w:pPr>
              <w:pStyle w:val="BodyText"/>
              <w:rPr>
                <w:lang w:val="en-NZ"/>
              </w:rPr>
            </w:pP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2.5</w:t>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Construction and laying of copper gas pipelines and services are conducted according to appropriate standards and procedures</w:t>
            </w:r>
          </w:p>
          <w:p w:rsidR="00000000" w:rsidP="0075111A">
            <w:pPr>
              <w:pStyle w:val="BodyText"/>
              <w:rPr>
                <w:lang w:val="en-NZ"/>
              </w:rPr>
            </w:pP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2.6</w:t>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Work is carried out efficiently, to the required standard without waste of materials or damage to apparatus, equipment, the surrounding environment or services and using sustainable energy principles.</w:t>
            </w:r>
          </w:p>
          <w:p w:rsidR="00000000" w:rsidP="0075111A">
            <w:pPr>
              <w:pStyle w:val="BodyText"/>
              <w:rPr>
                <w:lang w:val="en-NZ"/>
              </w:rPr>
            </w:pP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2.7</w:t>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WHS/OHS risks and incidents are reported to the</w:t>
            </w:r>
            <w:r w:rsidRPr="0075111A">
              <w:t xml:space="preserve"> immediate authorised persons for directions according to established procedures</w:t>
            </w:r>
          </w:p>
          <w:p w:rsidR="00000000" w:rsidP="0075111A">
            <w:pPr>
              <w:pStyle w:val="BodyText"/>
              <w:rPr>
                <w:lang w:val="en-NZ"/>
              </w:rPr>
            </w:pP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2.8</w:t>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Procedures for referring non-routine events to the immediate authorised persons for directions are followed.</w:t>
            </w:r>
          </w:p>
          <w:p w:rsidR="00000000" w:rsidP="0075111A">
            <w:pPr>
              <w:pStyle w:val="BodyText"/>
              <w:rPr>
                <w:lang w:val="en-NZ"/>
              </w:rPr>
            </w:pP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2.9</w:t>
            </w:r>
            <w:r w:rsidRPr="0075111A">
              <w:tab/>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Routine quality checks are carried out in accordance with work instructions including testing of pipework.</w:t>
            </w:r>
          </w:p>
          <w:p w:rsidR="00000000" w:rsidP="0075111A">
            <w:pPr>
              <w:pStyle w:val="BodyText"/>
              <w:rPr>
                <w:lang w:val="en-NZ"/>
              </w:rPr>
            </w:pPr>
          </w:p>
        </w:tc>
      </w:tr>
      <w:tr w:rsidTr="0075111A">
        <w:tblPrEx>
          <w:tblW w:w="0" w:type="auto"/>
          <w:tblLayout w:type="fixed"/>
          <w:tblCellMar>
            <w:left w:w="62" w:type="dxa"/>
            <w:right w:w="62" w:type="dxa"/>
          </w:tblCellMar>
          <w:tblLook w:val="0000"/>
        </w:tblPrEx>
        <w:trPr>
          <w:trHeight w:val="361"/>
        </w:trPr>
        <w:tc>
          <w:tcPr>
            <w:tcW w:w="28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Complete the work and relevant documentation</w:t>
            </w: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3.1</w:t>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WHS/OHS risk control work completion measures and procedures are followed.</w:t>
            </w:r>
          </w:p>
          <w:p w:rsidR="00000000" w:rsidP="0075111A">
            <w:pPr>
              <w:pStyle w:val="BodyText"/>
              <w:rPr>
                <w:lang w:val="en-NZ"/>
              </w:rPr>
            </w:pP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3.2</w:t>
            </w:r>
          </w:p>
        </w:tc>
        <w:tc>
          <w:tcPr>
            <w:tcW w:w="48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Appropriate p</w:t>
            </w:r>
            <w:r w:rsidRPr="0075111A">
              <w:t>ersons are notified of completion of the work according to established procedures.</w:t>
            </w: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3.3</w:t>
            </w:r>
          </w:p>
        </w:tc>
        <w:tc>
          <w:tcPr>
            <w:tcW w:w="48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 xml:space="preserve">Tools, equipment and any surplus resources and materials are cleaned, checked and securely stored. </w:t>
            </w: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3.4</w:t>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Work site is tidied and made safe</w:t>
            </w:r>
            <w:r w:rsidRPr="0075111A">
              <w:t xml:space="preserve"> in accordance with established procedures </w:t>
            </w:r>
          </w:p>
          <w:p w:rsidR="00000000" w:rsidP="0075111A">
            <w:pPr>
              <w:pStyle w:val="BodyText"/>
              <w:rPr>
                <w:lang w:val="en-NZ"/>
              </w:rPr>
            </w:pPr>
          </w:p>
        </w:tc>
      </w:tr>
      <w:tr w:rsidTr="0075111A">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3.5</w:t>
            </w:r>
          </w:p>
        </w:tc>
        <w:tc>
          <w:tcPr>
            <w:tcW w:w="48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Work completion documentation is completed and provided to appropriate persons in accordance with established procedures.</w:t>
            </w:r>
          </w:p>
        </w:tc>
      </w:tr>
    </w:tbl>
    <w:p w:rsidR="001E0B85" w:rsidP="0075111A">
      <w:pPr>
        <w:pStyle w:val="BodyText"/>
      </w:pPr>
    </w:p>
    <w:p w:rsidR="001E0B85" w:rsidP="0075111A">
      <w:pPr>
        <w:pStyle w:val="BodyText"/>
      </w:pPr>
    </w:p>
    <w:p w:rsidR="00000000" w:rsidRPr="0075111A" w:rsidP="0075111A">
      <w:pPr>
        <w:pStyle w:val="Heading1"/>
      </w:pPr>
      <w:bookmarkStart w:id="9" w:name="O_611906"/>
      <w:bookmarkEnd w:id="9"/>
      <w:r w:rsidRPr="0075111A">
        <w:t>Required Skills and Knowledge</w:t>
      </w:r>
    </w:p>
    <w:tbl>
      <w:tblPr>
        <w:tblW w:w="0" w:type="auto"/>
        <w:tblLayout w:type="fixed"/>
        <w:tblCellMar>
          <w:left w:w="62" w:type="dxa"/>
          <w:right w:w="62" w:type="dxa"/>
        </w:tblCellMar>
        <w:tblLook w:val="0000"/>
      </w:tblPr>
      <w:tblGrid>
        <w:gridCol w:w="8910"/>
      </w:tblGrid>
      <w:tr w:rsidTr="0075111A">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REQUIRED SKILLS AND KNOWLEDGE</w:t>
            </w:r>
          </w:p>
        </w:tc>
      </w:tr>
      <w:tr w:rsidTr="0075111A">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7)</w:t>
            </w:r>
            <w:r w:rsidRPr="0075111A">
              <w:rPr>
                <w:rStyle w:val="Emphasis"/>
              </w:rPr>
              <w:t xml:space="preserve"> This describes the skills and knowledge and their level, required for this unit.</w:t>
            </w:r>
          </w:p>
        </w:tc>
      </w:tr>
      <w:tr w:rsidTr="0075111A">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Evidence shall show that knowledge has been acquired of safe working practices for constructing and laying copper gas distribution pipelines. All knowledge and skills deta</w:t>
            </w:r>
            <w:r w:rsidRPr="0075111A">
              <w:t>iled in this unit should be contextualised to current industry practices and technologies. The extent of the skills and knowledge required is provided below. It forms an integral part of this unit.</w:t>
            </w:r>
          </w:p>
        </w:tc>
      </w:tr>
      <w:tr w:rsidTr="0075111A">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KS01-G228A Construct and lay distribution copper pipeline</w:t>
            </w:r>
            <w:r w:rsidRPr="0075111A">
              <w:rPr>
                <w:rStyle w:val="SpecialBold"/>
              </w:rPr>
              <w:t>s</w:t>
            </w:r>
          </w:p>
          <w:p w:rsidR="00000000" w:rsidP="0075111A">
            <w:pPr>
              <w:pStyle w:val="BodyText"/>
              <w:rPr>
                <w:lang w:val="en-NZ"/>
              </w:rPr>
            </w:pPr>
            <w:r w:rsidRPr="0075111A">
              <w:t>Evidence shall show an understanding of constructing and laying copper gas distribution pipelines in accordance with relevant legislation, standards, codes and established procedures to an extent indicated by the following aspects:</w:t>
            </w:r>
          </w:p>
        </w:tc>
      </w:tr>
      <w:tr w:rsidTr="0075111A">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T1. Copper gas pipeli</w:t>
            </w:r>
            <w:r w:rsidRPr="0075111A">
              <w:t>nes above 20mm diameter</w:t>
            </w:r>
          </w:p>
          <w:p w:rsidR="00000000" w:rsidRPr="0075111A" w:rsidP="0075111A">
            <w:pPr>
              <w:pStyle w:val="ListBullet"/>
            </w:pPr>
            <w:r w:rsidRPr="0075111A">
              <w:t>characteristics</w:t>
            </w:r>
          </w:p>
          <w:p w:rsidR="00000000" w:rsidRPr="0075111A" w:rsidP="0075111A">
            <w:pPr>
              <w:pStyle w:val="ListBullet"/>
            </w:pPr>
            <w:r w:rsidRPr="0075111A">
              <w:t xml:space="preserve">pipe sizes </w:t>
            </w:r>
          </w:p>
          <w:p w:rsidR="00000000" w:rsidRPr="0075111A" w:rsidP="0075111A">
            <w:pPr>
              <w:pStyle w:val="ListBullet"/>
            </w:pPr>
            <w:r w:rsidRPr="0075111A">
              <w:t xml:space="preserve">fittings </w:t>
            </w:r>
          </w:p>
          <w:p w:rsidR="00000000" w:rsidRPr="0075111A" w:rsidP="0075111A">
            <w:pPr>
              <w:pStyle w:val="ListBullet"/>
            </w:pPr>
            <w:r w:rsidRPr="0075111A">
              <w:t>accessories</w:t>
            </w:r>
          </w:p>
          <w:p w:rsidR="00000000" w:rsidRPr="0075111A" w:rsidP="0075111A">
            <w:pPr>
              <w:pStyle w:val="ListBullet"/>
            </w:pPr>
            <w:r w:rsidRPr="0075111A">
              <w:t>material specifications</w:t>
            </w:r>
          </w:p>
          <w:p w:rsidR="00000000" w:rsidRPr="0075111A" w:rsidP="0075111A">
            <w:pPr>
              <w:pStyle w:val="ListBullet"/>
            </w:pPr>
            <w:r w:rsidRPr="0075111A">
              <w:t>applications</w:t>
            </w:r>
          </w:p>
          <w:p w:rsidR="00000000" w:rsidRPr="0075111A" w:rsidP="0075111A">
            <w:pPr>
              <w:pStyle w:val="ListBullet"/>
            </w:pPr>
            <w:r w:rsidRPr="0075111A">
              <w:t>handling and storage</w:t>
            </w:r>
          </w:p>
          <w:p w:rsidR="00000000" w:rsidRPr="0075111A" w:rsidP="0075111A">
            <w:pPr>
              <w:pStyle w:val="ListBullet"/>
            </w:pPr>
            <w:r w:rsidRPr="0075111A">
              <w:t>advantages and disadvantages</w:t>
            </w:r>
          </w:p>
          <w:p w:rsidR="00000000" w:rsidRPr="0075111A" w:rsidP="0075111A">
            <w:pPr>
              <w:pStyle w:val="ListBullet"/>
            </w:pPr>
            <w:r w:rsidRPr="0075111A">
              <w:t>MSDS</w:t>
            </w:r>
          </w:p>
          <w:p w:rsidR="00000000" w:rsidRPr="0075111A" w:rsidP="0075111A">
            <w:pPr>
              <w:pStyle w:val="BodyText"/>
            </w:pPr>
            <w:r w:rsidRPr="0075111A">
              <w:t>T2. Relevant Australian Standards</w:t>
            </w:r>
          </w:p>
          <w:p w:rsidR="00000000" w:rsidRPr="0075111A" w:rsidP="0075111A">
            <w:pPr>
              <w:pStyle w:val="BodyText"/>
            </w:pPr>
            <w:r w:rsidRPr="0075111A">
              <w:t>T3. Safety requirements</w:t>
            </w:r>
          </w:p>
          <w:p w:rsidR="00000000" w:rsidRPr="0075111A" w:rsidP="0075111A">
            <w:pPr>
              <w:pStyle w:val="ListBullet"/>
            </w:pPr>
            <w:r w:rsidRPr="0075111A">
              <w:t>hazards, risk assessment and control measures</w:t>
            </w:r>
          </w:p>
          <w:p w:rsidR="00000000" w:rsidRPr="0075111A" w:rsidP="0075111A">
            <w:pPr>
              <w:pStyle w:val="ListBullet"/>
            </w:pPr>
            <w:r w:rsidRPr="0075111A">
              <w:t>dangers of working with live gas</w:t>
            </w:r>
          </w:p>
          <w:p w:rsidR="00000000" w:rsidRPr="0075111A" w:rsidP="0075111A">
            <w:pPr>
              <w:pStyle w:val="BodyText"/>
            </w:pPr>
            <w:r w:rsidRPr="0075111A">
              <w:t>T4. Copper and other piping materials</w:t>
            </w:r>
          </w:p>
          <w:p w:rsidR="00000000" w:rsidRPr="0075111A" w:rsidP="0075111A">
            <w:pPr>
              <w:pStyle w:val="ListBullet"/>
            </w:pPr>
            <w:r w:rsidRPr="0075111A">
              <w:t>types and identification</w:t>
            </w:r>
          </w:p>
          <w:p w:rsidR="00000000" w:rsidRPr="0075111A" w:rsidP="0075111A">
            <w:pPr>
              <w:pStyle w:val="BodyText"/>
            </w:pPr>
            <w:r w:rsidRPr="0075111A">
              <w:t xml:space="preserve">T5. Cutting and tapping Copper pipe </w:t>
            </w:r>
          </w:p>
          <w:p w:rsidR="00000000" w:rsidRPr="0075111A" w:rsidP="0075111A">
            <w:pPr>
              <w:pStyle w:val="ListBullet"/>
            </w:pPr>
            <w:r w:rsidRPr="0075111A">
              <w:t xml:space="preserve">requirements under various conditions, inclement weather etc. </w:t>
            </w:r>
          </w:p>
          <w:p w:rsidR="00000000" w:rsidRPr="0075111A" w:rsidP="0075111A">
            <w:pPr>
              <w:pStyle w:val="ListBullet"/>
            </w:pPr>
            <w:r w:rsidRPr="0075111A">
              <w:t>methods, pro</w:t>
            </w:r>
            <w:r w:rsidRPr="0075111A">
              <w:t>cedures and safety requirements</w:t>
            </w:r>
          </w:p>
          <w:p w:rsidR="00000000" w:rsidRPr="0075111A" w:rsidP="0075111A">
            <w:pPr>
              <w:pStyle w:val="ListBullet"/>
            </w:pPr>
            <w:r w:rsidRPr="0075111A">
              <w:t xml:space="preserve">selection and use of equipment, tools and materials </w:t>
            </w:r>
          </w:p>
          <w:p w:rsidR="00000000" w:rsidRPr="0075111A" w:rsidP="0075111A">
            <w:pPr>
              <w:pStyle w:val="BodyText"/>
            </w:pPr>
            <w:r w:rsidRPr="0075111A">
              <w:t>T6. Joining Copper pipe, pipelines and fittings</w:t>
            </w:r>
          </w:p>
          <w:p w:rsidR="00000000" w:rsidRPr="0075111A" w:rsidP="0075111A">
            <w:pPr>
              <w:pStyle w:val="ListBullet"/>
            </w:pPr>
            <w:r w:rsidRPr="0075111A">
              <w:t xml:space="preserve">requirements under various conditions, inclement weather etc. </w:t>
            </w:r>
          </w:p>
          <w:p w:rsidR="00000000" w:rsidRPr="0075111A" w:rsidP="0075111A">
            <w:pPr>
              <w:pStyle w:val="ListBullet"/>
            </w:pPr>
            <w:r w:rsidRPr="0075111A">
              <w:t xml:space="preserve">methods, procedures and safety requirements </w:t>
            </w:r>
          </w:p>
          <w:p w:rsidR="00000000" w:rsidRPr="0075111A" w:rsidP="0075111A">
            <w:pPr>
              <w:pStyle w:val="ListBullet"/>
            </w:pPr>
            <w:r w:rsidRPr="0075111A">
              <w:t xml:space="preserve">selection and </w:t>
            </w:r>
            <w:r w:rsidRPr="0075111A">
              <w:t xml:space="preserve">use of equipment, tools and materials </w:t>
            </w:r>
          </w:p>
          <w:p w:rsidR="00000000" w:rsidRPr="0075111A" w:rsidP="0075111A">
            <w:pPr>
              <w:pStyle w:val="BodyText"/>
            </w:pPr>
            <w:r w:rsidRPr="0075111A">
              <w:t>T7. Transition fittings and adaptors to other piping materials</w:t>
            </w:r>
          </w:p>
          <w:p w:rsidR="00000000" w:rsidRPr="0075111A" w:rsidP="0075111A">
            <w:pPr>
              <w:pStyle w:val="ListBullet"/>
            </w:pPr>
            <w:r w:rsidRPr="0075111A">
              <w:t>types</w:t>
            </w:r>
          </w:p>
          <w:p w:rsidR="00000000" w:rsidRPr="0075111A" w:rsidP="0075111A">
            <w:pPr>
              <w:pStyle w:val="ListBullet"/>
            </w:pPr>
            <w:r w:rsidRPr="0075111A">
              <w:t>selection</w:t>
            </w:r>
          </w:p>
          <w:p w:rsidR="00000000" w:rsidRPr="0075111A" w:rsidP="0075111A">
            <w:pPr>
              <w:pStyle w:val="BodyText"/>
            </w:pPr>
            <w:r w:rsidRPr="0075111A">
              <w:t xml:space="preserve">T8. Bedding requirements for Copper pipeline </w:t>
            </w:r>
          </w:p>
          <w:p w:rsidR="00000000" w:rsidRPr="0075111A" w:rsidP="0075111A">
            <w:pPr>
              <w:pStyle w:val="ListBullet"/>
            </w:pPr>
            <w:r w:rsidRPr="0075111A">
              <w:t xml:space="preserve">trench width and depth </w:t>
            </w:r>
          </w:p>
          <w:p w:rsidR="00000000" w:rsidRPr="0075111A" w:rsidP="0075111A">
            <w:pPr>
              <w:pStyle w:val="ListBullet"/>
            </w:pPr>
            <w:r w:rsidRPr="0075111A">
              <w:t>required coverage depth in various locations</w:t>
            </w:r>
          </w:p>
          <w:p w:rsidR="00000000" w:rsidRPr="0075111A" w:rsidP="0075111A">
            <w:pPr>
              <w:pStyle w:val="ListBullet"/>
            </w:pPr>
            <w:r w:rsidRPr="0075111A">
              <w:t>obstacles affecting minimum depth of cover for pipeline</w:t>
            </w:r>
          </w:p>
          <w:p w:rsidR="00000000" w:rsidRPr="0075111A" w:rsidP="0075111A">
            <w:pPr>
              <w:pStyle w:val="ListBullet"/>
            </w:pPr>
            <w:r w:rsidRPr="0075111A">
              <w:t>solutions for dealing with obstacles affecting the depth of cover including transitioning to other approved materials and applying protection.</w:t>
            </w:r>
          </w:p>
          <w:p w:rsidR="00000000" w:rsidRPr="0075111A" w:rsidP="0075111A">
            <w:pPr>
              <w:pStyle w:val="ListBullet"/>
            </w:pPr>
            <w:r w:rsidRPr="0075111A">
              <w:t>pipeline support</w:t>
            </w:r>
          </w:p>
          <w:p w:rsidR="00000000" w:rsidRPr="0075111A" w:rsidP="0075111A">
            <w:pPr>
              <w:pStyle w:val="ListBullet"/>
            </w:pPr>
            <w:r w:rsidRPr="0075111A">
              <w:t>backfilling requirements</w:t>
            </w:r>
          </w:p>
          <w:p w:rsidR="00000000" w:rsidRPr="0075111A" w:rsidP="0075111A">
            <w:pPr>
              <w:pStyle w:val="BodyText"/>
            </w:pPr>
            <w:r w:rsidRPr="0075111A">
              <w:t xml:space="preserve">T9. Conditions </w:t>
            </w:r>
            <w:r w:rsidRPr="0075111A">
              <w:t>for direct installation or insertion of Copper pipeline</w:t>
            </w:r>
          </w:p>
          <w:p w:rsidR="00000000" w:rsidRPr="0075111A" w:rsidP="0075111A">
            <w:pPr>
              <w:pStyle w:val="BodyText"/>
            </w:pPr>
            <w:r w:rsidRPr="0075111A">
              <w:t>T10. Installation of Copper pipeline</w:t>
            </w:r>
          </w:p>
          <w:p w:rsidR="00000000" w:rsidRPr="0075111A" w:rsidP="0075111A">
            <w:pPr>
              <w:pStyle w:val="ListBullet"/>
            </w:pPr>
            <w:r w:rsidRPr="0075111A">
              <w:t>requirements</w:t>
            </w:r>
          </w:p>
          <w:p w:rsidR="00000000" w:rsidRPr="0075111A" w:rsidP="0075111A">
            <w:pPr>
              <w:pStyle w:val="ListBullet"/>
            </w:pPr>
            <w:r w:rsidRPr="0075111A">
              <w:t>procedures</w:t>
            </w:r>
          </w:p>
          <w:p w:rsidR="00000000" w:rsidRPr="0075111A" w:rsidP="0075111A">
            <w:pPr>
              <w:pStyle w:val="ListBullet"/>
            </w:pPr>
            <w:r w:rsidRPr="0075111A">
              <w:t xml:space="preserve">trace wire </w:t>
            </w:r>
          </w:p>
          <w:p w:rsidR="00000000" w:rsidRPr="0075111A" w:rsidP="0075111A">
            <w:pPr>
              <w:pStyle w:val="ListBullet"/>
            </w:pPr>
            <w:r w:rsidRPr="0075111A">
              <w:t>marker tape</w:t>
            </w:r>
          </w:p>
          <w:p w:rsidR="00000000" w:rsidRPr="0075111A" w:rsidP="0075111A">
            <w:pPr>
              <w:pStyle w:val="BodyText"/>
            </w:pPr>
            <w:r w:rsidRPr="0075111A">
              <w:t>T11. Termination and testing of Copper pipeline</w:t>
            </w:r>
          </w:p>
          <w:p w:rsidR="00000000" w:rsidRPr="0075111A" w:rsidP="0075111A">
            <w:pPr>
              <w:pStyle w:val="ListBullet"/>
            </w:pPr>
            <w:r w:rsidRPr="0075111A">
              <w:t>requirements</w:t>
            </w:r>
          </w:p>
          <w:p w:rsidR="00000000" w:rsidRPr="0075111A" w:rsidP="0075111A">
            <w:pPr>
              <w:pStyle w:val="ListBullet"/>
            </w:pPr>
            <w:r w:rsidRPr="0075111A">
              <w:t>procedures</w:t>
            </w:r>
          </w:p>
          <w:p w:rsidR="00000000" w:rsidRPr="0075111A" w:rsidP="0075111A">
            <w:pPr>
              <w:pStyle w:val="BodyText"/>
            </w:pPr>
            <w:r w:rsidRPr="0075111A">
              <w:t>T12. Static Electricity in Copper gas pip</w:t>
            </w:r>
            <w:r w:rsidRPr="0075111A">
              <w:t>es</w:t>
            </w:r>
          </w:p>
          <w:p w:rsidR="00000000" w:rsidRPr="0075111A" w:rsidP="0075111A">
            <w:pPr>
              <w:pStyle w:val="ListBullet"/>
            </w:pPr>
            <w:r w:rsidRPr="0075111A">
              <w:t>causes</w:t>
            </w:r>
          </w:p>
          <w:p w:rsidR="00000000" w:rsidRPr="0075111A" w:rsidP="0075111A">
            <w:pPr>
              <w:pStyle w:val="ListBullet"/>
            </w:pPr>
            <w:r w:rsidRPr="0075111A">
              <w:t>dangers</w:t>
            </w:r>
          </w:p>
          <w:p w:rsidR="00000000" w:rsidRPr="0075111A" w:rsidP="0075111A">
            <w:pPr>
              <w:pStyle w:val="ListBullet"/>
            </w:pPr>
            <w:r w:rsidRPr="0075111A">
              <w:t>prevention</w:t>
            </w:r>
          </w:p>
          <w:p w:rsidR="00000000" w:rsidRPr="0075111A" w:rsidP="0075111A">
            <w:pPr>
              <w:pStyle w:val="BodyText"/>
            </w:pPr>
          </w:p>
        </w:tc>
      </w:tr>
    </w:tbl>
    <w:p w:rsidR="001E0B85" w:rsidP="0075111A">
      <w:pPr>
        <w:pStyle w:val="BodyText"/>
      </w:pPr>
    </w:p>
    <w:p w:rsidR="001E0B85" w:rsidP="0075111A">
      <w:pPr>
        <w:pStyle w:val="BodyText"/>
      </w:pPr>
    </w:p>
    <w:p w:rsidR="00000000" w:rsidRPr="0075111A" w:rsidP="0075111A">
      <w:pPr>
        <w:pStyle w:val="Heading1"/>
      </w:pPr>
      <w:bookmarkStart w:id="10" w:name="O_611908"/>
      <w:bookmarkEnd w:id="10"/>
      <w:r w:rsidRPr="0075111A">
        <w:t>Evidence Guide</w:t>
      </w:r>
    </w:p>
    <w:tbl>
      <w:tblPr>
        <w:tblW w:w="0" w:type="auto"/>
        <w:tblLayout w:type="fixed"/>
        <w:tblCellMar>
          <w:left w:w="62" w:type="dxa"/>
          <w:right w:w="62" w:type="dxa"/>
        </w:tblCellMar>
        <w:tblLook w:val="0000"/>
      </w:tblPr>
      <w:tblGrid>
        <w:gridCol w:w="8336"/>
      </w:tblGrid>
      <w:tr w:rsidTr="0075111A">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EVIDENCE GUIDE</w:t>
            </w:r>
          </w:p>
        </w:tc>
      </w:tr>
      <w:tr w:rsidTr="0075111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 xml:space="preserve">8) </w:t>
            </w:r>
            <w:r w:rsidRPr="0075111A">
              <w:t xml:space="preserve">The Evidence Guide forms an integral part of this Unit and shall be used in conjunction with all </w:t>
            </w:r>
            <w:r w:rsidRPr="0075111A">
              <w:t>components parts of this unit and performed in accordance with the Assessment Guidelines of this Training Package.</w:t>
            </w:r>
          </w:p>
        </w:tc>
      </w:tr>
    </w:tbl>
    <w:p w:rsidR="00000000" w:rsidRPr="0075111A" w:rsidP="0075111A">
      <w:pPr>
        <w:pStyle w:val="BodyText"/>
      </w:pPr>
    </w:p>
    <w:tbl>
      <w:tblPr>
        <w:tblW w:w="0" w:type="auto"/>
        <w:tblLayout w:type="fixed"/>
        <w:tblCellMar>
          <w:left w:w="62" w:type="dxa"/>
          <w:right w:w="62" w:type="dxa"/>
        </w:tblCellMar>
        <w:tblLook w:val="0000"/>
      </w:tblPr>
      <w:tblGrid>
        <w:gridCol w:w="1766"/>
        <w:gridCol w:w="6570"/>
      </w:tblGrid>
      <w:tr w:rsidTr="0075111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8.1)</w:t>
            </w:r>
          </w:p>
        </w:tc>
      </w:tr>
      <w:tr w:rsidTr="0075111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Longitudinal competency development approaches to assessment, such as Profiling, require data to be reliably gathered in a form that can be consistently interpreted over time. This approach is best utilised in Apprenticeship programs and reduces assessment</w:t>
            </w:r>
            <w:r w:rsidRPr="0075111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5111A">
              <w:t>tency in a realistically simulated work environment. It is recognised that, in some circumstances, assessment in part or full can occur outside the workplace. However, it must be in accord with industry and regulatory policy in this regard.</w:t>
            </w:r>
          </w:p>
        </w:tc>
      </w:tr>
      <w:tr w:rsidTr="0075111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Methods chose</w:t>
            </w:r>
            <w:r w:rsidRPr="0075111A">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75111A">
              <w:t>required and the critical nature of the competencies being assessed.</w:t>
            </w:r>
          </w:p>
        </w:tc>
      </w:tr>
      <w:tr w:rsidTr="0075111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The critical safety nature of working with electricity, electrical equipment, gas or any other hazardous substance/material carries risk in deeming a person competent. Hence, sources of</w:t>
            </w:r>
            <w:r w:rsidRPr="0075111A">
              <w:t xml:space="preserve"> evidence need to be ‘rich’ in nature so as to minimise error in judgment.</w:t>
            </w:r>
          </w:p>
        </w:tc>
      </w:tr>
      <w:tr w:rsidTr="0075111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Activities associated with normal every day work have a bearing on the decision as to how much and how detailed the data gathered will contribute to its ‘richness’. Some skills ar</w:t>
            </w:r>
            <w:r w:rsidRPr="0075111A">
              <w:t>e more critical to safety and operational requirements while the same skills may be more or less frequently practised. These points are raised for the assessors to consider when choosing an assessment method and developing assessment instruments. Sample as</w:t>
            </w:r>
            <w:r w:rsidRPr="0075111A">
              <w:t xml:space="preserve">sessment instruments are included in </w:t>
            </w:r>
            <w:r w:rsidRPr="0075111A">
              <w:t>the Assessment Guidelines of this Training Package.</w:t>
            </w:r>
          </w:p>
        </w:tc>
      </w:tr>
    </w:tbl>
    <w:p w:rsidR="00000000" w:rsidRPr="0075111A" w:rsidP="0075111A">
      <w:pPr>
        <w:pStyle w:val="BodyText"/>
      </w:pPr>
    </w:p>
    <w:tbl>
      <w:tblPr>
        <w:tblW w:w="0" w:type="auto"/>
        <w:tblLayout w:type="fixed"/>
        <w:tblCellMar>
          <w:left w:w="62" w:type="dxa"/>
          <w:right w:w="62" w:type="dxa"/>
        </w:tblCellMar>
        <w:tblLook w:val="0000"/>
      </w:tblPr>
      <w:tblGrid>
        <w:gridCol w:w="1800"/>
        <w:gridCol w:w="810"/>
        <w:gridCol w:w="360"/>
        <w:gridCol w:w="5366"/>
        <w:gridCol w:w="34"/>
      </w:tblGrid>
      <w:tr w:rsidTr="001E0B85">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Critical aspects of evidence required to demonstrate competency in this unit</w:t>
            </w:r>
          </w:p>
        </w:tc>
        <w:tc>
          <w:tcPr>
            <w:tcW w:w="6536" w:type="dxa"/>
            <w:gridSpan w:val="3"/>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8.2)</w:t>
            </w:r>
          </w:p>
        </w:tc>
      </w:tr>
      <w:tr w:rsidTr="001E0B85">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Before the critical aspects of evidence are considered all prerequisites shall be met.</w:t>
            </w:r>
          </w:p>
        </w:tc>
      </w:tr>
      <w:tr w:rsidTr="001E0B85">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Evidence for competence in this unit shall be considered holistically. Each element and associated Performance Criteria shall be demonstrated on at least two occasio</w:t>
            </w:r>
            <w:r w:rsidRPr="0075111A">
              <w:t>ns in accordance with the ‘Assessment Guidelines — UEG11’. Evidence shall also comprise:</w:t>
            </w:r>
          </w:p>
        </w:tc>
      </w:tr>
      <w:tr w:rsidTr="001E0B85">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75111A">
            <w:pPr>
              <w:pStyle w:val="ListBullet"/>
              <w:rPr>
                <w:lang w:val="en-NZ"/>
              </w:rPr>
            </w:pPr>
            <w:r w:rsidRPr="0075111A">
              <w:t>A representative body of Performance Criteria demonstrated within the timeframes typically expected of the discipline, work function and industrial environment. I</w:t>
            </w:r>
            <w:r w:rsidRPr="0075111A">
              <w:t>n particular this shall incorporate evidence that shows a candidate is able to:</w:t>
            </w:r>
          </w:p>
        </w:tc>
      </w:tr>
      <w:tr w:rsidTr="001E0B85">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75111A">
            <w:pPr>
              <w:pStyle w:val="ListBullet2"/>
              <w:rPr>
                <w:lang w:val="en-NZ"/>
              </w:rPr>
            </w:pPr>
            <w:r w:rsidRPr="0075111A">
              <w:t>Implement Occupational Health and Safety workplace procedures and practices including the use of risk control measures as specified in the Performance Criteria and range</w:t>
            </w:r>
          </w:p>
        </w:tc>
      </w:tr>
      <w:tr w:rsidTr="001E0B85">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75111A">
            <w:pPr>
              <w:pStyle w:val="ListBullet2"/>
              <w:rPr>
                <w:lang w:val="en-NZ"/>
              </w:rPr>
            </w:pPr>
            <w:r w:rsidRPr="0075111A">
              <w:t>Apply sustainable energy principles and practices as specified in the Performance Criteria and range</w:t>
            </w:r>
          </w:p>
        </w:tc>
      </w:tr>
      <w:tr w:rsidTr="001E0B85">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75111A">
            <w:pPr>
              <w:pStyle w:val="ListBullet2"/>
              <w:rPr>
                <w:lang w:val="en-NZ"/>
              </w:rPr>
            </w:pPr>
            <w:r w:rsidRPr="0075111A">
              <w:t>Demonstrate an understanding of the required skills and knowledge as described in this unit to such an extent that the learner’</w:t>
            </w:r>
            <w:r w:rsidRPr="0075111A">
              <w:t>s performance outcome is reported in accordance with the preferred approach; namely a percentile graded result, where required by the regulated environment</w:t>
            </w:r>
          </w:p>
        </w:tc>
      </w:tr>
      <w:tr w:rsidTr="001E0B85">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75111A">
            <w:pPr>
              <w:pStyle w:val="ListBullet2"/>
              <w:rPr>
                <w:lang w:val="en-NZ"/>
              </w:rPr>
            </w:pPr>
            <w:r w:rsidRPr="0075111A">
              <w:t>Demonstrate an appropriate level of skills enabling employment</w:t>
            </w:r>
          </w:p>
        </w:tc>
      </w:tr>
      <w:tr w:rsidTr="001E0B85">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75111A">
            <w:pPr>
              <w:pStyle w:val="ListBullet2"/>
              <w:rPr>
                <w:lang w:val="en-NZ"/>
              </w:rPr>
            </w:pPr>
            <w:r w:rsidRPr="0075111A">
              <w:t>Conduct work observing the relevant Anti-discrimination legislation, regulations, polices and workplace procedures</w:t>
            </w:r>
          </w:p>
        </w:tc>
      </w:tr>
      <w:tr w:rsidTr="001E0B85">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75111A">
            <w:pPr>
              <w:pStyle w:val="ListBullet"/>
              <w:rPr>
                <w:lang w:val="en-NZ"/>
              </w:rPr>
            </w:pPr>
            <w:r w:rsidRPr="0075111A">
              <w:t>Demonstrate performance across a representative range of contexts from the prescribed items below:</w:t>
            </w:r>
          </w:p>
        </w:tc>
      </w:tr>
      <w:tr w:rsidTr="001E0B85">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75111A">
            <w:pPr>
              <w:pStyle w:val="ListBullet2"/>
              <w:rPr>
                <w:lang w:val="en-NZ"/>
              </w:rPr>
            </w:pPr>
            <w:r w:rsidRPr="0075111A">
              <w:t>Construct and lay copper gas distribution pipelines in accordance with relevant legislation, code, regulations and procedures as described as described in 9.) Range Statement and including:</w:t>
            </w:r>
          </w:p>
        </w:tc>
      </w:tr>
      <w:tr w:rsidTr="001E0B8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A.</w:t>
            </w:r>
          </w:p>
        </w:tc>
        <w:tc>
          <w:tcPr>
            <w:tcW w:w="5400" w:type="dxa"/>
            <w:gridSpan w:val="2"/>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Identifying and interpreting correctly drawings, diagrams, schedules, procedures and manuals relevant to the work to be undertaken.</w:t>
            </w:r>
          </w:p>
        </w:tc>
      </w:tr>
      <w:tr w:rsidTr="001E0B8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B.</w:t>
            </w:r>
          </w:p>
        </w:tc>
        <w:tc>
          <w:tcPr>
            <w:tcW w:w="5400" w:type="dxa"/>
            <w:gridSpan w:val="2"/>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Identifying the plant and equipment and their safe operating parameters/requirements</w:t>
            </w:r>
          </w:p>
        </w:tc>
      </w:tr>
      <w:tr w:rsidTr="001E0B8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C.</w:t>
            </w:r>
          </w:p>
        </w:tc>
        <w:tc>
          <w:tcPr>
            <w:tcW w:w="5400" w:type="dxa"/>
            <w:gridSpan w:val="2"/>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Cutting, joining, laying, covering and connecting copper gas distribution pipelines and services in accordance with requirements</w:t>
            </w:r>
          </w:p>
        </w:tc>
      </w:tr>
      <w:tr w:rsidTr="001E0B8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D.</w:t>
            </w:r>
          </w:p>
        </w:tc>
        <w:tc>
          <w:tcPr>
            <w:tcW w:w="5400" w:type="dxa"/>
            <w:gridSpan w:val="2"/>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 xml:space="preserve">Isolating, venting, purging and testing for soundness and leaks, commissioning and making safe gas services </w:t>
            </w:r>
          </w:p>
        </w:tc>
      </w:tr>
      <w:tr w:rsidTr="001E0B8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 xml:space="preserve">E. </w:t>
            </w:r>
          </w:p>
        </w:tc>
        <w:tc>
          <w:tcPr>
            <w:tcW w:w="5400" w:type="dxa"/>
            <w:gridSpan w:val="2"/>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Compl</w:t>
            </w:r>
            <w:r w:rsidRPr="0075111A">
              <w:t>eting required documentation and reporting.</w:t>
            </w:r>
          </w:p>
        </w:tc>
      </w:tr>
      <w:tr w:rsidTr="001E0B8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 xml:space="preserve">F. </w:t>
            </w:r>
          </w:p>
        </w:tc>
        <w:tc>
          <w:tcPr>
            <w:tcW w:w="5400" w:type="dxa"/>
            <w:gridSpan w:val="2"/>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 xml:space="preserve">Dealing with unplanned events by drawing on essential knowledge and skills, procedures/ protocols to provide appropriate solutions incorporated </w:t>
            </w:r>
            <w:r w:rsidRPr="0075111A">
              <w:t>in the holistic assessment with the above listed items, for example encroachment and/or contact with assets</w:t>
            </w:r>
          </w:p>
        </w:tc>
      </w:tr>
    </w:tbl>
    <w:p w:rsidR="00000000" w:rsidRPr="0075111A" w:rsidP="0075111A">
      <w:pPr>
        <w:pStyle w:val="BodyText"/>
      </w:pPr>
    </w:p>
    <w:tbl>
      <w:tblPr>
        <w:tblW w:w="0" w:type="auto"/>
        <w:tblLayout w:type="fixed"/>
        <w:tblCellMar>
          <w:left w:w="62" w:type="dxa"/>
          <w:right w:w="62" w:type="dxa"/>
        </w:tblCellMar>
        <w:tblLook w:val="0000"/>
      </w:tblPr>
      <w:tblGrid>
        <w:gridCol w:w="1766"/>
        <w:gridCol w:w="6570"/>
      </w:tblGrid>
      <w:tr w:rsidTr="0075111A">
        <w:tblPrEx>
          <w:tblW w:w="0" w:type="auto"/>
          <w:tblLayout w:type="fixed"/>
          <w:tblCellMar>
            <w:left w:w="62" w:type="dxa"/>
            <w:right w:w="62" w:type="dxa"/>
          </w:tblCellMar>
          <w:tblLook w:val="0000"/>
        </w:tblPrEx>
        <w:trPr>
          <w:trHeight w:val="798"/>
        </w:trPr>
        <w:tc>
          <w:tcPr>
            <w:tcW w:w="1766"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8.3)</w:t>
            </w:r>
          </w:p>
        </w:tc>
      </w:tr>
      <w:tr w:rsidTr="0075111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This unit should be assessed as it relates to normal work practice using procedures, infor</w:t>
            </w:r>
            <w:r w:rsidRPr="0075111A">
              <w:t>mation and resources typical of a workplace. This should include:</w:t>
            </w:r>
          </w:p>
        </w:tc>
      </w:tr>
      <w:tr w:rsidTr="0075111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5111A">
            <w:pPr>
              <w:pStyle w:val="ListBullet"/>
              <w:rPr>
                <w:lang w:val="en-NZ"/>
              </w:rPr>
            </w:pPr>
            <w:r w:rsidRPr="0075111A">
              <w:t>WHS/OHS policy and work procedures and instructions.</w:t>
            </w:r>
          </w:p>
        </w:tc>
      </w:tr>
      <w:tr w:rsidTr="0075111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5111A">
            <w:pPr>
              <w:pStyle w:val="ListBullet"/>
              <w:rPr>
                <w:lang w:val="en-NZ"/>
              </w:rPr>
            </w:pPr>
            <w:r w:rsidRPr="0075111A">
              <w:t>Suitable work environment, facilities, equipment and materials to undertake actual work as prescribed by this Unit.</w:t>
            </w:r>
          </w:p>
        </w:tc>
      </w:tr>
      <w:tr w:rsidTr="0075111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5111A">
            <w:pPr>
              <w:pStyle w:val="ListBullet"/>
              <w:rPr>
                <w:lang w:val="en-NZ"/>
              </w:rPr>
            </w:pPr>
            <w:r w:rsidRPr="0075111A">
              <w:t>Appropriate environmental regulation and work practices.</w:t>
            </w:r>
          </w:p>
        </w:tc>
      </w:tr>
      <w:tr w:rsidTr="0075111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5111A">
            <w:pPr>
              <w:pStyle w:val="ListBullet"/>
              <w:rPr>
                <w:lang w:val="en-NZ"/>
              </w:rPr>
            </w:pPr>
            <w:r w:rsidRPr="0075111A">
              <w:t>Appropriate organisational requirements.</w:t>
            </w:r>
          </w:p>
        </w:tc>
      </w:tr>
      <w:tr w:rsidTr="0075111A">
        <w:tblPrEx>
          <w:tblW w:w="0" w:type="auto"/>
          <w:tblLayout w:type="fixed"/>
          <w:tblCellMar>
            <w:left w:w="62" w:type="dxa"/>
            <w:right w:w="62" w:type="dxa"/>
          </w:tblCellMar>
          <w:tblLook w:val="0000"/>
        </w:tblPrEx>
        <w:trPr>
          <w:trHeight w:val="516"/>
        </w:trPr>
        <w:tc>
          <w:tcPr>
            <w:tcW w:w="1766"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5111A">
            <w:pPr>
              <w:pStyle w:val="ListBullet"/>
              <w:rPr>
                <w:lang w:val="en-NZ"/>
              </w:rPr>
            </w:pPr>
            <w:r w:rsidRPr="0075111A">
              <w:t>Appropriate work environment, equipment and tools.</w:t>
            </w:r>
          </w:p>
        </w:tc>
      </w:tr>
      <w:tr w:rsidTr="0075111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These should be part of the formal learning/assessment environment.</w:t>
            </w:r>
          </w:p>
          <w:p w:rsidR="00000000" w:rsidRPr="0075111A" w:rsidP="0075111A">
            <w:pPr>
              <w:pStyle w:val="BodyText"/>
            </w:pPr>
          </w:p>
          <w:p w:rsidR="00000000" w:rsidRPr="0075111A" w:rsidP="0075111A">
            <w:pPr>
              <w:pStyle w:val="BodyText"/>
            </w:pPr>
            <w:r w:rsidRPr="0075111A">
              <w:t>Assessment of this competency must also be undertaken in either an actual workplace or under a simulated work environment. Assessment must also integrate the key competencies.</w:t>
            </w:r>
          </w:p>
          <w:p w:rsidR="00000000" w:rsidRPr="0075111A" w:rsidP="0075111A">
            <w:pPr>
              <w:pStyle w:val="BodyText"/>
            </w:pPr>
            <w:r w:rsidRPr="0075111A">
              <w:t>These should be part of the formal learning/assessment environment.</w:t>
            </w:r>
          </w:p>
          <w:p w:rsidR="00000000" w:rsidRPr="0075111A" w:rsidP="0075111A">
            <w:pPr>
              <w:pStyle w:val="BodyText"/>
            </w:pPr>
          </w:p>
          <w:p w:rsidR="00000000" w:rsidRPr="0075111A" w:rsidP="0075111A">
            <w:pPr>
              <w:pStyle w:val="BodyText"/>
            </w:pPr>
            <w:r w:rsidRPr="0075111A">
              <w:t xml:space="preserve">Assessment </w:t>
            </w:r>
            <w:r w:rsidRPr="0075111A">
              <w:t>of this competency must also be undertaken in either an actual workplace or under a simulated work environment. Assessment must also integrate the key competencies.</w:t>
            </w:r>
          </w:p>
          <w:p w:rsidR="00000000" w:rsidRPr="0075111A" w:rsidP="0075111A">
            <w:pPr>
              <w:pStyle w:val="BodyText"/>
            </w:pPr>
          </w:p>
          <w:p w:rsidR="00000000" w:rsidRPr="0075111A" w:rsidP="0075111A">
            <w:pPr>
              <w:pStyle w:val="BodyText"/>
            </w:pPr>
            <w:r w:rsidRPr="0075111A">
              <w:t>Note:</w:t>
            </w:r>
          </w:p>
          <w:p w:rsidR="00000000" w:rsidRPr="0075111A" w:rsidP="0075111A">
            <w:pPr>
              <w:pStyle w:val="BodyText"/>
            </w:pPr>
            <w:r w:rsidRPr="0075111A">
              <w:t>Where simulation is considered a suitable strategy for assessment, conditions must b</w:t>
            </w:r>
            <w:r w:rsidRPr="0075111A">
              <w:t>e authentic and as far as possible reproduce and replicate the workplace and be consistent with the approved industry simulation policy.</w:t>
            </w:r>
          </w:p>
          <w:p w:rsidR="00000000" w:rsidRPr="0075111A" w:rsidP="0075111A">
            <w:pPr>
              <w:pStyle w:val="BodyText"/>
            </w:pPr>
          </w:p>
          <w:p w:rsidR="00000000" w:rsidRPr="0075111A" w:rsidP="0075111A">
            <w:pPr>
              <w:pStyle w:val="BodyText"/>
            </w:pPr>
            <w:r w:rsidRPr="0075111A">
              <w:t>The resources used for assessment should reflect current industry practices in relation to locating, proving and prote</w:t>
            </w:r>
            <w:r w:rsidRPr="0075111A">
              <w:t>cting utility assets.</w:t>
            </w:r>
          </w:p>
          <w:p w:rsidR="00000000" w:rsidRPr="0075111A" w:rsidP="0075111A">
            <w:pPr>
              <w:pStyle w:val="BodyText"/>
            </w:pPr>
          </w:p>
        </w:tc>
      </w:tr>
    </w:tbl>
    <w:p w:rsidR="00000000" w:rsidRPr="0075111A" w:rsidP="0075111A">
      <w:pPr>
        <w:pStyle w:val="BodyText"/>
      </w:pPr>
    </w:p>
    <w:tbl>
      <w:tblPr>
        <w:tblW w:w="0" w:type="auto"/>
        <w:tblLayout w:type="fixed"/>
        <w:tblCellMar>
          <w:left w:w="62" w:type="dxa"/>
          <w:right w:w="62" w:type="dxa"/>
        </w:tblCellMar>
        <w:tblLook w:val="0000"/>
      </w:tblPr>
      <w:tblGrid>
        <w:gridCol w:w="1766"/>
        <w:gridCol w:w="6570"/>
      </w:tblGrid>
      <w:tr w:rsidTr="0075111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8.4)</w:t>
            </w:r>
          </w:p>
        </w:tc>
      </w:tr>
      <w:tr w:rsidTr="0075111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 xml:space="preserve">This Unit shall be assessed by methods given in Volume 1 Part 3 </w:t>
            </w:r>
            <w:r w:rsidRPr="0075111A">
              <w:t>‘Assessment Guidelines’.</w:t>
            </w:r>
          </w:p>
        </w:tc>
      </w:tr>
      <w:tr w:rsidTr="0075111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75111A">
              <w:t>intended for learning/assessment and incorporates all necessary equipment and facilities for learners to develop and demonstrate the Essential Knowledge and Associated Skills described in this unit.</w:t>
            </w:r>
          </w:p>
        </w:tc>
      </w:tr>
    </w:tbl>
    <w:p w:rsidR="00000000" w:rsidRPr="0075111A" w:rsidP="0075111A">
      <w:pPr>
        <w:pStyle w:val="BodyText"/>
      </w:pPr>
    </w:p>
    <w:tbl>
      <w:tblPr>
        <w:tblW w:w="0" w:type="auto"/>
        <w:tblLayout w:type="fixed"/>
        <w:tblCellMar>
          <w:left w:w="62" w:type="dxa"/>
          <w:right w:w="62" w:type="dxa"/>
        </w:tblCellMar>
        <w:tblLook w:val="0000"/>
      </w:tblPr>
      <w:tblGrid>
        <w:gridCol w:w="1766"/>
        <w:gridCol w:w="1778"/>
        <w:gridCol w:w="4792"/>
      </w:tblGrid>
      <w:tr w:rsidTr="0075111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8.5)</w:t>
            </w:r>
          </w:p>
        </w:tc>
      </w:tr>
      <w:tr w:rsidTr="0075111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There are no recommended concurrent assessments with this unit, however in some cases efficiencies may be gained in terms of learning and assessment effort being concurrently managed with allied Units where listed.</w:t>
            </w:r>
          </w:p>
        </w:tc>
      </w:tr>
      <w:tr w:rsidTr="0075111A">
        <w:tblPrEx>
          <w:tblW w:w="0" w:type="auto"/>
          <w:tblLayout w:type="fixed"/>
          <w:tblCellMar>
            <w:left w:w="62" w:type="dxa"/>
            <w:right w:w="62" w:type="dxa"/>
          </w:tblCellMar>
          <w:tblLook w:val="0000"/>
        </w:tblPrEx>
        <w:trPr>
          <w:trHeight w:val="722"/>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8"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UEGNSG132A</w:t>
            </w:r>
          </w:p>
        </w:tc>
        <w:tc>
          <w:tcPr>
            <w:tcW w:w="4792"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Carry out basic work activities in a utilities industry work environment</w:t>
            </w:r>
          </w:p>
        </w:tc>
      </w:tr>
      <w:tr w:rsidTr="0075111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8"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UEGNSG133A</w:t>
            </w:r>
          </w:p>
        </w:tc>
        <w:tc>
          <w:tcPr>
            <w:tcW w:w="4792"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Comply with environmental policies and procedures in the utilities industry</w:t>
            </w:r>
          </w:p>
        </w:tc>
      </w:tr>
      <w:tr w:rsidTr="0075111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8"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UEGNSG134A</w:t>
            </w:r>
          </w:p>
        </w:tc>
        <w:tc>
          <w:tcPr>
            <w:tcW w:w="4792"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Establish a utilities infrastructure work site</w:t>
            </w:r>
          </w:p>
        </w:tc>
      </w:tr>
      <w:tr w:rsidTr="0075111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8"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UEGNSG219A</w:t>
            </w:r>
          </w:p>
        </w:tc>
        <w:tc>
          <w:tcPr>
            <w:tcW w:w="4792"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Conduct excavations in the utilities  industry</w:t>
            </w:r>
          </w:p>
        </w:tc>
      </w:tr>
    </w:tbl>
    <w:p w:rsidR="001E0B85" w:rsidP="0075111A">
      <w:pPr>
        <w:pStyle w:val="BodyText"/>
      </w:pPr>
    </w:p>
    <w:p w:rsidR="001E0B85" w:rsidP="0075111A">
      <w:pPr>
        <w:pStyle w:val="BodyText"/>
      </w:pPr>
    </w:p>
    <w:p w:rsidR="00000000" w:rsidRPr="0075111A" w:rsidP="0075111A">
      <w:pPr>
        <w:pStyle w:val="Heading1"/>
      </w:pPr>
      <w:bookmarkStart w:id="11" w:name="O_611909"/>
      <w:bookmarkEnd w:id="11"/>
      <w:r w:rsidRPr="0075111A">
        <w:t>Range Statement</w:t>
      </w:r>
    </w:p>
    <w:tbl>
      <w:tblPr>
        <w:tblW w:w="0" w:type="auto"/>
        <w:tblLayout w:type="fixed"/>
        <w:tblCellMar>
          <w:left w:w="62" w:type="dxa"/>
          <w:right w:w="62" w:type="dxa"/>
        </w:tblCellMar>
        <w:tblLook w:val="0000"/>
      </w:tblPr>
      <w:tblGrid>
        <w:gridCol w:w="8336"/>
      </w:tblGrid>
      <w:tr w:rsidTr="0075111A">
        <w:tblPrEx>
          <w:tblW w:w="0" w:type="auto"/>
          <w:tblLayout w:type="fixed"/>
          <w:tblCellMar>
            <w:left w:w="62" w:type="dxa"/>
            <w:right w:w="62" w:type="dxa"/>
          </w:tblCellMar>
          <w:tblLook w:val="0000"/>
        </w:tblPrEx>
        <w:trPr>
          <w:trHeight w:val="466"/>
          <w:tblHeader/>
        </w:trPr>
        <w:tc>
          <w:tcPr>
            <w:tcW w:w="8336"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RANGE STATEMENT</w:t>
            </w:r>
          </w:p>
        </w:tc>
      </w:tr>
      <w:tr w:rsidTr="0075111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9)</w:t>
            </w:r>
            <w:r w:rsidRPr="0075111A">
              <w:rPr>
                <w:rStyle w:val="Emphasis"/>
              </w:rPr>
              <w:t xml:space="preserve"> This relates to the competency standard unit as a whole providing the range of contexts and conditions to which the Performance Criteria apply. It allow</w:t>
            </w:r>
            <w:r w:rsidRPr="0075111A">
              <w:rPr>
                <w:rStyle w:val="Emphasis"/>
              </w:rPr>
              <w:t>s for different work environments and situations that will affect performance.</w:t>
            </w:r>
          </w:p>
        </w:tc>
      </w:tr>
      <w:tr w:rsidTr="0075111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This unit shall be demonstrated in relation to constructing and laying copper gas distribution pipelines and services above 20mm diameter, in accordan</w:t>
            </w:r>
            <w:r w:rsidRPr="0075111A">
              <w:t>ce with relevant legislation, code, regulations and procedures. This includes laying and cutting pipes, joining pipes and fittings and the installation of the meter connection to the service riser</w:t>
            </w:r>
          </w:p>
        </w:tc>
      </w:tr>
      <w:tr w:rsidTr="0075111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t>The following constants and variables included in the elem</w:t>
            </w:r>
            <w:r w:rsidRPr="0075111A">
              <w:t>ent/Performance Criteria in this unit are fully described in the Definitions Section of this volume and form an integral part of the Range Statement of this unit:</w:t>
            </w:r>
          </w:p>
        </w:tc>
      </w:tr>
      <w:tr w:rsidTr="0075111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75111A">
            <w:pPr>
              <w:pStyle w:val="ListBullet"/>
              <w:rPr>
                <w:lang w:val="en-NZ"/>
              </w:rPr>
            </w:pPr>
            <w:r w:rsidRPr="0075111A">
              <w:t>Services</w:t>
            </w:r>
          </w:p>
        </w:tc>
      </w:tr>
      <w:tr w:rsidTr="0075111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75111A">
            <w:pPr>
              <w:pStyle w:val="ListBullet"/>
              <w:rPr>
                <w:lang w:val="en-NZ"/>
              </w:rPr>
            </w:pPr>
            <w:r w:rsidRPr="0075111A">
              <w:t>Appropriate persons</w:t>
            </w:r>
          </w:p>
        </w:tc>
      </w:tr>
      <w:tr w:rsidTr="0075111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75111A">
            <w:pPr>
              <w:pStyle w:val="ListBullet"/>
              <w:rPr>
                <w:lang w:val="en-NZ"/>
              </w:rPr>
            </w:pPr>
            <w:r w:rsidRPr="0075111A">
              <w:t>Materials</w:t>
            </w:r>
          </w:p>
        </w:tc>
      </w:tr>
      <w:tr w:rsidTr="0075111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75111A">
            <w:pPr>
              <w:pStyle w:val="ListBullet"/>
              <w:rPr>
                <w:lang w:val="en-NZ"/>
              </w:rPr>
            </w:pPr>
            <w:r w:rsidRPr="0075111A">
              <w:t>Tools and equipment</w:t>
            </w:r>
          </w:p>
        </w:tc>
      </w:tr>
      <w:tr w:rsidTr="0075111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75111A">
            <w:pPr>
              <w:pStyle w:val="ListBullet"/>
              <w:rPr>
                <w:lang w:val="en-NZ"/>
              </w:rPr>
            </w:pPr>
            <w:r w:rsidRPr="0075111A">
              <w:t>Safe working procedures</w:t>
            </w:r>
          </w:p>
        </w:tc>
      </w:tr>
      <w:tr w:rsidTr="0075111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75111A">
            <w:pPr>
              <w:pStyle w:val="ListBullet"/>
              <w:rPr>
                <w:lang w:val="en-NZ"/>
              </w:rPr>
            </w:pPr>
            <w:r w:rsidRPr="0075111A">
              <w:t>Legislative requirements</w:t>
            </w:r>
          </w:p>
        </w:tc>
      </w:tr>
      <w:tr w:rsidTr="0075111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75111A" w:rsidP="0075111A">
            <w:pPr>
              <w:pStyle w:val="ListBullet"/>
            </w:pPr>
            <w:r w:rsidRPr="0075111A">
              <w:t>Standards</w:t>
            </w:r>
          </w:p>
        </w:tc>
      </w:tr>
    </w:tbl>
    <w:p w:rsidR="001E0B85" w:rsidP="0075111A">
      <w:pPr>
        <w:pStyle w:val="BodyText"/>
      </w:pPr>
    </w:p>
    <w:p w:rsidR="001E0B85" w:rsidP="0075111A">
      <w:pPr>
        <w:pStyle w:val="BodyText"/>
      </w:pPr>
    </w:p>
    <w:p w:rsidR="00000000" w:rsidRPr="0075111A" w:rsidP="0075111A">
      <w:pPr>
        <w:pStyle w:val="Heading1"/>
      </w:pPr>
      <w:bookmarkStart w:id="12" w:name="O_611910"/>
      <w:bookmarkEnd w:id="12"/>
      <w:r w:rsidRPr="0075111A">
        <w:t>Unit Sector(s)</w:t>
      </w:r>
    </w:p>
    <w:p w:rsidR="001E0B85" w:rsidP="0075111A">
      <w:pPr>
        <w:pStyle w:val="BodyText"/>
      </w:pPr>
      <w:r w:rsidRPr="0075111A">
        <w:t>Gas Industry</w:t>
      </w:r>
    </w:p>
    <w:p w:rsidR="001E0B85" w:rsidP="0075111A">
      <w:pPr>
        <w:pStyle w:val="BodyText"/>
      </w:pPr>
    </w:p>
    <w:p w:rsidR="00000000" w:rsidRPr="0075111A" w:rsidP="0075111A">
      <w:pPr>
        <w:pStyle w:val="Heading1"/>
      </w:pPr>
      <w:bookmarkStart w:id="13" w:name="O_611911"/>
      <w:bookmarkEnd w:id="13"/>
      <w:r w:rsidRPr="0075111A">
        <w:t>Competency Field</w:t>
      </w:r>
    </w:p>
    <w:tbl>
      <w:tblPr>
        <w:tblW w:w="0" w:type="auto"/>
        <w:tblLayout w:type="fixed"/>
        <w:tblCellMar>
          <w:left w:w="62" w:type="dxa"/>
          <w:right w:w="62" w:type="dxa"/>
        </w:tblCellMar>
        <w:tblLook w:val="0000"/>
      </w:tblPr>
      <w:tblGrid>
        <w:gridCol w:w="2576"/>
        <w:gridCol w:w="5760"/>
      </w:tblGrid>
      <w:tr w:rsidTr="0075111A">
        <w:tblPrEx>
          <w:tblW w:w="0" w:type="auto"/>
          <w:tblLayout w:type="fixed"/>
          <w:tblCellMar>
            <w:left w:w="62" w:type="dxa"/>
            <w:right w:w="62" w:type="dxa"/>
          </w:tblCellMar>
          <w:tblLook w:val="0000"/>
        </w:tblPrEx>
        <w:trPr>
          <w:trHeight w:val="395"/>
          <w:tblHeader/>
        </w:trPr>
        <w:tc>
          <w:tcPr>
            <w:tcW w:w="2576"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5111A">
            <w:pPr>
              <w:pStyle w:val="BodyText"/>
              <w:rPr>
                <w:lang w:val="en-NZ"/>
              </w:rPr>
            </w:pPr>
            <w:r w:rsidRPr="0075111A">
              <w:rPr>
                <w:rStyle w:val="SpecialBold"/>
              </w:rPr>
              <w:t xml:space="preserve">11) </w:t>
            </w:r>
          </w:p>
        </w:tc>
      </w:tr>
      <w:tr w:rsidTr="0075111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111A" w:rsidP="0075111A">
            <w:pPr>
              <w:pStyle w:val="BodyText"/>
            </w:pPr>
            <w:r w:rsidRPr="0075111A">
              <w:t>Gas Distribution discipline.</w:t>
            </w:r>
          </w:p>
        </w:tc>
      </w:tr>
    </w:tbl>
    <w:p w:rsidR="001E0B85" w:rsidP="0075111A">
      <w:pPr>
        <w:pStyle w:val="BodyText"/>
      </w:pPr>
    </w:p>
    <w:p w:rsidR="001E0B85" w:rsidP="0075111A">
      <w:pPr>
        <w:pStyle w:val="BodyText"/>
      </w:pPr>
    </w:p>
    <w:p w:rsidR="00000000" w:rsidRPr="0075111A" w:rsidP="0075111A"/>
    <w:sectPr w:rsidSect="007511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1A" w:rsidRPr="001E0B85" w:rsidP="001E0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B85" w:rsidP="007511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E0B85" w:rsidP="0075111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1E0B85" w:rsidP="007511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1A" w:rsidRPr="001E0B85" w:rsidP="001E0B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B85" w:rsidRPr="002D2AF8" w:rsidP="0075111A">
    <w:pPr>
      <w:pStyle w:val="Header"/>
      <w:framePr w:wrap="around"/>
    </w:pPr>
    <w:r>
      <w:fldChar w:fldCharType="begin"/>
    </w:r>
    <w:r>
      <w:instrText xml:space="preserve"> TITLE   \* MERGEFORMAT </w:instrText>
    </w:r>
    <w:r>
      <w:fldChar w:fldCharType="separate"/>
    </w:r>
    <w:r>
      <w:t>UEGNSG228A Construct and lay large copper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1E0B85" w:rsidP="007511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1EB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DC7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AAB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1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111A"/>
    <w:pPr>
      <w:spacing w:before="360" w:after="60"/>
      <w:outlineLvl w:val="0"/>
    </w:pPr>
    <w:rPr>
      <w:sz w:val="32"/>
    </w:rPr>
  </w:style>
  <w:style w:type="paragraph" w:styleId="Heading2">
    <w:name w:val="heading 2"/>
    <w:basedOn w:val="HeadingBase"/>
    <w:next w:val="BodyText"/>
    <w:link w:val="Heading2Char"/>
    <w:qFormat/>
    <w:rsid w:val="0075111A"/>
    <w:pPr>
      <w:keepLines/>
      <w:spacing w:before="240" w:after="120"/>
      <w:outlineLvl w:val="1"/>
    </w:pPr>
    <w:rPr>
      <w:sz w:val="28"/>
      <w:szCs w:val="40"/>
    </w:rPr>
  </w:style>
  <w:style w:type="paragraph" w:styleId="Heading3">
    <w:name w:val="heading 3"/>
    <w:basedOn w:val="HeadingBase"/>
    <w:next w:val="BodyText"/>
    <w:link w:val="Heading3Char"/>
    <w:qFormat/>
    <w:rsid w:val="0075111A"/>
    <w:pPr>
      <w:spacing w:before="180" w:after="120"/>
      <w:outlineLvl w:val="2"/>
    </w:pPr>
    <w:rPr>
      <w:spacing w:val="-10"/>
      <w:kern w:val="32"/>
    </w:rPr>
  </w:style>
  <w:style w:type="paragraph" w:styleId="Heading4">
    <w:name w:val="heading 4"/>
    <w:basedOn w:val="HeadingBase"/>
    <w:next w:val="BodyText"/>
    <w:link w:val="Heading4Char"/>
    <w:qFormat/>
    <w:rsid w:val="0075111A"/>
    <w:pPr>
      <w:spacing w:before="160" w:after="120"/>
      <w:outlineLvl w:val="3"/>
    </w:pPr>
    <w:rPr>
      <w:sz w:val="22"/>
    </w:rPr>
  </w:style>
  <w:style w:type="paragraph" w:styleId="Heading5">
    <w:name w:val="heading 5"/>
    <w:basedOn w:val="HeadingBase"/>
    <w:next w:val="Normal"/>
    <w:link w:val="Heading5Char"/>
    <w:qFormat/>
    <w:rsid w:val="0075111A"/>
    <w:pPr>
      <w:spacing w:before="80"/>
      <w:outlineLvl w:val="4"/>
    </w:pPr>
    <w:rPr>
      <w:color w:val="918585"/>
      <w:sz w:val="20"/>
    </w:rPr>
  </w:style>
  <w:style w:type="paragraph" w:styleId="Heading6">
    <w:name w:val="heading 6"/>
    <w:basedOn w:val="HeadingBase"/>
    <w:next w:val="Normal"/>
    <w:link w:val="Heading6Char"/>
    <w:qFormat/>
    <w:rsid w:val="0075111A"/>
    <w:pPr>
      <w:spacing w:before="60"/>
      <w:outlineLvl w:val="5"/>
    </w:pPr>
    <w:rPr>
      <w:color w:val="918585"/>
      <w:sz w:val="20"/>
    </w:rPr>
  </w:style>
  <w:style w:type="paragraph" w:styleId="Heading7">
    <w:name w:val="heading 7"/>
    <w:basedOn w:val="Normal"/>
    <w:next w:val="Normal"/>
    <w:link w:val="Heading7Char"/>
    <w:qFormat/>
    <w:rsid w:val="0075111A"/>
    <w:pPr>
      <w:ind w:left="720"/>
      <w:outlineLvl w:val="6"/>
    </w:pPr>
    <w:rPr>
      <w:i/>
    </w:rPr>
  </w:style>
  <w:style w:type="paragraph" w:styleId="Heading8">
    <w:name w:val="heading 8"/>
    <w:basedOn w:val="Normal"/>
    <w:next w:val="Normal"/>
    <w:link w:val="Heading8Char"/>
    <w:qFormat/>
    <w:rsid w:val="0075111A"/>
    <w:pPr>
      <w:ind w:left="720"/>
      <w:outlineLvl w:val="7"/>
    </w:pPr>
    <w:rPr>
      <w:i/>
    </w:rPr>
  </w:style>
  <w:style w:type="paragraph" w:styleId="Heading9">
    <w:name w:val="heading 9"/>
    <w:basedOn w:val="Normal"/>
    <w:next w:val="Normal"/>
    <w:link w:val="Heading9Char"/>
    <w:qFormat/>
    <w:rsid w:val="0075111A"/>
    <w:pPr>
      <w:ind w:left="720"/>
      <w:outlineLvl w:val="8"/>
    </w:pPr>
    <w:rPr>
      <w:i/>
    </w:rPr>
  </w:style>
  <w:style w:type="character" w:default="1" w:styleId="DefaultParagraphFont">
    <w:name w:val="Default Paragraph Font"/>
    <w:uiPriority w:val="1"/>
    <w:unhideWhenUsed/>
    <w:rsid w:val="007511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11A"/>
  </w:style>
  <w:style w:type="character" w:customStyle="1" w:styleId="Heading1Char">
    <w:name w:val="Heading 1 Char"/>
    <w:basedOn w:val="DefaultParagraphFont"/>
    <w:link w:val="Heading1"/>
    <w:rsid w:val="0075111A"/>
    <w:rPr>
      <w:rFonts w:ascii="Times New Roman" w:eastAsia="Times New Roman" w:hAnsi="Times New Roman" w:cs="Times New Roman"/>
      <w:b/>
      <w:sz w:val="32"/>
      <w:szCs w:val="20"/>
      <w:lang w:eastAsia="en-US"/>
    </w:rPr>
  </w:style>
  <w:style w:type="paragraph" w:styleId="BodyText">
    <w:name w:val="Body Text"/>
    <w:basedOn w:val="Normal"/>
    <w:link w:val="BodyTextChar"/>
    <w:rsid w:val="007511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111A"/>
    <w:rPr>
      <w:rFonts w:ascii="Times New Roman" w:eastAsia="Times New Roman" w:hAnsi="Times New Roman" w:cs="Times New Roman"/>
      <w:sz w:val="24"/>
      <w:lang w:eastAsia="en-US"/>
    </w:rPr>
  </w:style>
  <w:style w:type="paragraph" w:styleId="ListBullet">
    <w:name w:val="List Bullet"/>
    <w:basedOn w:val="List"/>
    <w:rsid w:val="0075111A"/>
    <w:pPr>
      <w:numPr>
        <w:numId w:val="13"/>
      </w:numPr>
      <w:tabs>
        <w:tab w:val="clear" w:pos="340"/>
      </w:tabs>
      <w:spacing w:before="40" w:after="40"/>
    </w:pPr>
  </w:style>
  <w:style w:type="character" w:customStyle="1" w:styleId="SpecialBold">
    <w:name w:val="Special Bold"/>
    <w:basedOn w:val="DefaultParagraphFont"/>
    <w:rsid w:val="0075111A"/>
    <w:rPr>
      <w:b/>
      <w:spacing w:val="0"/>
    </w:rPr>
  </w:style>
  <w:style w:type="paragraph" w:styleId="ListBullet2">
    <w:name w:val="List Bullet 2"/>
    <w:basedOn w:val="List2"/>
    <w:rsid w:val="0075111A"/>
    <w:pPr>
      <w:numPr>
        <w:numId w:val="14"/>
      </w:numPr>
      <w:tabs>
        <w:tab w:val="clear" w:pos="680"/>
      </w:tabs>
    </w:pPr>
  </w:style>
  <w:style w:type="character" w:styleId="Emphasis">
    <w:name w:val="Emphasis"/>
    <w:basedOn w:val="DefaultParagraphFont"/>
    <w:qFormat/>
    <w:rsid w:val="0075111A"/>
    <w:rPr>
      <w:i/>
    </w:rPr>
  </w:style>
  <w:style w:type="paragraph" w:customStyle="1" w:styleId="SuperHeading">
    <w:name w:val="SuperHeading"/>
    <w:basedOn w:val="Normal"/>
    <w:rsid w:val="0075111A"/>
    <w:pPr>
      <w:spacing w:before="240" w:after="120"/>
      <w:outlineLvl w:val="0"/>
    </w:pPr>
    <w:rPr>
      <w:rFonts w:ascii="Times New Roman" w:hAnsi="Times New Roman"/>
      <w:b/>
      <w:sz w:val="32"/>
    </w:rPr>
  </w:style>
  <w:style w:type="paragraph" w:customStyle="1" w:styleId="AllowPageBreak">
    <w:name w:val="AllowPageBreak"/>
    <w:rsid w:val="007511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11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11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11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11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11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1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11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111A"/>
    <w:rPr>
      <w:rFonts w:ascii="Courier New" w:eastAsia="Times New Roman" w:hAnsi="Courier New" w:cs="Times New Roman"/>
      <w:i/>
      <w:szCs w:val="20"/>
      <w:lang w:eastAsia="en-US"/>
    </w:rPr>
  </w:style>
  <w:style w:type="paragraph" w:customStyle="1" w:styleId="HeadingBase">
    <w:name w:val="Heading Base"/>
    <w:rsid w:val="007511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11A"/>
    <w:pPr>
      <w:tabs>
        <w:tab w:val="right" w:leader="dot" w:pos="9072"/>
      </w:tabs>
      <w:ind w:left="567"/>
    </w:pPr>
    <w:rPr>
      <w:szCs w:val="22"/>
    </w:rPr>
  </w:style>
  <w:style w:type="paragraph" w:customStyle="1" w:styleId="TOCBase">
    <w:name w:val="TOC Base"/>
    <w:rsid w:val="007511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11A"/>
    <w:pPr>
      <w:tabs>
        <w:tab w:val="right" w:leader="dot" w:pos="9072"/>
      </w:tabs>
      <w:spacing w:before="40" w:after="40"/>
      <w:ind w:left="284"/>
    </w:pPr>
    <w:rPr>
      <w:rFonts w:ascii="Times New Roman" w:hAnsi="Times New Roman"/>
    </w:rPr>
  </w:style>
  <w:style w:type="paragraph" w:styleId="TOC1">
    <w:name w:val="toc 1"/>
    <w:basedOn w:val="TOCBase"/>
    <w:next w:val="Normal"/>
    <w:rsid w:val="007511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11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111A"/>
    <w:rPr>
      <w:rFonts w:ascii="Times New Roman" w:eastAsia="Times New Roman" w:hAnsi="Times New Roman" w:cs="Times New Roman"/>
      <w:sz w:val="16"/>
      <w:lang w:eastAsia="en-US"/>
    </w:rPr>
  </w:style>
  <w:style w:type="paragraph" w:styleId="Title">
    <w:name w:val="Title"/>
    <w:basedOn w:val="HeadingBase"/>
    <w:link w:val="TitleChar"/>
    <w:qFormat/>
    <w:rsid w:val="0075111A"/>
    <w:pPr>
      <w:spacing w:before="5040"/>
      <w:jc w:val="center"/>
    </w:pPr>
    <w:rPr>
      <w:sz w:val="48"/>
      <w:szCs w:val="72"/>
      <w:lang w:val="en-US"/>
    </w:rPr>
  </w:style>
  <w:style w:type="character" w:customStyle="1" w:styleId="TitleChar">
    <w:name w:val="Title Char"/>
    <w:basedOn w:val="DefaultParagraphFont"/>
    <w:link w:val="Title"/>
    <w:rsid w:val="007511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11A"/>
    <w:pPr>
      <w:tabs>
        <w:tab w:val="left" w:pos="3600"/>
        <w:tab w:val="left" w:pos="3958"/>
      </w:tabs>
    </w:pPr>
  </w:style>
  <w:style w:type="paragraph" w:styleId="List">
    <w:name w:val="List"/>
    <w:basedOn w:val="BodyText"/>
    <w:next w:val="BodyText"/>
    <w:rsid w:val="0075111A"/>
    <w:pPr>
      <w:tabs>
        <w:tab w:val="left" w:pos="340"/>
      </w:tabs>
      <w:spacing w:before="60" w:after="60"/>
      <w:ind w:left="340" w:hanging="340"/>
    </w:pPr>
  </w:style>
  <w:style w:type="paragraph" w:customStyle="1" w:styleId="Note">
    <w:name w:val="Note"/>
    <w:basedOn w:val="BodyText"/>
    <w:rsid w:val="007511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111A"/>
    <w:pPr>
      <w:framePr w:wrap="auto" w:hAnchor="text" w:y="6049"/>
    </w:pPr>
    <w:rPr>
      <w:color w:val="000000"/>
      <w:sz w:val="40"/>
    </w:rPr>
  </w:style>
  <w:style w:type="paragraph" w:customStyle="1" w:styleId="TOCTitle">
    <w:name w:val="TOCTitle"/>
    <w:basedOn w:val="Heading1"/>
    <w:rsid w:val="0075111A"/>
    <w:pPr>
      <w:spacing w:after="240"/>
      <w:jc w:val="center"/>
      <w:outlineLvl w:val="9"/>
    </w:pPr>
    <w:rPr>
      <w:caps/>
    </w:rPr>
  </w:style>
  <w:style w:type="paragraph" w:customStyle="1" w:styleId="Version">
    <w:name w:val="Version"/>
    <w:rsid w:val="007511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111A"/>
    <w:pPr>
      <w:keepNext w:val="0"/>
      <w:tabs>
        <w:tab w:val="right" w:pos="4176"/>
      </w:tabs>
      <w:ind w:left="198" w:hanging="198"/>
    </w:pPr>
    <w:rPr>
      <w:rFonts w:ascii="Garamond" w:hAnsi="Garamond"/>
    </w:rPr>
  </w:style>
  <w:style w:type="paragraph" w:styleId="IndexHeading">
    <w:name w:val="index heading"/>
    <w:basedOn w:val="Normal"/>
    <w:next w:val="Index1"/>
    <w:semiHidden/>
    <w:rsid w:val="0075111A"/>
    <w:pPr>
      <w:spacing w:before="120" w:after="120"/>
    </w:pPr>
    <w:rPr>
      <w:rFonts w:ascii="Arial" w:hAnsi="Arial"/>
      <w:b/>
      <w:color w:val="918585"/>
      <w:sz w:val="24"/>
    </w:rPr>
  </w:style>
  <w:style w:type="paragraph" w:styleId="Header">
    <w:name w:val="header"/>
    <w:basedOn w:val="Normal"/>
    <w:link w:val="HeaderChar"/>
    <w:rsid w:val="007511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111A"/>
    <w:rPr>
      <w:rFonts w:ascii="Times New Roman" w:eastAsia="Times New Roman" w:hAnsi="Times New Roman" w:cs="Times New Roman"/>
      <w:sz w:val="16"/>
      <w:szCs w:val="20"/>
      <w:lang w:val="en-GB" w:eastAsia="en-US"/>
    </w:rPr>
  </w:style>
  <w:style w:type="paragraph" w:customStyle="1" w:styleId="Chapter">
    <w:name w:val="Chapter"/>
    <w:basedOn w:val="Normal"/>
    <w:rsid w:val="0075111A"/>
    <w:pPr>
      <w:spacing w:before="240"/>
    </w:pPr>
    <w:rPr>
      <w:rFonts w:ascii="Times New Roman" w:hAnsi="Times New Roman"/>
      <w:smallCaps/>
      <w:spacing w:val="80"/>
      <w:sz w:val="28"/>
    </w:rPr>
  </w:style>
  <w:style w:type="paragraph" w:customStyle="1" w:styleId="InChapter">
    <w:name w:val="InChapter"/>
    <w:basedOn w:val="Heading3"/>
    <w:rsid w:val="0075111A"/>
    <w:pPr>
      <w:spacing w:after="240"/>
      <w:outlineLvl w:val="9"/>
    </w:pPr>
    <w:rPr>
      <w:noProof/>
    </w:rPr>
  </w:style>
  <w:style w:type="paragraph" w:styleId="Index2">
    <w:name w:val="index 2"/>
    <w:basedOn w:val="Normal"/>
    <w:next w:val="Normal"/>
    <w:semiHidden/>
    <w:rsid w:val="0075111A"/>
    <w:pPr>
      <w:tabs>
        <w:tab w:val="right" w:pos="4176"/>
      </w:tabs>
      <w:ind w:left="568" w:hanging="284"/>
    </w:pPr>
    <w:rPr>
      <w:rFonts w:ascii="Garamond" w:hAnsi="Garamond"/>
    </w:rPr>
  </w:style>
  <w:style w:type="paragraph" w:customStyle="1" w:styleId="Byline">
    <w:name w:val="Byline"/>
    <w:rsid w:val="007511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11A"/>
    <w:pPr>
      <w:tabs>
        <w:tab w:val="clear" w:pos="3600"/>
        <w:tab w:val="clear" w:pos="3958"/>
      </w:tabs>
      <w:jc w:val="right"/>
    </w:pPr>
  </w:style>
  <w:style w:type="paragraph" w:styleId="Caption">
    <w:name w:val="caption"/>
    <w:basedOn w:val="BodyText"/>
    <w:next w:val="Normal"/>
    <w:qFormat/>
    <w:rsid w:val="0075111A"/>
    <w:pPr>
      <w:framePr w:w="2268" w:hSpace="181" w:vSpace="181" w:wrap="around" w:vAnchor="text" w:hAnchor="page" w:x="1135" w:y="285" w:anchorLock="1"/>
    </w:pPr>
    <w:rPr>
      <w:i/>
    </w:rPr>
  </w:style>
  <w:style w:type="paragraph" w:customStyle="1" w:styleId="MiniTOCTitle">
    <w:name w:val="MiniTOCTitle"/>
    <w:basedOn w:val="Heading4"/>
    <w:rsid w:val="0075111A"/>
    <w:pPr>
      <w:spacing w:before="240"/>
      <w:outlineLvl w:val="9"/>
    </w:pPr>
    <w:rPr>
      <w:noProof/>
      <w:sz w:val="24"/>
    </w:rPr>
  </w:style>
  <w:style w:type="paragraph" w:customStyle="1" w:styleId="MiniTOCItem">
    <w:name w:val="MiniTOCItem"/>
    <w:basedOn w:val="ListBullet"/>
    <w:rsid w:val="0075111A"/>
    <w:pPr>
      <w:numPr>
        <w:numId w:val="0"/>
      </w:numPr>
      <w:tabs>
        <w:tab w:val="right" w:leader="dot" w:pos="6521"/>
      </w:tabs>
      <w:spacing w:before="0" w:after="0"/>
    </w:pPr>
  </w:style>
  <w:style w:type="paragraph" w:customStyle="1" w:styleId="TOFTitle">
    <w:name w:val="TOFTitle"/>
    <w:basedOn w:val="TOCTitle"/>
    <w:rsid w:val="0075111A"/>
  </w:style>
  <w:style w:type="paragraph" w:styleId="TableofFigures">
    <w:name w:val="table of figures"/>
    <w:basedOn w:val="Normal"/>
    <w:next w:val="Normal"/>
    <w:semiHidden/>
    <w:rsid w:val="0075111A"/>
    <w:pPr>
      <w:tabs>
        <w:tab w:val="right" w:leader="dot" w:pos="9072"/>
      </w:tabs>
      <w:ind w:left="970" w:hanging="403"/>
    </w:pPr>
    <w:rPr>
      <w:rFonts w:ascii="Times New Roman" w:hAnsi="Times New Roman"/>
      <w:b/>
    </w:rPr>
  </w:style>
  <w:style w:type="paragraph" w:styleId="ListNumber">
    <w:name w:val="List Number"/>
    <w:basedOn w:val="List"/>
    <w:rsid w:val="0075111A"/>
    <w:pPr>
      <w:numPr>
        <w:numId w:val="11"/>
      </w:numPr>
    </w:pPr>
  </w:style>
  <w:style w:type="character" w:customStyle="1" w:styleId="WingdingSymbols">
    <w:name w:val="Wingding Symbols"/>
    <w:rsid w:val="0075111A"/>
    <w:rPr>
      <w:rFonts w:ascii="Wingdings" w:hAnsi="Wingdings"/>
    </w:rPr>
  </w:style>
  <w:style w:type="paragraph" w:customStyle="1" w:styleId="TableHeading">
    <w:name w:val="Table Heading"/>
    <w:basedOn w:val="HeadingBase"/>
    <w:rsid w:val="0075111A"/>
    <w:pPr>
      <w:keepLines/>
      <w:pBdr>
        <w:bottom w:val="single" w:sz="6" w:space="1" w:color="918585"/>
      </w:pBdr>
      <w:spacing w:before="240"/>
    </w:pPr>
  </w:style>
  <w:style w:type="character" w:customStyle="1" w:styleId="HotSpot">
    <w:name w:val="HotSpot"/>
    <w:rsid w:val="0075111A"/>
    <w:rPr>
      <w:color w:val="0033CC"/>
      <w:u w:val="none"/>
    </w:rPr>
  </w:style>
  <w:style w:type="paragraph" w:customStyle="1" w:styleId="BodyTextRight">
    <w:name w:val="Body Text Right"/>
    <w:basedOn w:val="BodyText"/>
    <w:rsid w:val="0075111A"/>
    <w:pPr>
      <w:spacing w:before="0" w:after="0"/>
      <w:jc w:val="right"/>
    </w:pPr>
  </w:style>
  <w:style w:type="paragraph" w:styleId="Index3">
    <w:name w:val="index 3"/>
    <w:basedOn w:val="ListNumber2"/>
    <w:next w:val="Normal"/>
    <w:semiHidden/>
    <w:rsid w:val="0075111A"/>
    <w:pPr>
      <w:numPr>
        <w:numId w:val="0"/>
      </w:numPr>
      <w:tabs>
        <w:tab w:val="right" w:leader="dot" w:pos="4176"/>
      </w:tabs>
    </w:pPr>
  </w:style>
  <w:style w:type="paragraph" w:styleId="ListNumber2">
    <w:name w:val="List Number 2"/>
    <w:basedOn w:val="List2"/>
    <w:rsid w:val="0075111A"/>
    <w:pPr>
      <w:numPr>
        <w:numId w:val="10"/>
      </w:numPr>
      <w:tabs>
        <w:tab w:val="clear" w:pos="1060"/>
      </w:tabs>
    </w:pPr>
  </w:style>
  <w:style w:type="paragraph" w:customStyle="1" w:styleId="MarginNote">
    <w:name w:val="Margin Note"/>
    <w:basedOn w:val="BodyText"/>
    <w:rsid w:val="007511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1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11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111A"/>
    <w:rPr>
      <w:sz w:val="32"/>
    </w:rPr>
  </w:style>
  <w:style w:type="paragraph" w:customStyle="1" w:styleId="HeadingProcedure">
    <w:name w:val="Heading Procedure"/>
    <w:basedOn w:val="HeadingBase"/>
    <w:next w:val="Normal"/>
    <w:rsid w:val="0075111A"/>
    <w:pPr>
      <w:tabs>
        <w:tab w:val="left" w:pos="0"/>
      </w:tabs>
      <w:spacing w:before="120" w:after="60"/>
    </w:pPr>
    <w:rPr>
      <w:i/>
      <w:color w:val="918585"/>
      <w:sz w:val="22"/>
    </w:rPr>
  </w:style>
  <w:style w:type="paragraph" w:customStyle="1" w:styleId="TableBodyText">
    <w:name w:val="Table Body Text"/>
    <w:basedOn w:val="BodyText"/>
    <w:rsid w:val="0075111A"/>
    <w:pPr>
      <w:spacing w:before="60" w:after="60"/>
    </w:pPr>
  </w:style>
  <w:style w:type="paragraph" w:styleId="ListContinue">
    <w:name w:val="List Continue"/>
    <w:basedOn w:val="List"/>
    <w:rsid w:val="0075111A"/>
    <w:pPr>
      <w:ind w:firstLine="0"/>
    </w:pPr>
  </w:style>
  <w:style w:type="paragraph" w:customStyle="1" w:styleId="ListNote">
    <w:name w:val="List Note"/>
    <w:basedOn w:val="List"/>
    <w:rsid w:val="0075111A"/>
    <w:pPr>
      <w:pBdr>
        <w:top w:val="single" w:sz="6" w:space="2" w:color="918585"/>
        <w:bottom w:val="single" w:sz="6" w:space="2" w:color="918585"/>
      </w:pBdr>
      <w:tabs>
        <w:tab w:val="left" w:pos="1021"/>
      </w:tabs>
      <w:ind w:firstLine="0"/>
    </w:pPr>
  </w:style>
  <w:style w:type="paragraph" w:customStyle="1" w:styleId="Warning">
    <w:name w:val="Warning"/>
    <w:basedOn w:val="BodyText"/>
    <w:rsid w:val="0075111A"/>
    <w:pPr>
      <w:shd w:val="clear" w:color="auto" w:fill="D9D9D9"/>
      <w:tabs>
        <w:tab w:val="left" w:pos="992"/>
      </w:tabs>
      <w:ind w:left="119" w:right="119"/>
    </w:pPr>
    <w:rPr>
      <w:sz w:val="20"/>
    </w:rPr>
  </w:style>
  <w:style w:type="paragraph" w:customStyle="1" w:styleId="MarginIcons">
    <w:name w:val="Margin Icons"/>
    <w:basedOn w:val="BodyText"/>
    <w:rsid w:val="007511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111A"/>
    <w:rPr>
      <w:rFonts w:ascii="Courier New" w:hAnsi="Courier New"/>
    </w:rPr>
  </w:style>
  <w:style w:type="paragraph" w:customStyle="1" w:styleId="NoteBullet">
    <w:name w:val="Note Bullet"/>
    <w:basedOn w:val="Note"/>
    <w:rsid w:val="0075111A"/>
    <w:pPr>
      <w:tabs>
        <w:tab w:val="clear" w:pos="680"/>
      </w:tabs>
      <w:spacing w:before="60" w:after="60"/>
    </w:pPr>
  </w:style>
  <w:style w:type="paragraph" w:customStyle="1" w:styleId="SubHeading2">
    <w:name w:val="SubHeading2"/>
    <w:basedOn w:val="HeadingBase"/>
    <w:rsid w:val="0075111A"/>
    <w:pPr>
      <w:spacing w:before="240" w:after="60"/>
    </w:pPr>
    <w:rPr>
      <w:sz w:val="20"/>
    </w:rPr>
  </w:style>
  <w:style w:type="paragraph" w:customStyle="1" w:styleId="SubHeading1">
    <w:name w:val="SubHeading1"/>
    <w:basedOn w:val="HeadingBase"/>
    <w:rsid w:val="0075111A"/>
    <w:pPr>
      <w:spacing w:before="240" w:after="60"/>
    </w:pPr>
    <w:rPr>
      <w:color w:val="918585"/>
      <w:sz w:val="22"/>
    </w:rPr>
  </w:style>
  <w:style w:type="paragraph" w:customStyle="1" w:styleId="SideHeading">
    <w:name w:val="Side Heading"/>
    <w:basedOn w:val="HeadingBase"/>
    <w:rsid w:val="007511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11A"/>
    <w:pPr>
      <w:numPr>
        <w:numId w:val="12"/>
      </w:numPr>
    </w:pPr>
  </w:style>
  <w:style w:type="paragraph" w:styleId="PlainText">
    <w:name w:val="Plain Text"/>
    <w:basedOn w:val="Normal"/>
    <w:link w:val="PlainTextChar"/>
    <w:rsid w:val="0075111A"/>
    <w:rPr>
      <w:sz w:val="20"/>
    </w:rPr>
  </w:style>
  <w:style w:type="character" w:customStyle="1" w:styleId="PlainTextChar">
    <w:name w:val="Plain Text Char"/>
    <w:basedOn w:val="DefaultParagraphFont"/>
    <w:link w:val="PlainText"/>
    <w:rsid w:val="0075111A"/>
    <w:rPr>
      <w:rFonts w:ascii="Courier New" w:eastAsia="Times New Roman" w:hAnsi="Courier New" w:cs="Times New Roman"/>
      <w:sz w:val="20"/>
      <w:szCs w:val="20"/>
      <w:lang w:eastAsia="en-US"/>
    </w:rPr>
  </w:style>
  <w:style w:type="character" w:customStyle="1" w:styleId="MenuOption">
    <w:name w:val="Menu Option"/>
    <w:basedOn w:val="DefaultParagraphFont"/>
    <w:rsid w:val="0075111A"/>
    <w:rPr>
      <w:b/>
      <w:smallCaps/>
    </w:rPr>
  </w:style>
  <w:style w:type="paragraph" w:customStyle="1" w:styleId="TableListNumber">
    <w:name w:val="Table List Number"/>
    <w:basedOn w:val="ListNumber"/>
    <w:rsid w:val="0075111A"/>
    <w:pPr>
      <w:numPr>
        <w:numId w:val="0"/>
      </w:numPr>
    </w:pPr>
  </w:style>
  <w:style w:type="paragraph" w:styleId="TOC4">
    <w:name w:val="toc 4"/>
    <w:basedOn w:val="TOCBase"/>
    <w:next w:val="Normal"/>
    <w:semiHidden/>
    <w:rsid w:val="0075111A"/>
    <w:pPr>
      <w:tabs>
        <w:tab w:val="right" w:leader="dot" w:pos="9071"/>
      </w:tabs>
      <w:ind w:left="1701"/>
    </w:pPr>
  </w:style>
  <w:style w:type="paragraph" w:customStyle="1" w:styleId="ListAlpha">
    <w:name w:val="List Alpha"/>
    <w:basedOn w:val="List"/>
    <w:rsid w:val="0075111A"/>
    <w:pPr>
      <w:numPr>
        <w:numId w:val="9"/>
      </w:numPr>
    </w:pPr>
  </w:style>
  <w:style w:type="paragraph" w:customStyle="1" w:styleId="ListAlpha2">
    <w:name w:val="List Alpha 2"/>
    <w:basedOn w:val="List2"/>
    <w:rsid w:val="0075111A"/>
    <w:pPr>
      <w:numPr>
        <w:numId w:val="8"/>
      </w:numPr>
    </w:pPr>
  </w:style>
  <w:style w:type="paragraph" w:styleId="List2">
    <w:name w:val="List 2"/>
    <w:basedOn w:val="BodyText"/>
    <w:rsid w:val="0075111A"/>
    <w:pPr>
      <w:tabs>
        <w:tab w:val="left" w:pos="680"/>
      </w:tabs>
      <w:spacing w:before="60" w:after="60"/>
      <w:ind w:left="680" w:hanging="340"/>
    </w:pPr>
  </w:style>
  <w:style w:type="paragraph" w:styleId="List3">
    <w:name w:val="List 3"/>
    <w:basedOn w:val="BodyText"/>
    <w:rsid w:val="0075111A"/>
    <w:pPr>
      <w:tabs>
        <w:tab w:val="left" w:pos="1021"/>
      </w:tabs>
      <w:spacing w:before="60" w:after="60"/>
      <w:ind w:left="1020" w:hanging="340"/>
    </w:pPr>
  </w:style>
  <w:style w:type="paragraph" w:styleId="List4">
    <w:name w:val="List 4"/>
    <w:basedOn w:val="BodyText"/>
    <w:rsid w:val="0075111A"/>
    <w:pPr>
      <w:tabs>
        <w:tab w:val="left" w:pos="1361"/>
      </w:tabs>
      <w:spacing w:before="60" w:after="60"/>
      <w:ind w:left="1361" w:hanging="340"/>
    </w:pPr>
  </w:style>
  <w:style w:type="paragraph" w:styleId="List5">
    <w:name w:val="List 5"/>
    <w:basedOn w:val="BodyText"/>
    <w:rsid w:val="0075111A"/>
    <w:pPr>
      <w:tabs>
        <w:tab w:val="left" w:pos="1701"/>
      </w:tabs>
      <w:spacing w:before="60" w:after="60"/>
      <w:ind w:left="1701" w:hanging="340"/>
    </w:pPr>
  </w:style>
  <w:style w:type="paragraph" w:styleId="ListBullet3">
    <w:name w:val="List Bullet 3"/>
    <w:basedOn w:val="List3"/>
    <w:rsid w:val="0075111A"/>
    <w:pPr>
      <w:numPr>
        <w:numId w:val="15"/>
      </w:numPr>
      <w:tabs>
        <w:tab w:val="clear" w:pos="1021"/>
      </w:tabs>
      <w:ind w:left="1037" w:hanging="357"/>
    </w:pPr>
  </w:style>
  <w:style w:type="paragraph" w:styleId="ListBullet4">
    <w:name w:val="List Bullet 4"/>
    <w:basedOn w:val="List4"/>
    <w:rsid w:val="0075111A"/>
    <w:pPr>
      <w:numPr>
        <w:numId w:val="3"/>
      </w:numPr>
    </w:pPr>
  </w:style>
  <w:style w:type="paragraph" w:styleId="ListBullet5">
    <w:name w:val="List Bullet 5"/>
    <w:basedOn w:val="List5"/>
    <w:rsid w:val="0075111A"/>
    <w:pPr>
      <w:numPr>
        <w:numId w:val="4"/>
      </w:numPr>
    </w:pPr>
  </w:style>
  <w:style w:type="paragraph" w:styleId="ListContinue2">
    <w:name w:val="List Continue 2"/>
    <w:basedOn w:val="List2"/>
    <w:rsid w:val="0075111A"/>
    <w:pPr>
      <w:ind w:firstLine="0"/>
    </w:pPr>
  </w:style>
  <w:style w:type="paragraph" w:styleId="ListContinue3">
    <w:name w:val="List Continue 3"/>
    <w:basedOn w:val="List3"/>
    <w:rsid w:val="0075111A"/>
    <w:pPr>
      <w:ind w:left="1021" w:firstLine="0"/>
    </w:pPr>
  </w:style>
  <w:style w:type="paragraph" w:styleId="ListContinue4">
    <w:name w:val="List Continue 4"/>
    <w:basedOn w:val="List4"/>
    <w:rsid w:val="0075111A"/>
    <w:pPr>
      <w:ind w:firstLine="0"/>
    </w:pPr>
  </w:style>
  <w:style w:type="paragraph" w:styleId="ListContinue5">
    <w:name w:val="List Continue 5"/>
    <w:basedOn w:val="List5"/>
    <w:rsid w:val="0075111A"/>
    <w:pPr>
      <w:ind w:firstLine="0"/>
    </w:pPr>
  </w:style>
  <w:style w:type="paragraph" w:styleId="ListNumber3">
    <w:name w:val="List Number 3"/>
    <w:basedOn w:val="List3"/>
    <w:rsid w:val="0075111A"/>
    <w:pPr>
      <w:numPr>
        <w:numId w:val="5"/>
      </w:numPr>
    </w:pPr>
  </w:style>
  <w:style w:type="paragraph" w:styleId="ListNumber4">
    <w:name w:val="List Number 4"/>
    <w:basedOn w:val="List4"/>
    <w:rsid w:val="0075111A"/>
    <w:pPr>
      <w:numPr>
        <w:numId w:val="6"/>
      </w:numPr>
    </w:pPr>
  </w:style>
  <w:style w:type="paragraph" w:styleId="ListNumber5">
    <w:name w:val="List Number 5"/>
    <w:basedOn w:val="List5"/>
    <w:rsid w:val="0075111A"/>
    <w:pPr>
      <w:numPr>
        <w:numId w:val="7"/>
      </w:numPr>
    </w:pPr>
  </w:style>
  <w:style w:type="paragraph" w:styleId="BlockText">
    <w:name w:val="Block Text"/>
    <w:basedOn w:val="Normal"/>
    <w:rsid w:val="0075111A"/>
    <w:pPr>
      <w:spacing w:after="120"/>
      <w:ind w:left="1440" w:right="1440"/>
    </w:pPr>
  </w:style>
  <w:style w:type="character" w:customStyle="1" w:styleId="Subscript">
    <w:name w:val="Subscript"/>
    <w:basedOn w:val="DefaultParagraphFont"/>
    <w:rsid w:val="0075111A"/>
    <w:rPr>
      <w:sz w:val="16"/>
      <w:vertAlign w:val="subscript"/>
    </w:rPr>
  </w:style>
  <w:style w:type="character" w:customStyle="1" w:styleId="Superscript">
    <w:name w:val="Superscript"/>
    <w:basedOn w:val="DefaultParagraphFont"/>
    <w:rsid w:val="0075111A"/>
    <w:rPr>
      <w:sz w:val="16"/>
      <w:vertAlign w:val="superscript"/>
    </w:rPr>
  </w:style>
  <w:style w:type="character" w:customStyle="1" w:styleId="Symbols">
    <w:name w:val="Symbols"/>
    <w:basedOn w:val="DefaultParagraphFont"/>
    <w:rsid w:val="0075111A"/>
    <w:rPr>
      <w:rFonts w:ascii="Symbol" w:hAnsi="Symbol"/>
    </w:rPr>
  </w:style>
  <w:style w:type="character" w:customStyle="1" w:styleId="MenuOptions">
    <w:name w:val="Menu Options"/>
    <w:basedOn w:val="DefaultParagraphFont"/>
    <w:rsid w:val="0075111A"/>
    <w:rPr>
      <w:rFonts w:ascii="Arial Narrow" w:hAnsi="Arial Narrow"/>
      <w:smallCaps/>
    </w:rPr>
  </w:style>
  <w:style w:type="character" w:customStyle="1" w:styleId="Buttons">
    <w:name w:val="Buttons"/>
    <w:basedOn w:val="DefaultParagraphFont"/>
    <w:rsid w:val="0075111A"/>
    <w:rPr>
      <w:b/>
    </w:rPr>
  </w:style>
  <w:style w:type="character" w:customStyle="1" w:styleId="Underlined">
    <w:name w:val="Underlined"/>
    <w:basedOn w:val="DefaultParagraphFont"/>
    <w:rsid w:val="0075111A"/>
    <w:rPr>
      <w:u w:val="single"/>
    </w:rPr>
  </w:style>
  <w:style w:type="paragraph" w:customStyle="1" w:styleId="TableBodyTextRight">
    <w:name w:val="Table Body Text Right"/>
    <w:basedOn w:val="TableBodyText"/>
    <w:rsid w:val="0075111A"/>
    <w:pPr>
      <w:widowControl w:val="0"/>
      <w:autoSpaceDE w:val="0"/>
      <w:autoSpaceDN w:val="0"/>
      <w:adjustRightInd w:val="0"/>
      <w:jc w:val="right"/>
    </w:pPr>
    <w:rPr>
      <w:rFonts w:cs="Arial"/>
      <w:szCs w:val="18"/>
    </w:rPr>
  </w:style>
  <w:style w:type="paragraph" w:customStyle="1" w:styleId="CopyrightText">
    <w:name w:val="Copyright Text"/>
    <w:basedOn w:val="BodyText"/>
    <w:rsid w:val="0075111A"/>
    <w:rPr>
      <w:sz w:val="18"/>
    </w:rPr>
  </w:style>
  <w:style w:type="paragraph" w:customStyle="1" w:styleId="BodySmallRight">
    <w:name w:val="Body Small Right"/>
    <w:basedOn w:val="BodyTextRight"/>
    <w:rsid w:val="0075111A"/>
    <w:rPr>
      <w:sz w:val="18"/>
      <w:szCs w:val="18"/>
    </w:rPr>
  </w:style>
  <w:style w:type="paragraph" w:customStyle="1" w:styleId="MarginEdition">
    <w:name w:val="Margin Edition"/>
    <w:basedOn w:val="MarginNote"/>
    <w:rsid w:val="0075111A"/>
    <w:pPr>
      <w:spacing w:before="0" w:after="0"/>
    </w:pPr>
    <w:rPr>
      <w:rFonts w:ascii="Times New Roman" w:hAnsi="Times New Roman"/>
      <w:color w:val="999999"/>
    </w:rPr>
  </w:style>
  <w:style w:type="paragraph" w:customStyle="1" w:styleId="Spacer">
    <w:name w:val="Spacer"/>
    <w:basedOn w:val="Normal"/>
    <w:rsid w:val="0075111A"/>
    <w:rPr>
      <w:sz w:val="2"/>
      <w:szCs w:val="2"/>
    </w:rPr>
  </w:style>
  <w:style w:type="character" w:customStyle="1" w:styleId="Small">
    <w:name w:val="Small"/>
    <w:basedOn w:val="DefaultParagraphFont"/>
    <w:rsid w:val="0075111A"/>
    <w:rPr>
      <w:sz w:val="16"/>
    </w:rPr>
  </w:style>
  <w:style w:type="paragraph" w:customStyle="1" w:styleId="WideTable">
    <w:name w:val="Wide Table"/>
    <w:basedOn w:val="Normal"/>
    <w:rsid w:val="0075111A"/>
    <w:pPr>
      <w:ind w:left="-1418"/>
    </w:pPr>
    <w:rPr>
      <w:sz w:val="2"/>
      <w:szCs w:val="2"/>
    </w:rPr>
  </w:style>
  <w:style w:type="character" w:styleId="PageNumber">
    <w:name w:val="page number"/>
    <w:basedOn w:val="DefaultParagraphFont"/>
    <w:rsid w:val="0075111A"/>
  </w:style>
  <w:style w:type="paragraph" w:styleId="Quote">
    <w:name w:val="Quote"/>
    <w:basedOn w:val="Heading1"/>
    <w:link w:val="QuoteChar"/>
    <w:qFormat/>
    <w:rsid w:val="0075111A"/>
    <w:rPr>
      <w:b w:val="0"/>
      <w:sz w:val="72"/>
      <w:szCs w:val="72"/>
      <w:lang w:val="en-NZ"/>
    </w:rPr>
  </w:style>
  <w:style w:type="character" w:customStyle="1" w:styleId="QuoteChar">
    <w:name w:val="Quote Char"/>
    <w:basedOn w:val="DefaultParagraphFont"/>
    <w:link w:val="Quote"/>
    <w:rsid w:val="007511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11A"/>
    <w:pPr>
      <w:pageBreakBefore/>
    </w:pPr>
  </w:style>
  <w:style w:type="paragraph" w:customStyle="1" w:styleId="Border">
    <w:name w:val="Border"/>
    <w:basedOn w:val="Normal"/>
    <w:qFormat/>
    <w:rsid w:val="007511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111A"/>
    <w:rPr>
      <w:b/>
      <w:bCs/>
      <w:i/>
      <w:iCs/>
      <w:color w:val="auto"/>
    </w:rPr>
  </w:style>
  <w:style w:type="paragraph" w:styleId="IntenseQuote">
    <w:name w:val="Intense Quote"/>
    <w:basedOn w:val="Normal"/>
    <w:next w:val="Normal"/>
    <w:link w:val="IntenseQuoteChar"/>
    <w:uiPriority w:val="30"/>
    <w:qFormat/>
    <w:rsid w:val="007511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11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111A"/>
    <w:rPr>
      <w:smallCaps/>
      <w:color w:val="auto"/>
      <w:u w:val="single"/>
    </w:rPr>
  </w:style>
  <w:style w:type="character" w:styleId="IntenseReference">
    <w:name w:val="Intense Reference"/>
    <w:basedOn w:val="DefaultParagraphFont"/>
    <w:uiPriority w:val="32"/>
    <w:qFormat/>
    <w:rsid w:val="0075111A"/>
    <w:rPr>
      <w:b/>
      <w:bCs/>
      <w:smallCaps/>
      <w:color w:val="auto"/>
      <w:spacing w:val="5"/>
      <w:u w:val="single"/>
    </w:rPr>
  </w:style>
  <w:style w:type="paragraph" w:customStyle="1" w:styleId="2ColumnHeading">
    <w:name w:val="2Column Heading"/>
    <w:basedOn w:val="BodyText"/>
    <w:qFormat/>
    <w:rsid w:val="0075111A"/>
    <w:pPr>
      <w:spacing w:after="60"/>
      <w:ind w:left="-2268"/>
    </w:pPr>
    <w:rPr>
      <w:b/>
    </w:rPr>
  </w:style>
  <w:style w:type="paragraph" w:customStyle="1" w:styleId="Heading1TOC">
    <w:name w:val="Heading1 TOC"/>
    <w:basedOn w:val="Normal"/>
    <w:qFormat/>
    <w:rsid w:val="0075111A"/>
    <w:pPr>
      <w:spacing w:before="240" w:after="120"/>
    </w:pPr>
    <w:rPr>
      <w:rFonts w:ascii="Times New Roman" w:hAnsi="Times New Roman"/>
      <w:b/>
      <w:sz w:val="32"/>
    </w:rPr>
  </w:style>
  <w:style w:type="paragraph" w:customStyle="1" w:styleId="Heading2TOC">
    <w:name w:val="Heading2 TOC"/>
    <w:basedOn w:val="Normal"/>
    <w:qFormat/>
    <w:rsid w:val="0075111A"/>
    <w:pPr>
      <w:spacing w:before="240" w:after="60"/>
    </w:pPr>
    <w:rPr>
      <w:rFonts w:ascii="Times New Roman" w:hAnsi="Times New Roman"/>
      <w:b/>
      <w:sz w:val="28"/>
    </w:rPr>
  </w:style>
  <w:style w:type="character" w:customStyle="1" w:styleId="Underline">
    <w:name w:val="Underline"/>
    <w:basedOn w:val="DefaultParagraphFont"/>
    <w:qFormat/>
    <w:rsid w:val="0075111A"/>
    <w:rPr>
      <w:u w:val="single"/>
    </w:rPr>
  </w:style>
  <w:style w:type="character" w:customStyle="1" w:styleId="BoldandItalics">
    <w:name w:val="Bold and Italics"/>
    <w:qFormat/>
    <w:rsid w:val="0075111A"/>
    <w:rPr>
      <w:b/>
      <w:i/>
      <w:u w:val="none"/>
    </w:rPr>
  </w:style>
  <w:style w:type="paragraph" w:styleId="BalloonText">
    <w:name w:val="Balloon Text"/>
    <w:basedOn w:val="Normal"/>
    <w:link w:val="BalloonTextChar"/>
    <w:rsid w:val="0075111A"/>
    <w:rPr>
      <w:rFonts w:ascii="Tahoma" w:hAnsi="Tahoma" w:cs="Tahoma"/>
      <w:sz w:val="16"/>
      <w:szCs w:val="16"/>
    </w:rPr>
  </w:style>
  <w:style w:type="character" w:customStyle="1" w:styleId="BalloonTextChar">
    <w:name w:val="Balloon Text Char"/>
    <w:basedOn w:val="DefaultParagraphFont"/>
    <w:link w:val="BalloonText"/>
    <w:rsid w:val="007511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11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11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111A"/>
    <w:rPr>
      <w:b/>
      <w:color w:val="660033"/>
      <w:spacing w:val="0"/>
    </w:rPr>
  </w:style>
  <w:style w:type="paragraph" w:customStyle="1" w:styleId="Nameditemlist">
    <w:name w:val="Named item list"/>
    <w:basedOn w:val="BodyText"/>
    <w:qFormat/>
    <w:rsid w:val="007511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2446</Words>
  <Characters>15051</Characters>
  <Application>Microsoft Office Word</Application>
  <DocSecurity>0</DocSecurity>
  <Lines>638</Lines>
  <Paragraphs>249</Paragraphs>
  <ScaleCrop>false</ScaleCrop>
  <Company>Author-it Software Corporation Ltd.</Company>
  <LinksUpToDate>false</LinksUpToDate>
  <CharactersWithSpaces>17345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UEGNSG228A Construct and lay large copper gas distribution pipelines</dc:title>
  <dc:subject>Approved</dc:subject>
  <dc:creator>E-Oz Training Standards</dc:creator>
  <cp:keywords>Release 1</cp:keywords>
  <dc:description>Review Date: 12 April 2008</dc:description>
  <cp:lastModifiedBy>TPCMS</cp:lastModifiedBy>
  <cp:revision>3</cp:revision>
  <dcterms:created xsi:type="dcterms:W3CDTF">2014-03-13T15:18:49Z</dcterms:created>
  <dcterms:modified xsi:type="dcterms:W3CDTF">2014-03-13T03:49:00Z</dcterms:modified>
</cp:coreProperties>
</file>