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6D5F" w:rsidP="00E16D5F">
      <w:pPr>
        <w:pStyle w:val="Title"/>
      </w:pPr>
      <w:r>
        <w:fldChar w:fldCharType="begin"/>
      </w:r>
      <w:r>
        <w:instrText xml:space="preserve"> TITLE   \* MERGEFORMAT </w:instrText>
      </w:r>
      <w:r>
        <w:fldChar w:fldCharType="separate"/>
      </w:r>
      <w:r>
        <w:t>UEGNSG224A Construct and lay copper and stainless steel gas distribution pipelines</w:t>
      </w:r>
      <w:r>
        <w:fldChar w:fldCharType="end"/>
      </w:r>
    </w:p>
    <w:p w:rsidR="00E16D5F" w:rsidP="00E16D5F">
      <w:pPr>
        <w:pStyle w:val="Version"/>
        <w:sectPr w:rsidSect="004A73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7367" w:rsidP="004A7367">
      <w:pPr>
        <w:pStyle w:val="SuperHeading"/>
      </w:pPr>
      <w:r w:rsidRPr="004A7367">
        <w:t>UEGNSG224A Construct and lay copper and stainless steel gas distribution pipelines</w:t>
      </w:r>
    </w:p>
    <w:p w:rsidR="00000000" w:rsidRPr="004A7367" w:rsidP="004A7367">
      <w:pPr>
        <w:pStyle w:val="Heading1"/>
      </w:pPr>
      <w:bookmarkStart w:id="1" w:name="O_582238"/>
      <w:bookmarkEnd w:id="1"/>
      <w:r w:rsidRPr="004A7367">
        <w:t>Modification History</w:t>
      </w:r>
    </w:p>
    <w:p w:rsidR="00000000" w:rsidRPr="004A7367" w:rsidP="004A7367">
      <w:pPr>
        <w:pStyle w:val="Heading1"/>
      </w:pPr>
      <w:bookmarkStart w:id="2" w:name="O_582239"/>
      <w:bookmarkEnd w:id="2"/>
      <w:r w:rsidRPr="004A7367">
        <w:t>Unit Descriptor</w:t>
      </w:r>
    </w:p>
    <w:tbl>
      <w:tblPr>
        <w:tblW w:w="0" w:type="auto"/>
        <w:tblLayout w:type="fixed"/>
        <w:tblCellMar>
          <w:left w:w="62" w:type="dxa"/>
          <w:right w:w="62" w:type="dxa"/>
        </w:tblCellMar>
        <w:tblLook w:val="0000"/>
      </w:tblPr>
      <w:tblGrid>
        <w:gridCol w:w="2576"/>
        <w:gridCol w:w="5760"/>
      </w:tblGrid>
      <w:tr w:rsidTr="004A7367">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RPr="004A7367" w:rsidP="004A7367">
            <w:pPr>
              <w:pStyle w:val="BodyText"/>
            </w:pPr>
            <w:r w:rsidRPr="004A736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rPr>
                <w:rStyle w:val="SpecialBold"/>
              </w:rPr>
              <w:t>1) Scope:</w:t>
            </w:r>
          </w:p>
        </w:tc>
      </w:tr>
      <w:tr w:rsidTr="004A7367">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RPr="004A736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rPr>
                <w:rStyle w:val="SpecialBold"/>
              </w:rPr>
              <w:t>1.1) Descriptor</w:t>
            </w:r>
          </w:p>
        </w:tc>
      </w:tr>
      <w:tr w:rsidTr="004A7367">
        <w:tblPrEx>
          <w:tblW w:w="0" w:type="auto"/>
          <w:tblLayout w:type="fixed"/>
          <w:tblCellMar>
            <w:left w:w="62" w:type="dxa"/>
            <w:right w:w="62" w:type="dxa"/>
          </w:tblCellMar>
          <w:tblLook w:val="0000"/>
        </w:tblPrEx>
        <w:trPr>
          <w:trHeight w:val="361"/>
        </w:trPr>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A7367" w:rsidP="004A7367">
            <w:pPr>
              <w:pStyle w:val="BodyText"/>
            </w:pPr>
            <w:r w:rsidRPr="004A7367">
              <w:t xml:space="preserve">This unit covers excavated bed preparation and the construction of copper and stainless steel gas distribution pipelines and services up to 20mm diameter including the installation of the meter connection to the service riser. </w:t>
            </w:r>
          </w:p>
          <w:p w:rsidR="00000000" w:rsidRPr="004A7367" w:rsidP="004A7367">
            <w:pPr>
              <w:pStyle w:val="BodyText"/>
            </w:pPr>
          </w:p>
          <w:p w:rsidR="00000000" w:rsidRPr="004A7367" w:rsidP="004A7367">
            <w:pPr>
              <w:pStyle w:val="BodyText"/>
            </w:pPr>
            <w:r w:rsidRPr="004A7367">
              <w:t>This encompasses includes t</w:t>
            </w:r>
            <w:r w:rsidRPr="004A7367">
              <w:t>he use of relevant tools and equipment, working safely using standard operating procedures, complying with relevant legislative,  standard and code requirements and completing necessary documentation. It excludes any welding of stainless steel pipe work.</w:t>
            </w:r>
          </w:p>
        </w:tc>
      </w:tr>
    </w:tbl>
    <w:p w:rsidR="00E16D5F" w:rsidP="004A7367">
      <w:pPr>
        <w:pStyle w:val="BodyText"/>
      </w:pPr>
    </w:p>
    <w:p w:rsidR="00E16D5F" w:rsidP="004A7367">
      <w:pPr>
        <w:pStyle w:val="BodyText"/>
      </w:pPr>
    </w:p>
    <w:p w:rsidR="00000000" w:rsidRPr="004A7367" w:rsidP="004A7367">
      <w:pPr>
        <w:pStyle w:val="Heading1"/>
      </w:pPr>
      <w:bookmarkStart w:id="3" w:name="O_582240"/>
      <w:bookmarkEnd w:id="3"/>
      <w:r w:rsidRPr="004A7367">
        <w:t>Application of the Unit</w:t>
      </w:r>
    </w:p>
    <w:tbl>
      <w:tblPr>
        <w:tblW w:w="0" w:type="auto"/>
        <w:tblLayout w:type="fixed"/>
        <w:tblCellMar>
          <w:left w:w="62" w:type="dxa"/>
          <w:right w:w="62" w:type="dxa"/>
        </w:tblCellMar>
        <w:tblLook w:val="0000"/>
      </w:tblPr>
      <w:tblGrid>
        <w:gridCol w:w="2548"/>
        <w:gridCol w:w="5699"/>
      </w:tblGrid>
      <w:tr w:rsidTr="004A7367">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RPr="004A7367" w:rsidP="004A7367">
            <w:pPr>
              <w:pStyle w:val="BodyText"/>
            </w:pPr>
            <w:r w:rsidRPr="004A7367">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rPr>
                <w:rStyle w:val="SpecialBold"/>
              </w:rPr>
              <w:t>2)</w:t>
            </w:r>
          </w:p>
        </w:tc>
      </w:tr>
      <w:tr w:rsidTr="004A7367">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4A7367" w:rsidP="004A7367">
            <w:pPr>
              <w:pStyle w:val="BodyText"/>
            </w:pPr>
            <w:r w:rsidRPr="004A7367">
              <w:t>This competency standard shall apply to any basic and safe work site where Gas Industry operations occur, subject to all Workplace  Health and Safety (WHS) / Occupational Health and Sa</w:t>
            </w:r>
            <w:r w:rsidRPr="004A7367">
              <w:t>fety OHS) and duty of care requirements being met for the workplace.</w:t>
            </w:r>
          </w:p>
          <w:p w:rsidR="00000000" w:rsidRPr="004A7367" w:rsidP="004A7367">
            <w:pPr>
              <w:pStyle w:val="BodyText"/>
            </w:pPr>
          </w:p>
          <w:p w:rsidR="00000000" w:rsidRPr="004A7367" w:rsidP="004A7367">
            <w:pPr>
              <w:pStyle w:val="BodyText"/>
            </w:pPr>
            <w:r w:rsidRPr="004A7367">
              <w:t>This unit is intended as an entry level AQF 2 competency for new entrants in the gas industry. It is suitable for employment-based programs under an approved contract of training.</w:t>
            </w:r>
          </w:p>
        </w:tc>
      </w:tr>
    </w:tbl>
    <w:p w:rsidR="00E16D5F" w:rsidP="004A7367">
      <w:pPr>
        <w:pStyle w:val="BodyText"/>
      </w:pPr>
    </w:p>
    <w:p w:rsidR="00E16D5F" w:rsidP="004A7367">
      <w:pPr>
        <w:pStyle w:val="BodyText"/>
      </w:pPr>
    </w:p>
    <w:p w:rsidR="00000000" w:rsidRPr="004A7367" w:rsidP="004A7367">
      <w:pPr>
        <w:pStyle w:val="Heading1"/>
      </w:pPr>
      <w:bookmarkStart w:id="4" w:name="O_582241"/>
      <w:bookmarkEnd w:id="4"/>
      <w:r w:rsidRPr="004A7367">
        <w:t>Licensing/Regulatory Information</w:t>
      </w:r>
    </w:p>
    <w:tbl>
      <w:tblPr>
        <w:tblW w:w="0" w:type="auto"/>
        <w:tblLayout w:type="fixed"/>
        <w:tblCellMar>
          <w:left w:w="62" w:type="dxa"/>
          <w:right w:w="62" w:type="dxa"/>
        </w:tblCellMar>
        <w:tblLook w:val="0000"/>
      </w:tblPr>
      <w:tblGrid>
        <w:gridCol w:w="2576"/>
        <w:gridCol w:w="5760"/>
      </w:tblGrid>
      <w:tr w:rsidTr="004A7367">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RPr="004A7367" w:rsidP="004A7367">
            <w:pPr>
              <w:pStyle w:val="BodyText"/>
            </w:pPr>
            <w:r w:rsidRPr="004A7367">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rPr>
                <w:rStyle w:val="SpecialBold"/>
              </w:rPr>
              <w:t xml:space="preserve">3) </w:t>
            </w:r>
          </w:p>
        </w:tc>
      </w:tr>
      <w:tr w:rsidTr="004A7367">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RPr="004A736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RPr="004A7367" w:rsidP="004A7367">
            <w:pPr>
              <w:pStyle w:val="BodyText"/>
            </w:pPr>
            <w:r w:rsidRPr="004A7367">
              <w:rPr>
                <w:rStyle w:val="SpecialBold"/>
              </w:rPr>
              <w:t xml:space="preserve">During Training: </w:t>
            </w:r>
          </w:p>
          <w:p w:rsidR="00000000" w:rsidRPr="004A7367" w:rsidP="004A7367">
            <w:pPr>
              <w:pStyle w:val="BodyText"/>
            </w:pPr>
            <w:r w:rsidRPr="004A7367">
              <w:t xml:space="preserve">Competency development activities are subject to regulations directly related to licensing, Workplace health and safety and where applicable contracts of training such as apprenticeships. </w:t>
            </w:r>
          </w:p>
          <w:p w:rsidR="00000000" w:rsidRPr="004A7367" w:rsidP="004A7367">
            <w:pPr>
              <w:pStyle w:val="BodyText"/>
            </w:pPr>
          </w:p>
          <w:p w:rsidR="00000000" w:rsidRPr="004A7367" w:rsidP="004A7367">
            <w:pPr>
              <w:pStyle w:val="BodyText"/>
            </w:pPr>
            <w:r w:rsidRPr="004A7367">
              <w:rPr>
                <w:rStyle w:val="SpecialBold"/>
              </w:rPr>
              <w:t>In the workplace:</w:t>
            </w:r>
          </w:p>
          <w:p w:rsidR="00000000" w:rsidRPr="004A7367" w:rsidP="004A7367">
            <w:pPr>
              <w:pStyle w:val="BodyText"/>
            </w:pPr>
            <w:r w:rsidRPr="004A7367">
              <w:t xml:space="preserve">The skills and knowledge described in this unit </w:t>
            </w:r>
            <w:r w:rsidRPr="004A7367">
              <w:t>are not subject to licence regulation other than those directly related to Workplace Health and Safety/Occupational Health and Safety, gas/electricity/water industry safety and compliance, industrial relations, environmental protection, telecommunications,</w:t>
            </w:r>
            <w:r w:rsidRPr="004A7367">
              <w:t xml:space="preserve"> anti-discrimination and training. </w:t>
            </w:r>
          </w:p>
          <w:p w:rsidR="00000000" w:rsidRPr="004A7367" w:rsidP="004A7367">
            <w:pPr>
              <w:pStyle w:val="BodyText"/>
            </w:pPr>
          </w:p>
          <w:p w:rsidR="00000000" w:rsidRPr="004A7367" w:rsidP="004A7367">
            <w:pPr>
              <w:pStyle w:val="BodyText"/>
            </w:pPr>
            <w:r w:rsidRPr="004A7367">
              <w:t>Commonwealth, State/Territory or Local Government legislation and regulations may exist that limit the age at which a person can operate certain equipment. Other conditions may apply to this competency under State and T</w:t>
            </w:r>
            <w:r w:rsidRPr="004A7367">
              <w:t>erritory legislative and regulatory requirements.</w:t>
            </w:r>
          </w:p>
        </w:tc>
      </w:tr>
    </w:tbl>
    <w:p w:rsidR="00E16D5F" w:rsidP="004A7367">
      <w:pPr>
        <w:pStyle w:val="BodyText"/>
      </w:pPr>
    </w:p>
    <w:p w:rsidR="00E16D5F" w:rsidP="004A7367">
      <w:pPr>
        <w:pStyle w:val="BodyText"/>
      </w:pPr>
    </w:p>
    <w:p w:rsidR="00000000" w:rsidRPr="004A7367" w:rsidP="004A7367">
      <w:pPr>
        <w:pStyle w:val="Heading1"/>
      </w:pPr>
      <w:bookmarkStart w:id="5" w:name="O_582242"/>
      <w:bookmarkEnd w:id="5"/>
      <w:r w:rsidRPr="004A7367">
        <w:t>Pre-Requisites</w:t>
      </w:r>
    </w:p>
    <w:tbl>
      <w:tblPr>
        <w:tblW w:w="0" w:type="auto"/>
        <w:tblLayout w:type="fixed"/>
        <w:tblCellMar>
          <w:left w:w="62" w:type="dxa"/>
          <w:right w:w="62" w:type="dxa"/>
        </w:tblCellMar>
        <w:tblLook w:val="0000"/>
      </w:tblPr>
      <w:tblGrid>
        <w:gridCol w:w="2576"/>
        <w:gridCol w:w="1800"/>
        <w:gridCol w:w="3960"/>
      </w:tblGrid>
      <w:tr w:rsidTr="004A7367">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RPr="004A7367" w:rsidP="004A7367">
            <w:pPr>
              <w:pStyle w:val="BodyText"/>
            </w:pPr>
            <w:r w:rsidRPr="004A7367">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rPr>
                <w:rStyle w:val="SpecialBold"/>
              </w:rPr>
              <w:t xml:space="preserve">4) </w:t>
            </w:r>
          </w:p>
        </w:tc>
      </w:tr>
      <w:tr w:rsidTr="004A7367">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RPr="004A7367" w:rsidP="004A7367">
            <w:pPr>
              <w:pStyle w:val="BodyText"/>
            </w:pPr>
            <w:r w:rsidRPr="004A7367">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rPr>
                <w:rStyle w:val="SpecialBold"/>
              </w:rPr>
              <w:t>4.1)</w:t>
            </w:r>
          </w:p>
        </w:tc>
      </w:tr>
      <w:tr w:rsidTr="004A7367">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Granting of competency in this unit shall be made only after competency in the following unit(s) has/have been confirmed:</w:t>
            </w:r>
          </w:p>
        </w:tc>
      </w:tr>
      <w:tr w:rsidTr="004A7367">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UEGNSG141A</w:t>
            </w:r>
          </w:p>
        </w:tc>
        <w:tc>
          <w:tcPr>
            <w:tcW w:w="396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Apply Workplace Health and Safety regulations, codes and practices in the gas industry</w:t>
            </w:r>
          </w:p>
        </w:tc>
      </w:tr>
      <w:tr w:rsidTr="004A7367">
        <w:tblPrEx>
          <w:tblW w:w="0" w:type="auto"/>
          <w:tblLayout w:type="fixed"/>
          <w:tblCellMar>
            <w:left w:w="62" w:type="dxa"/>
            <w:right w:w="62" w:type="dxa"/>
          </w:tblCellMar>
          <w:tblLook w:val="0000"/>
        </w:tblPrEx>
        <w:trPr>
          <w:trHeight w:val="361"/>
        </w:trPr>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UEGNSG005A</w:t>
            </w:r>
          </w:p>
        </w:tc>
        <w:tc>
          <w:tcPr>
            <w:tcW w:w="396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Prepare to work in the Australian gas industry</w:t>
            </w:r>
          </w:p>
        </w:tc>
      </w:tr>
      <w:tr w:rsidTr="004A7367">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UEGNSG132A</w:t>
            </w:r>
          </w:p>
        </w:tc>
        <w:tc>
          <w:tcPr>
            <w:tcW w:w="396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Carry out basic work activities in a utilities industry work environment</w:t>
            </w:r>
          </w:p>
        </w:tc>
      </w:tr>
      <w:tr w:rsidTr="004A7367">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 xml:space="preserve">UEGNSG140A </w:t>
            </w:r>
          </w:p>
        </w:tc>
        <w:tc>
          <w:tcPr>
            <w:tcW w:w="396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Apply with environmental policies and procedures in the utilities industry</w:t>
            </w:r>
          </w:p>
        </w:tc>
      </w:tr>
      <w:tr w:rsidTr="004A7367">
        <w:tblPrEx>
          <w:tblW w:w="0" w:type="auto"/>
          <w:tblLayout w:type="fixed"/>
          <w:tblCellMar>
            <w:left w:w="62" w:type="dxa"/>
            <w:right w:w="62" w:type="dxa"/>
          </w:tblCellMar>
          <w:tblLook w:val="0000"/>
        </w:tblPrEx>
        <w:trPr>
          <w:trHeight w:val="361"/>
        </w:trPr>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UEGNSG134A</w:t>
            </w:r>
          </w:p>
        </w:tc>
        <w:tc>
          <w:tcPr>
            <w:tcW w:w="396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Establish a utilities infrastructure work site</w:t>
            </w:r>
          </w:p>
        </w:tc>
      </w:tr>
      <w:tr w:rsidTr="004A7367">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60" w:type="dxa"/>
            <w:tcBorders>
              <w:top w:val="nil"/>
              <w:left w:val="nil"/>
              <w:bottom w:val="nil"/>
              <w:right w:val="nil"/>
            </w:tcBorders>
            <w:tcMar>
              <w:top w:w="0" w:type="dxa"/>
              <w:left w:w="62" w:type="dxa"/>
              <w:bottom w:w="0" w:type="dxa"/>
              <w:right w:w="62" w:type="dxa"/>
            </w:tcMar>
          </w:tcPr>
          <w:p w:rsidR="00000000" w:rsidRPr="004A7367" w:rsidP="004A7367">
            <w:pPr>
              <w:pStyle w:val="BodyText"/>
            </w:pPr>
          </w:p>
        </w:tc>
      </w:tr>
    </w:tbl>
    <w:p w:rsidR="00000000" w:rsidRPr="004A7367" w:rsidP="004A7367">
      <w:pPr>
        <w:pStyle w:val="BodyText"/>
      </w:pPr>
    </w:p>
    <w:tbl>
      <w:tblPr>
        <w:tblW w:w="0" w:type="auto"/>
        <w:tblLayout w:type="fixed"/>
        <w:tblCellMar>
          <w:left w:w="62" w:type="dxa"/>
          <w:right w:w="62" w:type="dxa"/>
        </w:tblCellMar>
        <w:tblLook w:val="0000"/>
      </w:tblPr>
      <w:tblGrid>
        <w:gridCol w:w="2576"/>
        <w:gridCol w:w="1080"/>
        <w:gridCol w:w="810"/>
        <w:gridCol w:w="990"/>
        <w:gridCol w:w="900"/>
        <w:gridCol w:w="1260"/>
        <w:gridCol w:w="720"/>
      </w:tblGrid>
      <w:tr w:rsidTr="004A7367">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RPr="004A7367" w:rsidP="004A7367">
            <w:pPr>
              <w:pStyle w:val="BodyText"/>
            </w:pPr>
            <w:r w:rsidRPr="004A736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4A7367" w:rsidP="004A7367">
            <w:pPr>
              <w:pStyle w:val="BodyText"/>
            </w:pPr>
            <w:r w:rsidRPr="004A7367">
              <w:rPr>
                <w:rStyle w:val="SpecialBold"/>
              </w:rPr>
              <w:t xml:space="preserve">4.2) </w:t>
            </w:r>
          </w:p>
          <w:p w:rsidR="00000000" w:rsidP="004A7367">
            <w:pPr>
              <w:pStyle w:val="BodyText"/>
              <w:rPr>
                <w:lang w:val="en-NZ"/>
              </w:rPr>
            </w:pPr>
            <w:r w:rsidRPr="004A7367">
              <w:t>Participant</w:t>
            </w:r>
            <w:r w:rsidRPr="004A7367">
              <w:t>s are best equipped to achieve this unit if they have reading, writing and numeracy skills indicated by the following scales. Description of each scale is given in Volume 2, Part 3 ‘Literacy and Numeracy’</w:t>
            </w:r>
          </w:p>
        </w:tc>
      </w:tr>
      <w:tr w:rsidTr="004A7367">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Reading</w:t>
            </w:r>
          </w:p>
        </w:tc>
        <w:tc>
          <w:tcPr>
            <w:tcW w:w="81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3</w:t>
            </w:r>
          </w:p>
        </w:tc>
        <w:tc>
          <w:tcPr>
            <w:tcW w:w="99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Writing</w:t>
            </w:r>
          </w:p>
        </w:tc>
        <w:tc>
          <w:tcPr>
            <w:tcW w:w="90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3</w:t>
            </w:r>
          </w:p>
        </w:tc>
        <w:tc>
          <w:tcPr>
            <w:tcW w:w="126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Numeracy</w:t>
            </w:r>
          </w:p>
        </w:tc>
        <w:tc>
          <w:tcPr>
            <w:tcW w:w="720" w:type="dxa"/>
            <w:tcBorders>
              <w:top w:val="nil"/>
              <w:left w:val="nil"/>
              <w:bottom w:val="nil"/>
              <w:right w:val="nil"/>
            </w:tcBorders>
            <w:tcMar>
              <w:top w:w="0" w:type="dxa"/>
              <w:left w:w="62" w:type="dxa"/>
              <w:bottom w:w="0" w:type="dxa"/>
              <w:right w:w="62" w:type="dxa"/>
            </w:tcMar>
          </w:tcPr>
          <w:p w:rsidR="00000000" w:rsidRPr="004A7367" w:rsidP="004A7367">
            <w:pPr>
              <w:pStyle w:val="BodyText"/>
            </w:pPr>
            <w:r w:rsidRPr="004A7367">
              <w:t>3</w:t>
            </w:r>
          </w:p>
        </w:tc>
      </w:tr>
    </w:tbl>
    <w:p w:rsidR="00E16D5F" w:rsidP="004A7367">
      <w:pPr>
        <w:pStyle w:val="BodyText"/>
      </w:pPr>
    </w:p>
    <w:p w:rsidR="00E16D5F" w:rsidP="004A7367">
      <w:pPr>
        <w:pStyle w:val="BodyText"/>
      </w:pPr>
    </w:p>
    <w:p w:rsidR="00000000" w:rsidRPr="004A7367" w:rsidP="004A7367">
      <w:pPr>
        <w:pStyle w:val="Heading1"/>
      </w:pPr>
      <w:bookmarkStart w:id="6" w:name="O_582243"/>
      <w:bookmarkEnd w:id="6"/>
      <w:r w:rsidRPr="004A7367">
        <w:t>Employability Skills Information</w:t>
      </w:r>
    </w:p>
    <w:tbl>
      <w:tblPr>
        <w:tblW w:w="0" w:type="auto"/>
        <w:tblLayout w:type="fixed"/>
        <w:tblCellMar>
          <w:left w:w="62" w:type="dxa"/>
          <w:right w:w="62" w:type="dxa"/>
        </w:tblCellMar>
        <w:tblLook w:val="0000"/>
      </w:tblPr>
      <w:tblGrid>
        <w:gridCol w:w="2576"/>
        <w:gridCol w:w="5760"/>
      </w:tblGrid>
      <w:tr w:rsidTr="004A7367">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RPr="004A7367" w:rsidP="004A7367">
            <w:pPr>
              <w:pStyle w:val="BodyText"/>
            </w:pPr>
            <w:r w:rsidRPr="004A736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rPr>
                <w:rStyle w:val="SpecialBold"/>
              </w:rPr>
              <w:t xml:space="preserve">5) </w:t>
            </w:r>
          </w:p>
        </w:tc>
      </w:tr>
      <w:tr w:rsidTr="004A7367">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A7367" w:rsidP="004A7367">
            <w:pPr>
              <w:pStyle w:val="BodyText"/>
            </w:pPr>
            <w:r w:rsidRPr="004A7367">
              <w:t>The required outcomes described in this unit of competency contain applicable facets of Employability Skills. The Employability Skills Summary of the qualification in which this unit of co</w:t>
            </w:r>
            <w:r w:rsidRPr="004A7367">
              <w:t>mpetency is packaged will assist in identifying Employability Skill requirements.</w:t>
            </w:r>
          </w:p>
        </w:tc>
      </w:tr>
    </w:tbl>
    <w:p w:rsidR="00000000" w:rsidRPr="004A7367" w:rsidP="004A7367">
      <w:pPr>
        <w:pStyle w:val="BodyText"/>
      </w:pPr>
    </w:p>
    <w:p w:rsidR="00000000" w:rsidRPr="004A7367" w:rsidP="004A7367">
      <w:pPr>
        <w:pStyle w:val="AllowPageBreak"/>
      </w:pPr>
    </w:p>
    <w:p w:rsidR="00000000" w:rsidRPr="004A7367" w:rsidP="004A7367">
      <w:pPr>
        <w:pStyle w:val="Heading1"/>
      </w:pPr>
      <w:bookmarkStart w:id="7" w:name="O_582244"/>
      <w:bookmarkEnd w:id="7"/>
      <w:r w:rsidRPr="004A7367">
        <w:t>Elements and Performance Criteria Pre-Content</w:t>
      </w:r>
    </w:p>
    <w:tbl>
      <w:tblPr>
        <w:tblW w:w="0" w:type="auto"/>
        <w:tblLayout w:type="fixed"/>
        <w:tblCellMar>
          <w:left w:w="62" w:type="dxa"/>
          <w:right w:w="62" w:type="dxa"/>
        </w:tblCellMar>
        <w:tblLook w:val="0000"/>
      </w:tblPr>
      <w:tblGrid>
        <w:gridCol w:w="2638"/>
        <w:gridCol w:w="5760"/>
      </w:tblGrid>
      <w:tr w:rsidTr="004A7367">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4A7367" w:rsidP="004A7367">
            <w:pPr>
              <w:pStyle w:val="BodyText"/>
            </w:pPr>
            <w:r w:rsidRPr="004A7367">
              <w:rPr>
                <w:rStyle w:val="SpecialBold"/>
              </w:rPr>
              <w:t>6)</w:t>
            </w:r>
            <w:r w:rsidRPr="004A7367">
              <w:rPr>
                <w:rStyle w:val="Emphasis"/>
              </w:rPr>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4A7367" w:rsidP="004A7367">
            <w:pPr>
              <w:pStyle w:val="BodyText"/>
            </w:pPr>
            <w:r w:rsidRPr="004A7367">
              <w:rPr>
                <w:rStyle w:val="Emphasis"/>
              </w:rPr>
              <w:t>Performance Criteria describe the required performance needed to demonstrate achievement of the element. Assessment of performance is to be consistent with the Evidence Guide.</w:t>
            </w:r>
          </w:p>
        </w:tc>
      </w:tr>
    </w:tbl>
    <w:p w:rsidR="00000000" w:rsidRPr="004A7367" w:rsidP="004A7367">
      <w:pPr>
        <w:pStyle w:val="BodyText"/>
      </w:pPr>
    </w:p>
    <w:p w:rsidR="00000000" w:rsidRPr="004A7367" w:rsidP="004A7367">
      <w:pPr>
        <w:pStyle w:val="AllowPageBreak"/>
      </w:pPr>
    </w:p>
    <w:p w:rsidR="00000000" w:rsidRPr="004A7367" w:rsidP="004A7367">
      <w:pPr>
        <w:pStyle w:val="Heading1"/>
      </w:pPr>
      <w:bookmarkStart w:id="8" w:name="O_582245"/>
      <w:bookmarkEnd w:id="8"/>
      <w:r w:rsidRPr="004A7367">
        <w:t>Elements and Performance Criteria</w:t>
      </w:r>
    </w:p>
    <w:tbl>
      <w:tblPr>
        <w:tblW w:w="0" w:type="auto"/>
        <w:tblLayout w:type="fixed"/>
        <w:tblCellMar>
          <w:left w:w="62" w:type="dxa"/>
          <w:right w:w="62" w:type="dxa"/>
        </w:tblCellMar>
        <w:tblLook w:val="0000"/>
      </w:tblPr>
      <w:tblGrid>
        <w:gridCol w:w="280"/>
        <w:gridCol w:w="2296"/>
        <w:gridCol w:w="900"/>
        <w:gridCol w:w="4860"/>
      </w:tblGrid>
      <w:tr w:rsidTr="004A7367">
        <w:tblPrEx>
          <w:tblW w:w="0" w:type="auto"/>
          <w:tblLayout w:type="fixed"/>
          <w:tblCellMar>
            <w:left w:w="62" w:type="dxa"/>
            <w:right w:w="62" w:type="dxa"/>
          </w:tblCellMar>
          <w:tblLook w:val="0000"/>
        </w:tblPrEx>
        <w:trPr>
          <w:tblHeader/>
        </w:trPr>
        <w:tc>
          <w:tcPr>
            <w:tcW w:w="2576" w:type="dxa"/>
            <w:gridSpan w:val="2"/>
            <w:tcBorders>
              <w:top w:val="nil"/>
              <w:left w:val="nil"/>
              <w:bottom w:val="nil"/>
              <w:right w:val="nil"/>
            </w:tcBorders>
            <w:tcMar>
              <w:top w:w="0" w:type="dxa"/>
              <w:left w:w="62" w:type="dxa"/>
              <w:bottom w:w="0" w:type="dxa"/>
              <w:right w:w="62" w:type="dxa"/>
            </w:tcMar>
          </w:tcPr>
          <w:p w:rsidR="00000000" w:rsidRPr="004A7367" w:rsidP="004A7367">
            <w:pPr>
              <w:pStyle w:val="BodyText"/>
            </w:pPr>
            <w:r w:rsidRPr="004A736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rPr>
                <w:rStyle w:val="SpecialBold"/>
              </w:rPr>
              <w:t>PERFORMANCE CRITER</w:t>
            </w:r>
            <w:r w:rsidRPr="004A7367">
              <w:rPr>
                <w:rStyle w:val="SpecialBold"/>
              </w:rPr>
              <w:t>IA</w:t>
            </w:r>
          </w:p>
        </w:tc>
      </w:tr>
      <w:tr w:rsidTr="004A7367">
        <w:tblPrEx>
          <w:tblW w:w="0" w:type="auto"/>
          <w:tblLayout w:type="fixed"/>
          <w:tblCellMar>
            <w:left w:w="62" w:type="dxa"/>
            <w:right w:w="62" w:type="dxa"/>
          </w:tblCellMar>
          <w:tblLook w:val="0000"/>
        </w:tblPrEx>
        <w:trPr>
          <w:trHeight w:val="918"/>
        </w:trPr>
        <w:tc>
          <w:tcPr>
            <w:tcW w:w="280" w:type="dxa"/>
            <w:tcBorders>
              <w:top w:val="nil"/>
              <w:left w:val="nil"/>
              <w:bottom w:val="nil"/>
              <w:right w:val="nil"/>
            </w:tcBorders>
            <w:tcMar>
              <w:top w:w="0" w:type="dxa"/>
              <w:left w:w="62" w:type="dxa"/>
              <w:bottom w:w="0" w:type="dxa"/>
              <w:right w:w="62" w:type="dxa"/>
            </w:tcMar>
          </w:tcPr>
          <w:p w:rsidR="00000000" w:rsidRPr="004A7367" w:rsidP="004A7367">
            <w:pPr>
              <w:pStyle w:val="BodyText"/>
            </w:pPr>
            <w:r w:rsidRPr="004A7367">
              <w:rPr>
                <w:rStyle w:val="SpecialBold"/>
              </w:rPr>
              <w:t>1</w:t>
            </w:r>
          </w:p>
        </w:tc>
        <w:tc>
          <w:tcPr>
            <w:tcW w:w="2296"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rPr>
                <w:rStyle w:val="SpecialBold"/>
              </w:rPr>
              <w:t xml:space="preserve">Prepare to construct copper and stainless steel gas distribution pipelines </w:t>
            </w:r>
          </w:p>
        </w:tc>
        <w:tc>
          <w:tcPr>
            <w:tcW w:w="90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1.1</w:t>
            </w:r>
          </w:p>
        </w:tc>
        <w:tc>
          <w:tcPr>
            <w:tcW w:w="486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WHS/OHS and environmental measures for the site are identified, obtained and understood</w:t>
            </w:r>
          </w:p>
        </w:tc>
      </w:tr>
      <w:tr w:rsidTr="004A7367">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1.2</w:t>
            </w:r>
          </w:p>
        </w:tc>
        <w:tc>
          <w:tcPr>
            <w:tcW w:w="486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Relevant requirements and established procedures for the site are discussed with relevant persons to establish and confirm the work schedule.</w:t>
            </w:r>
          </w:p>
        </w:tc>
      </w:tr>
      <w:tr w:rsidTr="004A7367">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1.3</w:t>
            </w:r>
          </w:p>
        </w:tc>
        <w:tc>
          <w:tcPr>
            <w:tcW w:w="486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 xml:space="preserve">WHS/OHS, environmental and sustainable energy policies and procedures are received and confirmed.  </w:t>
            </w:r>
          </w:p>
        </w:tc>
      </w:tr>
      <w:tr w:rsidTr="004A7367">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1.4</w:t>
            </w:r>
            <w:r w:rsidRPr="004A7367">
              <w:tab/>
            </w:r>
          </w:p>
        </w:tc>
        <w:tc>
          <w:tcPr>
            <w:tcW w:w="486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Hazards are identified, WHS/OHS risks assessed and control measures are prioritised, implemented and monitored according to established procedures</w:t>
            </w:r>
          </w:p>
        </w:tc>
      </w:tr>
      <w:tr w:rsidTr="004A7367">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1.5</w:t>
            </w:r>
          </w:p>
        </w:tc>
        <w:tc>
          <w:tcPr>
            <w:tcW w:w="486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Scope of responsibility under the relevant work permit and/or relevant notification is received and c</w:t>
            </w:r>
            <w:r w:rsidRPr="004A7367">
              <w:t>onfirmed with relevant persons according to requirements and established procedures</w:t>
            </w:r>
          </w:p>
        </w:tc>
      </w:tr>
      <w:tr w:rsidTr="004A7367">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1.6</w:t>
            </w:r>
          </w:p>
        </w:tc>
        <w:tc>
          <w:tcPr>
            <w:tcW w:w="486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Equipment, plant, tools and personal protective equipment needed to construct copper and stainless steel gas pipelines and services are identified, obtained and chec</w:t>
            </w:r>
            <w:r w:rsidRPr="004A7367">
              <w:t xml:space="preserve">ked for operation and safety. </w:t>
            </w:r>
          </w:p>
        </w:tc>
      </w:tr>
      <w:tr w:rsidTr="004A7367">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1.7</w:t>
            </w:r>
          </w:p>
        </w:tc>
        <w:tc>
          <w:tcPr>
            <w:tcW w:w="486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Appropriate persons are consulted to ensure the work is coordinated effectively with others involved</w:t>
            </w:r>
          </w:p>
        </w:tc>
      </w:tr>
      <w:tr w:rsidTr="004A7367">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1.8</w:t>
            </w:r>
          </w:p>
        </w:tc>
        <w:tc>
          <w:tcPr>
            <w:tcW w:w="486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Materials, plans, diagrams, drawings and resources required to co</w:t>
            </w:r>
            <w:r w:rsidRPr="004A7367">
              <w:t>nstruct gas pipelines are confirmed, scheduled and obtained in accordance with established procedures.</w:t>
            </w:r>
          </w:p>
        </w:tc>
      </w:tr>
      <w:tr w:rsidTr="004A7367">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1.9</w:t>
            </w:r>
          </w:p>
        </w:tc>
        <w:tc>
          <w:tcPr>
            <w:tcW w:w="486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 xml:space="preserve">Relevant responsibilities associated with safety and emergency procedures for an incident at the worksite are checked and confirmed.  </w:t>
            </w:r>
          </w:p>
        </w:tc>
      </w:tr>
      <w:tr w:rsidTr="004A7367">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1.10</w:t>
            </w:r>
          </w:p>
        </w:tc>
        <w:tc>
          <w:tcPr>
            <w:tcW w:w="486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Thi</w:t>
            </w:r>
            <w:r w:rsidRPr="004A7367">
              <w:t xml:space="preserve">rd party issues are referred to appropriate persons in accordance with established procedures. </w:t>
            </w:r>
          </w:p>
        </w:tc>
      </w:tr>
      <w:tr w:rsidTr="004A7367">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1.11</w:t>
            </w:r>
          </w:p>
        </w:tc>
        <w:tc>
          <w:tcPr>
            <w:tcW w:w="486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Site preparation, safety plan and the work schedule are confirmed in accordance with established procedures.</w:t>
            </w:r>
          </w:p>
        </w:tc>
      </w:tr>
      <w:tr w:rsidTr="004A7367">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rsidRPr="004A7367" w:rsidP="004A7367">
            <w:pPr>
              <w:pStyle w:val="BodyText"/>
            </w:pPr>
            <w:r w:rsidRPr="004A7367">
              <w:rPr>
                <w:rStyle w:val="SpecialBold"/>
              </w:rPr>
              <w:t>2</w:t>
            </w:r>
          </w:p>
        </w:tc>
        <w:tc>
          <w:tcPr>
            <w:tcW w:w="2296"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rPr>
                <w:rStyle w:val="SpecialBold"/>
              </w:rPr>
              <w:t xml:space="preserve"> Construct copper and stainless steel gas distribution pipelines </w:t>
            </w:r>
          </w:p>
        </w:tc>
        <w:tc>
          <w:tcPr>
            <w:tcW w:w="90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2.1</w:t>
            </w:r>
          </w:p>
        </w:tc>
        <w:tc>
          <w:tcPr>
            <w:tcW w:w="486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WHS/OHS risk control measures, schedule of work and standard operating procedures for carrying out the work are followed.</w:t>
            </w:r>
          </w:p>
        </w:tc>
      </w:tr>
      <w:tr w:rsidTr="004A7367">
        <w:tblPrEx>
          <w:tblW w:w="0" w:type="auto"/>
          <w:tblLayout w:type="fixed"/>
          <w:tblCellMar>
            <w:left w:w="62" w:type="dxa"/>
            <w:right w:w="62" w:type="dxa"/>
          </w:tblCellMar>
          <w:tblLook w:val="0000"/>
        </w:tblPrEx>
        <w:trPr>
          <w:trHeight w:val="843"/>
        </w:trPr>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2.2</w:t>
            </w:r>
          </w:p>
        </w:tc>
        <w:tc>
          <w:tcPr>
            <w:tcW w:w="486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Appropriate materials, tools, equipment and measuring dev</w:t>
            </w:r>
            <w:r w:rsidRPr="004A7367">
              <w:t>ices are selected and used correctly and safely.</w:t>
            </w:r>
          </w:p>
        </w:tc>
      </w:tr>
      <w:tr w:rsidTr="004A7367">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2.3</w:t>
            </w:r>
          </w:p>
        </w:tc>
        <w:tc>
          <w:tcPr>
            <w:tcW w:w="486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Hazardous activities such as lifting, climbing, working in confined spaces, excavations, trenches, or aloft, and use of power tools, techniques and practices are conducted safely in accordance with gi</w:t>
            </w:r>
            <w:r w:rsidRPr="004A7367">
              <w:t>ven instructions and to requirements.</w:t>
            </w:r>
          </w:p>
        </w:tc>
      </w:tr>
      <w:tr w:rsidTr="004A7367">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2.4</w:t>
            </w:r>
          </w:p>
        </w:tc>
        <w:tc>
          <w:tcPr>
            <w:tcW w:w="486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Construction of copper and stainless steel gas pipelines and services are conducted according to appropriate standards and procedures</w:t>
            </w:r>
          </w:p>
        </w:tc>
      </w:tr>
      <w:tr w:rsidTr="004A7367">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2.5</w:t>
            </w:r>
          </w:p>
        </w:tc>
        <w:tc>
          <w:tcPr>
            <w:tcW w:w="486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Work is carried out efficiently, to the required standard without waste of materials or damage to apparatus, equipment, the surrounding environment or services and using sustainable energy principles.</w:t>
            </w:r>
          </w:p>
        </w:tc>
      </w:tr>
      <w:tr w:rsidTr="004A7367">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2.6</w:t>
            </w:r>
          </w:p>
        </w:tc>
        <w:tc>
          <w:tcPr>
            <w:tcW w:w="486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 xml:space="preserve">WHS/OHS risks and incidents are reported to the </w:t>
            </w:r>
            <w:r w:rsidRPr="004A7367">
              <w:t>immediate authorised persons for directions according to established procedures</w:t>
            </w:r>
          </w:p>
        </w:tc>
      </w:tr>
      <w:tr w:rsidTr="004A7367">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2.7</w:t>
            </w:r>
          </w:p>
        </w:tc>
        <w:tc>
          <w:tcPr>
            <w:tcW w:w="486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Procedures for referring non-routine events to the immediate authorised persons for directions are followed.</w:t>
            </w:r>
          </w:p>
        </w:tc>
      </w:tr>
      <w:tr w:rsidTr="004A7367">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2.8</w:t>
            </w:r>
            <w:r w:rsidRPr="004A7367">
              <w:tab/>
            </w:r>
          </w:p>
        </w:tc>
        <w:tc>
          <w:tcPr>
            <w:tcW w:w="486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 xml:space="preserve">Routine quality checks are carried out in accordance with work instructions including testing of pipework. </w:t>
            </w:r>
          </w:p>
        </w:tc>
      </w:tr>
      <w:tr w:rsidTr="004A7367">
        <w:tblPrEx>
          <w:tblW w:w="0" w:type="auto"/>
          <w:tblLayout w:type="fixed"/>
          <w:tblCellMar>
            <w:left w:w="62" w:type="dxa"/>
            <w:right w:w="62" w:type="dxa"/>
          </w:tblCellMar>
          <w:tblLook w:val="0000"/>
        </w:tblPrEx>
        <w:trPr>
          <w:trHeight w:val="361"/>
        </w:trPr>
        <w:tc>
          <w:tcPr>
            <w:tcW w:w="280" w:type="dxa"/>
            <w:tcBorders>
              <w:top w:val="nil"/>
              <w:left w:val="nil"/>
              <w:bottom w:val="nil"/>
              <w:right w:val="nil"/>
            </w:tcBorders>
            <w:tcMar>
              <w:top w:w="0" w:type="dxa"/>
              <w:left w:w="62" w:type="dxa"/>
              <w:bottom w:w="0" w:type="dxa"/>
              <w:right w:w="62" w:type="dxa"/>
            </w:tcMar>
          </w:tcPr>
          <w:p w:rsidR="00000000" w:rsidRPr="004A7367" w:rsidP="004A7367">
            <w:pPr>
              <w:pStyle w:val="BodyText"/>
            </w:pPr>
            <w:r w:rsidRPr="004A7367">
              <w:rPr>
                <w:rStyle w:val="SpecialBold"/>
              </w:rPr>
              <w:t>3</w:t>
            </w:r>
          </w:p>
        </w:tc>
        <w:tc>
          <w:tcPr>
            <w:tcW w:w="2296"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rPr>
                <w:rStyle w:val="SpecialBold"/>
              </w:rPr>
              <w:t>Complete the work and relevant documentation</w:t>
            </w:r>
          </w:p>
        </w:tc>
        <w:tc>
          <w:tcPr>
            <w:tcW w:w="90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3.1</w:t>
            </w:r>
          </w:p>
        </w:tc>
        <w:tc>
          <w:tcPr>
            <w:tcW w:w="486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WHS/OHS risk control work completion measures and procedures are followed.</w:t>
            </w:r>
          </w:p>
        </w:tc>
      </w:tr>
      <w:tr w:rsidTr="004A7367">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3.2</w:t>
            </w:r>
          </w:p>
        </w:tc>
        <w:tc>
          <w:tcPr>
            <w:tcW w:w="486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Appropriate pe</w:t>
            </w:r>
            <w:r w:rsidRPr="004A7367">
              <w:t>rsons are notified of completion of the work according to established procedures.</w:t>
            </w:r>
          </w:p>
        </w:tc>
      </w:tr>
      <w:tr w:rsidTr="004A7367">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3.3</w:t>
            </w:r>
          </w:p>
        </w:tc>
        <w:tc>
          <w:tcPr>
            <w:tcW w:w="486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 xml:space="preserve">Tools, equipment and any surplus resources and materials are cleaned, checked and securely stored. </w:t>
            </w:r>
          </w:p>
        </w:tc>
      </w:tr>
      <w:tr w:rsidTr="004A7367">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3.4</w:t>
            </w:r>
          </w:p>
        </w:tc>
        <w:tc>
          <w:tcPr>
            <w:tcW w:w="486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 xml:space="preserve">Work site is tidied and made safe in accordance with established procedures </w:t>
            </w:r>
          </w:p>
        </w:tc>
      </w:tr>
      <w:tr w:rsidTr="004A7367">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3.5</w:t>
            </w:r>
          </w:p>
        </w:tc>
        <w:tc>
          <w:tcPr>
            <w:tcW w:w="4860" w:type="dxa"/>
            <w:tcBorders>
              <w:top w:val="nil"/>
              <w:left w:val="nil"/>
              <w:bottom w:val="nil"/>
              <w:right w:val="nil"/>
            </w:tcBorders>
            <w:tcMar>
              <w:top w:w="0" w:type="dxa"/>
              <w:left w:w="62" w:type="dxa"/>
              <w:bottom w:w="0" w:type="dxa"/>
              <w:right w:w="62" w:type="dxa"/>
            </w:tcMar>
          </w:tcPr>
          <w:p w:rsidR="00000000" w:rsidRPr="004A7367" w:rsidP="004A7367">
            <w:pPr>
              <w:pStyle w:val="BodyText"/>
            </w:pPr>
            <w:r w:rsidRPr="004A7367">
              <w:t>Work completion documentation is completed and provided to appropriate persons in accordance with established procedures.</w:t>
            </w:r>
          </w:p>
        </w:tc>
      </w:tr>
    </w:tbl>
    <w:p w:rsidR="00E16D5F" w:rsidP="004A7367">
      <w:pPr>
        <w:pStyle w:val="BodyText"/>
      </w:pPr>
    </w:p>
    <w:p w:rsidR="00E16D5F" w:rsidP="004A7367">
      <w:pPr>
        <w:pStyle w:val="BodyText"/>
      </w:pPr>
    </w:p>
    <w:p w:rsidR="00000000" w:rsidRPr="004A7367" w:rsidP="004A7367">
      <w:pPr>
        <w:pStyle w:val="Heading1"/>
      </w:pPr>
      <w:bookmarkStart w:id="9" w:name="O_582246"/>
      <w:bookmarkEnd w:id="9"/>
      <w:r w:rsidRPr="004A7367">
        <w:t>Required Skills and Knowledge</w:t>
      </w:r>
    </w:p>
    <w:tbl>
      <w:tblPr>
        <w:tblW w:w="0" w:type="auto"/>
        <w:tblLayout w:type="fixed"/>
        <w:tblCellMar>
          <w:left w:w="62" w:type="dxa"/>
          <w:right w:w="62" w:type="dxa"/>
        </w:tblCellMar>
        <w:tblLook w:val="0000"/>
      </w:tblPr>
      <w:tblGrid>
        <w:gridCol w:w="8370"/>
      </w:tblGrid>
      <w:tr w:rsidTr="004A7367">
        <w:tblPrEx>
          <w:tblW w:w="0" w:type="auto"/>
          <w:tblLayout w:type="fixed"/>
          <w:tblCellMar>
            <w:left w:w="62" w:type="dxa"/>
            <w:right w:w="62" w:type="dxa"/>
          </w:tblCellMar>
          <w:tblLook w:val="0000"/>
        </w:tblPrEx>
        <w:tc>
          <w:tcPr>
            <w:tcW w:w="837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rPr>
                <w:rStyle w:val="SpecialBold"/>
              </w:rPr>
              <w:t>REQUIRED SKILLS AND KNOWLEDGE</w:t>
            </w:r>
          </w:p>
        </w:tc>
      </w:tr>
      <w:tr w:rsidTr="004A7367">
        <w:tblPrEx>
          <w:tblW w:w="0" w:type="auto"/>
          <w:tblLayout w:type="fixed"/>
          <w:tblCellMar>
            <w:left w:w="62" w:type="dxa"/>
            <w:right w:w="62" w:type="dxa"/>
          </w:tblCellMar>
          <w:tblLook w:val="0000"/>
        </w:tblPrEx>
        <w:tc>
          <w:tcPr>
            <w:tcW w:w="837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rPr>
                <w:rStyle w:val="SpecialBold"/>
              </w:rPr>
              <w:t>7)</w:t>
            </w:r>
            <w:r w:rsidRPr="004A7367">
              <w:rPr>
                <w:rStyle w:val="Emphasis"/>
              </w:rPr>
              <w:t xml:space="preserve"> This describes the skills and knowledge and their level, required for this unit.</w:t>
            </w:r>
          </w:p>
        </w:tc>
      </w:tr>
      <w:tr w:rsidTr="004A7367">
        <w:tblPrEx>
          <w:tblW w:w="0" w:type="auto"/>
          <w:tblLayout w:type="fixed"/>
          <w:tblCellMar>
            <w:left w:w="62" w:type="dxa"/>
            <w:right w:w="62" w:type="dxa"/>
          </w:tblCellMar>
          <w:tblLook w:val="0000"/>
        </w:tblPrEx>
        <w:tc>
          <w:tcPr>
            <w:tcW w:w="837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 xml:space="preserve">Evidence shall show that knowledge has been acquired of safe working practices for constructing copper and stainless steel gas distribution </w:t>
            </w:r>
            <w:r w:rsidRPr="004A7367">
              <w:t>pipelines. All knowledge and skills detailed in this unit should be contextualised to current industry practices and technologies. The extent of the skills and knowledge required is provided below. It forms an integral part of this unit.</w:t>
            </w:r>
          </w:p>
        </w:tc>
      </w:tr>
      <w:tr w:rsidTr="004A7367">
        <w:tblPrEx>
          <w:tblW w:w="0" w:type="auto"/>
          <w:tblLayout w:type="fixed"/>
          <w:tblCellMar>
            <w:left w:w="62" w:type="dxa"/>
            <w:right w:w="62" w:type="dxa"/>
          </w:tblCellMar>
          <w:tblLook w:val="0000"/>
        </w:tblPrEx>
        <w:tc>
          <w:tcPr>
            <w:tcW w:w="8370" w:type="dxa"/>
            <w:tcBorders>
              <w:top w:val="nil"/>
              <w:left w:val="nil"/>
              <w:bottom w:val="nil"/>
              <w:right w:val="nil"/>
            </w:tcBorders>
            <w:tcMar>
              <w:top w:w="0" w:type="dxa"/>
              <w:left w:w="62" w:type="dxa"/>
              <w:bottom w:w="0" w:type="dxa"/>
              <w:right w:w="62" w:type="dxa"/>
            </w:tcMar>
          </w:tcPr>
          <w:p w:rsidR="00000000" w:rsidRPr="004A7367" w:rsidP="004A7367">
            <w:pPr>
              <w:pStyle w:val="BodyText"/>
            </w:pPr>
            <w:r w:rsidRPr="004A7367">
              <w:rPr>
                <w:rStyle w:val="SpecialBold"/>
              </w:rPr>
              <w:t>KS01-G224AB Const</w:t>
            </w:r>
            <w:r w:rsidRPr="004A7367">
              <w:rPr>
                <w:rStyle w:val="SpecialBold"/>
              </w:rPr>
              <w:t>ruct distribution copper and stainless steel pipelines</w:t>
            </w:r>
          </w:p>
          <w:p w:rsidR="00000000" w:rsidP="004A7367">
            <w:pPr>
              <w:pStyle w:val="BodyText"/>
              <w:rPr>
                <w:lang w:val="en-NZ"/>
              </w:rPr>
            </w:pPr>
            <w:r w:rsidRPr="004A7367">
              <w:t>Evidence shall show an understanding of constructing copper and stainless steel gas distribution pipelines in accordance with relevant legislation, standards, codes and established procedures to an ext</w:t>
            </w:r>
            <w:r w:rsidRPr="004A7367">
              <w:t>ent indicated by the following aspects:</w:t>
            </w:r>
          </w:p>
        </w:tc>
      </w:tr>
      <w:tr w:rsidTr="004A7367">
        <w:tblPrEx>
          <w:tblW w:w="0" w:type="auto"/>
          <w:tblLayout w:type="fixed"/>
          <w:tblCellMar>
            <w:left w:w="62" w:type="dxa"/>
            <w:right w:w="62" w:type="dxa"/>
          </w:tblCellMar>
          <w:tblLook w:val="0000"/>
        </w:tblPrEx>
        <w:tc>
          <w:tcPr>
            <w:tcW w:w="8370" w:type="dxa"/>
            <w:tcBorders>
              <w:top w:val="nil"/>
              <w:left w:val="nil"/>
              <w:bottom w:val="nil"/>
              <w:right w:val="nil"/>
            </w:tcBorders>
            <w:tcMar>
              <w:top w:w="0" w:type="dxa"/>
              <w:left w:w="62" w:type="dxa"/>
              <w:bottom w:w="0" w:type="dxa"/>
              <w:right w:w="62" w:type="dxa"/>
            </w:tcMar>
          </w:tcPr>
          <w:p w:rsidR="00000000" w:rsidRPr="004A7367" w:rsidP="004A7367">
            <w:pPr>
              <w:pStyle w:val="BodyText"/>
            </w:pPr>
            <w:r w:rsidRPr="004A7367">
              <w:t>T1. Copper and Stainless Steel gas pipelines</w:t>
            </w:r>
          </w:p>
          <w:p w:rsidR="00000000" w:rsidRPr="004A7367" w:rsidP="004A7367">
            <w:pPr>
              <w:pStyle w:val="ListBullet"/>
            </w:pPr>
            <w:r w:rsidRPr="004A7367">
              <w:t>characteristics</w:t>
            </w:r>
          </w:p>
          <w:p w:rsidR="00000000" w:rsidRPr="004A7367" w:rsidP="004A7367">
            <w:pPr>
              <w:pStyle w:val="ListBullet"/>
            </w:pPr>
            <w:r w:rsidRPr="004A7367">
              <w:t xml:space="preserve">pipe sizes </w:t>
            </w:r>
          </w:p>
          <w:p w:rsidR="00000000" w:rsidRPr="004A7367" w:rsidP="004A7367">
            <w:pPr>
              <w:pStyle w:val="ListBullet"/>
            </w:pPr>
            <w:r w:rsidRPr="004A7367">
              <w:t xml:space="preserve">fittings </w:t>
            </w:r>
          </w:p>
          <w:p w:rsidR="00000000" w:rsidRPr="004A7367" w:rsidP="004A7367">
            <w:pPr>
              <w:pStyle w:val="ListBullet"/>
            </w:pPr>
            <w:r w:rsidRPr="004A7367">
              <w:t>accessories</w:t>
            </w:r>
          </w:p>
          <w:p w:rsidR="00000000" w:rsidRPr="004A7367" w:rsidP="004A7367">
            <w:pPr>
              <w:pStyle w:val="ListBullet"/>
            </w:pPr>
            <w:r w:rsidRPr="004A7367">
              <w:t>material specifications</w:t>
            </w:r>
          </w:p>
          <w:p w:rsidR="00000000" w:rsidRPr="004A7367" w:rsidP="004A7367">
            <w:pPr>
              <w:pStyle w:val="ListBullet"/>
            </w:pPr>
            <w:r w:rsidRPr="004A7367">
              <w:t>applications</w:t>
            </w:r>
          </w:p>
          <w:p w:rsidR="00000000" w:rsidRPr="004A7367" w:rsidP="004A7367">
            <w:pPr>
              <w:pStyle w:val="ListBullet"/>
            </w:pPr>
            <w:r w:rsidRPr="004A7367">
              <w:t>handling and storage</w:t>
            </w:r>
          </w:p>
          <w:p w:rsidR="00000000" w:rsidRPr="004A7367" w:rsidP="004A7367">
            <w:pPr>
              <w:pStyle w:val="ListBullet"/>
            </w:pPr>
            <w:r w:rsidRPr="004A7367">
              <w:t>advantages and disadvantages</w:t>
            </w:r>
          </w:p>
          <w:p w:rsidR="00000000" w:rsidRPr="004A7367" w:rsidP="004A7367">
            <w:pPr>
              <w:pStyle w:val="ListBullet"/>
            </w:pPr>
            <w:r w:rsidRPr="004A7367">
              <w:t>MSDS</w:t>
            </w:r>
          </w:p>
          <w:p w:rsidR="00000000" w:rsidRPr="004A7367" w:rsidP="004A7367">
            <w:pPr>
              <w:pStyle w:val="BodyText"/>
            </w:pPr>
            <w:r w:rsidRPr="004A7367">
              <w:t>T2. Relevant Australian Standards</w:t>
            </w:r>
          </w:p>
          <w:p w:rsidR="00000000" w:rsidRPr="004A7367" w:rsidP="004A7367">
            <w:pPr>
              <w:pStyle w:val="BodyText"/>
            </w:pPr>
            <w:r w:rsidRPr="004A7367">
              <w:t>T3. Safety requirements</w:t>
            </w:r>
          </w:p>
          <w:p w:rsidR="00000000" w:rsidRPr="004A7367" w:rsidP="004A7367">
            <w:pPr>
              <w:pStyle w:val="ListBullet"/>
            </w:pPr>
            <w:r w:rsidRPr="004A7367">
              <w:t>hazards, risk assessment and control measures</w:t>
            </w:r>
          </w:p>
          <w:p w:rsidR="00000000" w:rsidRPr="004A7367" w:rsidP="004A7367">
            <w:pPr>
              <w:pStyle w:val="ListBullet"/>
            </w:pPr>
            <w:r w:rsidRPr="004A7367">
              <w:t>dangers of working with live gas</w:t>
            </w:r>
          </w:p>
          <w:p w:rsidR="00000000" w:rsidRPr="004A7367" w:rsidP="004A7367">
            <w:pPr>
              <w:pStyle w:val="BodyText"/>
            </w:pPr>
            <w:r w:rsidRPr="004A7367">
              <w:t>T4. Copper and Stainless Steel and other piping materials</w:t>
            </w:r>
          </w:p>
          <w:p w:rsidR="00000000" w:rsidRPr="004A7367" w:rsidP="004A7367">
            <w:pPr>
              <w:pStyle w:val="ListBullet"/>
            </w:pPr>
            <w:r w:rsidRPr="004A7367">
              <w:t>types and identification</w:t>
            </w:r>
          </w:p>
          <w:p w:rsidR="00000000" w:rsidRPr="004A7367" w:rsidP="004A7367">
            <w:pPr>
              <w:pStyle w:val="BodyText"/>
            </w:pPr>
            <w:r w:rsidRPr="004A7367">
              <w:t>T5. Cutting and tapping Copper and</w:t>
            </w:r>
            <w:r w:rsidRPr="004A7367">
              <w:t xml:space="preserve"> Stainless Steel pipe </w:t>
            </w:r>
          </w:p>
          <w:p w:rsidR="00000000" w:rsidRPr="004A7367" w:rsidP="004A7367">
            <w:pPr>
              <w:pStyle w:val="ListBullet"/>
            </w:pPr>
            <w:r w:rsidRPr="004A7367">
              <w:t xml:space="preserve">requirements under various conditions, inclement weather etc. </w:t>
            </w:r>
          </w:p>
          <w:p w:rsidR="00000000" w:rsidRPr="004A7367" w:rsidP="004A7367">
            <w:pPr>
              <w:pStyle w:val="ListBullet"/>
            </w:pPr>
            <w:r w:rsidRPr="004A7367">
              <w:t>methods, procedures and safety requirements</w:t>
            </w:r>
          </w:p>
          <w:p w:rsidR="00000000" w:rsidRPr="004A7367" w:rsidP="004A7367">
            <w:pPr>
              <w:pStyle w:val="ListBullet"/>
            </w:pPr>
            <w:r w:rsidRPr="004A7367">
              <w:t xml:space="preserve">selection and use of equipment, tools and materials </w:t>
            </w:r>
          </w:p>
          <w:p w:rsidR="00000000" w:rsidRPr="004A7367" w:rsidP="004A7367">
            <w:pPr>
              <w:pStyle w:val="BodyText"/>
            </w:pPr>
            <w:r w:rsidRPr="004A7367">
              <w:t>T6. Joining Copper and Stainless Steel pipe, pipelines and fittings</w:t>
            </w:r>
          </w:p>
          <w:p w:rsidR="00000000" w:rsidRPr="004A7367" w:rsidP="004A7367">
            <w:pPr>
              <w:pStyle w:val="ListBullet"/>
            </w:pPr>
            <w:r w:rsidRPr="004A7367">
              <w:t>req</w:t>
            </w:r>
            <w:r w:rsidRPr="004A7367">
              <w:t xml:space="preserve">uirements under various conditions, inclement weather etc. </w:t>
            </w:r>
          </w:p>
          <w:p w:rsidR="00000000" w:rsidRPr="004A7367" w:rsidP="004A7367">
            <w:pPr>
              <w:pStyle w:val="ListBullet"/>
            </w:pPr>
            <w:r w:rsidRPr="004A7367">
              <w:t xml:space="preserve">methods, procedures and safety requirements </w:t>
            </w:r>
          </w:p>
          <w:p w:rsidR="00000000" w:rsidRPr="004A7367" w:rsidP="004A7367">
            <w:pPr>
              <w:pStyle w:val="ListBullet"/>
            </w:pPr>
            <w:r w:rsidRPr="004A7367">
              <w:t xml:space="preserve">selection and use of equipment, tools and materials </w:t>
            </w:r>
          </w:p>
          <w:p w:rsidR="00000000" w:rsidRPr="004A7367" w:rsidP="004A7367">
            <w:pPr>
              <w:pStyle w:val="BodyText"/>
            </w:pPr>
            <w:r w:rsidRPr="004A7367">
              <w:t>T7. Transition fittings and adaptors to other piping materials</w:t>
            </w:r>
          </w:p>
          <w:p w:rsidR="00000000" w:rsidRPr="004A7367" w:rsidP="004A7367">
            <w:pPr>
              <w:pStyle w:val="ListBullet"/>
            </w:pPr>
            <w:r w:rsidRPr="004A7367">
              <w:t>types</w:t>
            </w:r>
          </w:p>
          <w:p w:rsidR="00000000" w:rsidRPr="004A7367" w:rsidP="004A7367">
            <w:pPr>
              <w:pStyle w:val="ListBullet"/>
            </w:pPr>
            <w:r w:rsidRPr="004A7367">
              <w:t>selection</w:t>
            </w:r>
          </w:p>
          <w:p w:rsidR="00000000" w:rsidRPr="004A7367" w:rsidP="004A7367">
            <w:pPr>
              <w:pStyle w:val="BodyText"/>
            </w:pPr>
            <w:r w:rsidRPr="004A7367">
              <w:t>T8. Conditions for</w:t>
            </w:r>
            <w:r w:rsidRPr="004A7367">
              <w:t xml:space="preserve"> direct installation or insertion of Copper and Stainless Steel pipeline</w:t>
            </w:r>
          </w:p>
          <w:p w:rsidR="00000000" w:rsidRPr="004A7367" w:rsidP="004A7367">
            <w:pPr>
              <w:pStyle w:val="BodyText"/>
            </w:pPr>
            <w:r w:rsidRPr="004A7367">
              <w:t>T9. Installation of Copper and Stainless Steel pipeline</w:t>
            </w:r>
          </w:p>
          <w:p w:rsidR="00000000" w:rsidRPr="004A7367" w:rsidP="004A7367">
            <w:pPr>
              <w:pStyle w:val="ListBullet"/>
            </w:pPr>
            <w:r w:rsidRPr="004A7367">
              <w:t>requirements</w:t>
            </w:r>
          </w:p>
          <w:p w:rsidR="00000000" w:rsidRPr="004A7367" w:rsidP="004A7367">
            <w:pPr>
              <w:pStyle w:val="ListBullet"/>
            </w:pPr>
            <w:r w:rsidRPr="004A7367">
              <w:t>procedures</w:t>
            </w:r>
          </w:p>
          <w:p w:rsidR="00000000" w:rsidRPr="004A7367" w:rsidP="004A7367">
            <w:pPr>
              <w:pStyle w:val="ListBullet"/>
            </w:pPr>
            <w:r w:rsidRPr="004A7367">
              <w:t xml:space="preserve">trace wire </w:t>
            </w:r>
          </w:p>
          <w:p w:rsidR="00000000" w:rsidRPr="004A7367" w:rsidP="004A7367">
            <w:pPr>
              <w:pStyle w:val="ListBullet"/>
            </w:pPr>
            <w:r w:rsidRPr="004A7367">
              <w:t>marker tape</w:t>
            </w:r>
          </w:p>
          <w:p w:rsidR="00000000" w:rsidRPr="004A7367" w:rsidP="004A7367">
            <w:pPr>
              <w:pStyle w:val="BodyText"/>
            </w:pPr>
            <w:r w:rsidRPr="004A7367">
              <w:t>T10. Termination and testing of Copper and Stainless Steel pipeline</w:t>
            </w:r>
          </w:p>
          <w:p w:rsidR="00000000" w:rsidRPr="004A7367" w:rsidP="004A7367">
            <w:pPr>
              <w:pStyle w:val="ListBullet"/>
            </w:pPr>
            <w:r w:rsidRPr="004A7367">
              <w:t>requirements</w:t>
            </w:r>
          </w:p>
          <w:p w:rsidR="00000000" w:rsidRPr="004A7367" w:rsidP="004A7367">
            <w:pPr>
              <w:pStyle w:val="ListBullet"/>
            </w:pPr>
            <w:r w:rsidRPr="004A7367">
              <w:t>procedures</w:t>
            </w:r>
          </w:p>
          <w:p w:rsidR="00000000" w:rsidRPr="004A7367" w:rsidP="004A7367">
            <w:pPr>
              <w:pStyle w:val="BodyText"/>
            </w:pPr>
            <w:r w:rsidRPr="004A7367">
              <w:t>T11. Static Electricity in Copper and Stainless Steel gas pipes</w:t>
            </w:r>
          </w:p>
          <w:p w:rsidR="00000000" w:rsidRPr="004A7367" w:rsidP="004A7367">
            <w:pPr>
              <w:pStyle w:val="ListBullet"/>
            </w:pPr>
            <w:r w:rsidRPr="004A7367">
              <w:t>causes</w:t>
            </w:r>
          </w:p>
          <w:p w:rsidR="00000000" w:rsidRPr="004A7367" w:rsidP="004A7367">
            <w:pPr>
              <w:pStyle w:val="ListBullet"/>
            </w:pPr>
            <w:r w:rsidRPr="004A7367">
              <w:t>dangers</w:t>
            </w:r>
          </w:p>
          <w:p w:rsidR="00000000" w:rsidRPr="004A7367" w:rsidP="004A7367">
            <w:pPr>
              <w:pStyle w:val="ListBullet"/>
            </w:pPr>
            <w:r w:rsidRPr="004A7367">
              <w:t>prevention</w:t>
            </w:r>
          </w:p>
        </w:tc>
      </w:tr>
    </w:tbl>
    <w:p w:rsidR="00E16D5F" w:rsidP="004A7367">
      <w:pPr>
        <w:pStyle w:val="BodyText"/>
      </w:pPr>
    </w:p>
    <w:p w:rsidR="00E16D5F" w:rsidP="004A7367">
      <w:pPr>
        <w:pStyle w:val="BodyText"/>
      </w:pPr>
    </w:p>
    <w:p w:rsidR="00000000" w:rsidRPr="004A7367" w:rsidP="004A7367">
      <w:pPr>
        <w:pStyle w:val="Heading1"/>
      </w:pPr>
      <w:bookmarkStart w:id="10" w:name="O_582247"/>
      <w:bookmarkEnd w:id="10"/>
      <w:r w:rsidRPr="004A7367">
        <w:t>Evidence Guide</w:t>
      </w:r>
    </w:p>
    <w:tbl>
      <w:tblPr>
        <w:tblW w:w="0" w:type="auto"/>
        <w:tblLayout w:type="fixed"/>
        <w:tblCellMar>
          <w:left w:w="62" w:type="dxa"/>
          <w:right w:w="62" w:type="dxa"/>
        </w:tblCellMar>
        <w:tblLook w:val="0000"/>
      </w:tblPr>
      <w:tblGrid>
        <w:gridCol w:w="8336"/>
      </w:tblGrid>
      <w:tr w:rsidTr="004A7367">
        <w:tblPrEx>
          <w:tblW w:w="0" w:type="auto"/>
          <w:tblLayout w:type="fixed"/>
          <w:tblCellMar>
            <w:left w:w="62" w:type="dxa"/>
            <w:right w:w="62" w:type="dxa"/>
          </w:tblCellMar>
          <w:tblLook w:val="0000"/>
        </w:tblPrEx>
        <w:trPr>
          <w:tblHeader/>
        </w:trPr>
        <w:tc>
          <w:tcPr>
            <w:tcW w:w="8336"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rPr>
                <w:rStyle w:val="SpecialBold"/>
              </w:rPr>
              <w:t>EVIDENCE GUIDE</w:t>
            </w:r>
          </w:p>
        </w:tc>
      </w:tr>
      <w:tr w:rsidTr="004A7367">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RPr="004A7367" w:rsidP="004A7367">
            <w:pPr>
              <w:pStyle w:val="BodyText"/>
            </w:pPr>
            <w:r w:rsidRPr="004A7367">
              <w:rPr>
                <w:rStyle w:val="SpecialBold"/>
              </w:rPr>
              <w:t>8)</w:t>
            </w:r>
            <w:r w:rsidRPr="004A7367">
              <w:t xml:space="preserve"> The Evidence Guide forms an integral part of this Unit and shall be used in conjunction with all components parts of this unit and performed in accordance with the Assessment Guidelines of this Training Package.</w:t>
            </w:r>
          </w:p>
        </w:tc>
      </w:tr>
    </w:tbl>
    <w:p w:rsidR="00000000" w:rsidRPr="004A7367" w:rsidP="004A7367">
      <w:pPr>
        <w:pStyle w:val="BodyText"/>
      </w:pPr>
    </w:p>
    <w:tbl>
      <w:tblPr>
        <w:tblW w:w="0" w:type="auto"/>
        <w:tblLayout w:type="fixed"/>
        <w:tblCellMar>
          <w:left w:w="62" w:type="dxa"/>
          <w:right w:w="62" w:type="dxa"/>
        </w:tblCellMar>
        <w:tblLook w:val="0000"/>
      </w:tblPr>
      <w:tblGrid>
        <w:gridCol w:w="1766"/>
        <w:gridCol w:w="6570"/>
      </w:tblGrid>
      <w:tr w:rsidTr="004A7367">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RPr="004A7367" w:rsidP="004A7367">
            <w:pPr>
              <w:pStyle w:val="BodyText"/>
            </w:pPr>
            <w:r w:rsidRPr="004A7367">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rPr>
                <w:rStyle w:val="SpecialBold"/>
              </w:rPr>
              <w:t>8.1)</w:t>
            </w:r>
          </w:p>
        </w:tc>
      </w:tr>
      <w:tr w:rsidTr="004A7367">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Longitudina</w:t>
            </w:r>
            <w:r w:rsidRPr="004A7367">
              <w:t>l competency development approaches to assessment, such as Profiling, require data to be reliably gathered in a form that can be consistently interpreted over time. This approach is best utilised in Apprenticeship programs and reduces assessment interventi</w:t>
            </w:r>
            <w:r w:rsidRPr="004A7367">
              <w:t xml:space="preserve">on. It is the Industry’s preferred model for apprenticeships. However, where summative (or final) assessment is used it is to include the application of the competency in the normal work environment or, at a minimum, the application of the competency in a </w:t>
            </w:r>
            <w:r w:rsidRPr="004A7367">
              <w:t>realistically simulated work environment. It is recognised that, in some circumstances, assessment in part or full can occur outside the workplace. However, it must be in accord with industry and regulatory policy in this regard.</w:t>
            </w:r>
          </w:p>
        </w:tc>
      </w:tr>
      <w:tr w:rsidTr="004A7367">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 xml:space="preserve">Methods chosen for a particular assessment will be influenced by various factors. These include the extent of the assessment, the most effective </w:t>
            </w:r>
            <w:r w:rsidRPr="004A7367">
              <w:t>locations for the assessment activities to take place, access to physical resources, additional safety measures</w:t>
            </w:r>
            <w:r w:rsidRPr="004A7367">
              <w:t xml:space="preserve"> that may be required and the critical nature of the competencies being assessed.</w:t>
            </w:r>
          </w:p>
        </w:tc>
      </w:tr>
      <w:tr w:rsidTr="004A7367">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The critical safety nature of working with electricity, electrical equipment, gas or any other hazardous substance/material carries risk in deeming a person competent. Henc</w:t>
            </w:r>
            <w:r w:rsidRPr="004A7367">
              <w:t>e, sources of evidence need to be ‘rich’ in nature so as to minimise error in judgment.</w:t>
            </w:r>
          </w:p>
        </w:tc>
      </w:tr>
      <w:tr w:rsidTr="004A7367">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A7367" w:rsidP="004A7367">
            <w:pPr>
              <w:pStyle w:val="BodyText"/>
            </w:pPr>
            <w:r w:rsidRPr="004A7367">
              <w:t>Activities associated with normal every day work have a bearing on the decision as to how much and how detailed the data gathered will contribute to its ‘richness’. S</w:t>
            </w:r>
            <w:r w:rsidRPr="004A7367">
              <w:t>ome skills are more critical to safety and operational requirements while the same skills may be more or less frequently practised. These points are raised for the assessors to consider when choosing an assessment method and developing assessment instrumen</w:t>
            </w:r>
            <w:r w:rsidRPr="004A7367">
              <w:t>ts. Sample assessment instruments are included in the Assessment Guidelines of this Training Package.</w:t>
            </w:r>
          </w:p>
        </w:tc>
      </w:tr>
    </w:tbl>
    <w:p w:rsidR="00000000" w:rsidRPr="004A7367" w:rsidP="004A7367">
      <w:pPr>
        <w:pStyle w:val="BodyText"/>
      </w:pPr>
    </w:p>
    <w:tbl>
      <w:tblPr>
        <w:tblW w:w="0" w:type="auto"/>
        <w:tblLayout w:type="fixed"/>
        <w:tblCellMar>
          <w:left w:w="62" w:type="dxa"/>
          <w:right w:w="62" w:type="dxa"/>
        </w:tblCellMar>
        <w:tblLook w:val="0000"/>
      </w:tblPr>
      <w:tblGrid>
        <w:gridCol w:w="1800"/>
        <w:gridCol w:w="810"/>
        <w:gridCol w:w="360"/>
        <w:gridCol w:w="5400"/>
      </w:tblGrid>
      <w:tr w:rsidTr="00E16D5F">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RPr="004A7367" w:rsidP="004A7367">
            <w:pPr>
              <w:pStyle w:val="BodyText"/>
            </w:pPr>
            <w:r w:rsidRPr="004A7367">
              <w:rPr>
                <w:rStyle w:val="SpecialBold"/>
              </w:rPr>
              <w:t>Critical aspects of evidence required to demonstrate competency in this unit</w:t>
            </w:r>
          </w:p>
        </w:tc>
        <w:tc>
          <w:tcPr>
            <w:tcW w:w="6570" w:type="dxa"/>
            <w:gridSpan w:val="3"/>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rPr>
                <w:rStyle w:val="SpecialBold"/>
              </w:rPr>
              <w:t>8.2)</w:t>
            </w:r>
          </w:p>
        </w:tc>
      </w:tr>
      <w:tr w:rsidTr="00E16D5F">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Before the critical aspects of evidence are considered all prerequisites shall be met.</w:t>
            </w:r>
          </w:p>
        </w:tc>
      </w:tr>
      <w:tr w:rsidTr="00E16D5F">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Evidence for competence in this unit shall be considered holistically. Each element and associated Performance Criteria shall be demonstrated on at least two occasio</w:t>
            </w:r>
            <w:r w:rsidRPr="004A7367">
              <w:t>ns in accordance with the ‘Assessment Guidelines — UEG11’. Evidence shall also comprise:</w:t>
            </w:r>
          </w:p>
        </w:tc>
      </w:tr>
      <w:tr w:rsidTr="00E16D5F">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P="004A7367">
            <w:pPr>
              <w:pStyle w:val="ListBullet"/>
              <w:rPr>
                <w:lang w:val="en-NZ"/>
              </w:rPr>
            </w:pPr>
            <w:r w:rsidRPr="004A7367">
              <w:t>A representative body of Performance Criteria demonstrated within the timeframes typically expected of the discipline, work function and industrial environment. I</w:t>
            </w:r>
            <w:r w:rsidRPr="004A7367">
              <w:t>n particular this shall incorporate evidence that shows a candidate is able to:</w:t>
            </w:r>
          </w:p>
        </w:tc>
      </w:tr>
      <w:tr w:rsidTr="00E16D5F">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P="004A7367">
            <w:pPr>
              <w:pStyle w:val="ListBullet2"/>
              <w:rPr>
                <w:lang w:val="en-NZ"/>
              </w:rPr>
            </w:pPr>
            <w:r w:rsidRPr="004A7367">
              <w:t>Implement Occupational Health and Safety workplace procedures and practices including the use of risk control measures as specified in the Performance Criteria and range</w:t>
            </w:r>
          </w:p>
        </w:tc>
      </w:tr>
      <w:tr w:rsidTr="00E16D5F">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P="004A7367">
            <w:pPr>
              <w:pStyle w:val="ListBullet2"/>
              <w:rPr>
                <w:lang w:val="en-NZ"/>
              </w:rPr>
            </w:pPr>
            <w:r w:rsidRPr="004A7367">
              <w:t>Apply sustainable energy principles and practices as specified in the Performance Criteria and range</w:t>
            </w:r>
          </w:p>
        </w:tc>
      </w:tr>
      <w:tr w:rsidTr="00E16D5F">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P="004A7367">
            <w:pPr>
              <w:pStyle w:val="ListBullet2"/>
              <w:rPr>
                <w:lang w:val="en-NZ"/>
              </w:rPr>
            </w:pPr>
            <w:r w:rsidRPr="004A7367">
              <w:t>Demonstrate an understanding of the required skills and knowledge as described in this unit to such an extent that the learner’s performance outc</w:t>
            </w:r>
            <w:r w:rsidRPr="004A7367">
              <w:t>ome is reported in accordance with the preferred approach; namely a percentile graded result, where required by the regulated environment</w:t>
            </w:r>
          </w:p>
        </w:tc>
      </w:tr>
      <w:tr w:rsidTr="00E16D5F">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P="004A7367">
            <w:pPr>
              <w:pStyle w:val="ListBullet2"/>
              <w:rPr>
                <w:lang w:val="en-NZ"/>
              </w:rPr>
            </w:pPr>
            <w:r w:rsidRPr="004A7367">
              <w:t>Demonstrate an appropriate level of skills enabling employment</w:t>
            </w:r>
          </w:p>
        </w:tc>
      </w:tr>
      <w:tr w:rsidTr="00E16D5F">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P="004A7367">
            <w:pPr>
              <w:pStyle w:val="ListBullet2"/>
              <w:rPr>
                <w:lang w:val="en-NZ"/>
              </w:rPr>
            </w:pPr>
            <w:r w:rsidRPr="004A7367">
              <w:t>Conduct work observing the relevant Anti-discrimination legislation, regulations, polices and workplace procedures</w:t>
            </w:r>
          </w:p>
        </w:tc>
      </w:tr>
      <w:tr w:rsidTr="00E16D5F">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P="004A7367">
            <w:pPr>
              <w:pStyle w:val="ListBullet"/>
              <w:rPr>
                <w:lang w:val="en-NZ"/>
              </w:rPr>
            </w:pPr>
            <w:r w:rsidRPr="004A7367">
              <w:t>Demonstrate performance across a representative range of contexts from the prescribed items below:</w:t>
            </w:r>
          </w:p>
        </w:tc>
      </w:tr>
      <w:tr w:rsidTr="00E16D5F">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P="004A7367">
            <w:pPr>
              <w:pStyle w:val="ListBullet2"/>
              <w:rPr>
                <w:lang w:val="en-NZ"/>
              </w:rPr>
            </w:pPr>
            <w:r w:rsidRPr="004A7367">
              <w:t>Construct copper and stainless steel gas distribution pipelines in accordance with relevant legislation, code, regulations and procedures as described in 9.) Range Statement and including:</w:t>
            </w:r>
          </w:p>
        </w:tc>
      </w:tr>
      <w:tr w:rsidTr="00E16D5F">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A.</w:t>
            </w:r>
          </w:p>
        </w:tc>
        <w:tc>
          <w:tcPr>
            <w:tcW w:w="540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Identifying and interpreting correctly drawings, diagrams, schedules, procedures and manuals relevant to the work to be undertaken.</w:t>
            </w:r>
          </w:p>
        </w:tc>
      </w:tr>
      <w:tr w:rsidTr="00E16D5F">
        <w:tblPrEx>
          <w:tblW w:w="0" w:type="auto"/>
          <w:tblLayout w:type="fixed"/>
          <w:tblCellMar>
            <w:left w:w="62" w:type="dxa"/>
            <w:right w:w="62" w:type="dxa"/>
          </w:tblCellMar>
          <w:tblLook w:val="0000"/>
        </w:tblPrEx>
        <w:trPr>
          <w:trHeight w:val="722"/>
        </w:trPr>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B.</w:t>
            </w:r>
          </w:p>
        </w:tc>
        <w:tc>
          <w:tcPr>
            <w:tcW w:w="540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Identifying the plant and equipment and their safe operating parameters/requirements</w:t>
            </w:r>
          </w:p>
        </w:tc>
      </w:tr>
      <w:tr w:rsidTr="00E16D5F">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 xml:space="preserve">C. </w:t>
            </w:r>
          </w:p>
        </w:tc>
        <w:tc>
          <w:tcPr>
            <w:tcW w:w="540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Cutting, joining  and connecting copper and stainless steel gas distribution pipelines and services in accordance with requirements</w:t>
            </w:r>
          </w:p>
        </w:tc>
      </w:tr>
      <w:tr w:rsidTr="00E16D5F">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D.</w:t>
            </w:r>
          </w:p>
        </w:tc>
        <w:tc>
          <w:tcPr>
            <w:tcW w:w="540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 xml:space="preserve">Isolating, venting, purging and testing for soundness and leaks and making safe gas services </w:t>
            </w:r>
          </w:p>
        </w:tc>
      </w:tr>
      <w:tr w:rsidTr="00E16D5F">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E.</w:t>
            </w:r>
          </w:p>
        </w:tc>
        <w:tc>
          <w:tcPr>
            <w:tcW w:w="540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Completing required documentation and reporting.</w:t>
            </w:r>
          </w:p>
        </w:tc>
      </w:tr>
      <w:tr w:rsidTr="00E16D5F">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 xml:space="preserve">F. </w:t>
            </w:r>
          </w:p>
        </w:tc>
        <w:tc>
          <w:tcPr>
            <w:tcW w:w="5400" w:type="dxa"/>
            <w:tcBorders>
              <w:top w:val="nil"/>
              <w:left w:val="nil"/>
              <w:bottom w:val="nil"/>
              <w:right w:val="nil"/>
            </w:tcBorders>
            <w:tcMar>
              <w:top w:w="0" w:type="dxa"/>
              <w:left w:w="62" w:type="dxa"/>
              <w:bottom w:w="0" w:type="dxa"/>
              <w:right w:w="62" w:type="dxa"/>
            </w:tcMar>
          </w:tcPr>
          <w:p w:rsidR="00000000" w:rsidRPr="004A7367" w:rsidP="004A7367">
            <w:pPr>
              <w:pStyle w:val="BodyText"/>
            </w:pPr>
            <w:r w:rsidRPr="004A7367">
              <w:t>Responding to  unplanned events by drawing on essential knowledge and skills, procedures/ protocols to provide appropriate solutions incorporated in the holistic assessment with the above listed items</w:t>
            </w:r>
            <w:r w:rsidRPr="004A7367">
              <w:t>, for example encroachment and/or contact with assets</w:t>
            </w:r>
          </w:p>
        </w:tc>
      </w:tr>
    </w:tbl>
    <w:p w:rsidR="00000000" w:rsidRPr="004A7367" w:rsidP="004A7367">
      <w:pPr>
        <w:pStyle w:val="BodyText"/>
      </w:pPr>
    </w:p>
    <w:p w:rsidR="00000000" w:rsidRPr="004A7367" w:rsidP="004A7367">
      <w:pPr>
        <w:pStyle w:val="BodyText"/>
      </w:pPr>
    </w:p>
    <w:tbl>
      <w:tblPr>
        <w:tblW w:w="0" w:type="auto"/>
        <w:tblLayout w:type="fixed"/>
        <w:tblCellMar>
          <w:left w:w="62" w:type="dxa"/>
          <w:right w:w="62" w:type="dxa"/>
        </w:tblCellMar>
        <w:tblLook w:val="0000"/>
      </w:tblPr>
      <w:tblGrid>
        <w:gridCol w:w="1766"/>
        <w:gridCol w:w="6570"/>
      </w:tblGrid>
      <w:tr w:rsidTr="00E16D5F">
        <w:tblPrEx>
          <w:tblW w:w="0" w:type="auto"/>
          <w:tblLayout w:type="fixed"/>
          <w:tblCellMar>
            <w:left w:w="62" w:type="dxa"/>
            <w:right w:w="62" w:type="dxa"/>
          </w:tblCellMar>
          <w:tblLook w:val="0000"/>
        </w:tblPrEx>
        <w:trPr>
          <w:trHeight w:val="798"/>
        </w:trPr>
        <w:tc>
          <w:tcPr>
            <w:tcW w:w="1766" w:type="dxa"/>
            <w:tcBorders>
              <w:top w:val="nil"/>
              <w:left w:val="nil"/>
              <w:bottom w:val="nil"/>
              <w:right w:val="nil"/>
            </w:tcBorders>
            <w:tcMar>
              <w:top w:w="0" w:type="dxa"/>
              <w:left w:w="62" w:type="dxa"/>
              <w:bottom w:w="0" w:type="dxa"/>
              <w:right w:w="62" w:type="dxa"/>
            </w:tcMar>
          </w:tcPr>
          <w:p w:rsidR="00000000" w:rsidRPr="004A7367" w:rsidP="004A7367">
            <w:pPr>
              <w:pStyle w:val="BodyText"/>
            </w:pPr>
            <w:r w:rsidRPr="004A7367">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rPr>
                <w:rStyle w:val="SpecialBold"/>
              </w:rPr>
              <w:t>8.3)</w:t>
            </w:r>
          </w:p>
        </w:tc>
      </w:tr>
      <w:tr w:rsidTr="00E16D5F">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This unit should be assessed as it relates to normal work practice using procedures, information and resources typical of a workplace. This sho</w:t>
            </w:r>
            <w:r w:rsidRPr="004A7367">
              <w:t>uld include:</w:t>
            </w:r>
          </w:p>
        </w:tc>
      </w:tr>
      <w:tr w:rsidTr="00E16D5F">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A7367">
            <w:pPr>
              <w:pStyle w:val="ListBullet"/>
              <w:rPr>
                <w:lang w:val="en-NZ"/>
              </w:rPr>
            </w:pPr>
            <w:r w:rsidRPr="004A7367">
              <w:t>WHS/OHS policy and work procedures and instructions.</w:t>
            </w:r>
          </w:p>
        </w:tc>
      </w:tr>
      <w:tr w:rsidTr="00E16D5F">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A7367">
            <w:pPr>
              <w:pStyle w:val="ListBullet"/>
              <w:rPr>
                <w:lang w:val="en-NZ"/>
              </w:rPr>
            </w:pPr>
            <w:r w:rsidRPr="004A7367">
              <w:t>Suitable work environment, facilities, equipment and materials to undertake actual work as prescribed by this Unit.</w:t>
            </w:r>
          </w:p>
        </w:tc>
      </w:tr>
      <w:tr w:rsidTr="00E16D5F">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A7367">
            <w:pPr>
              <w:pStyle w:val="ListBullet"/>
              <w:rPr>
                <w:lang w:val="en-NZ"/>
              </w:rPr>
            </w:pPr>
            <w:r w:rsidRPr="004A7367">
              <w:t>Appropriate environmental regulation and work practices.</w:t>
            </w:r>
          </w:p>
        </w:tc>
      </w:tr>
      <w:tr w:rsidTr="00E16D5F">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A7367">
            <w:pPr>
              <w:pStyle w:val="ListBullet"/>
              <w:rPr>
                <w:lang w:val="en-NZ"/>
              </w:rPr>
            </w:pPr>
            <w:r w:rsidRPr="004A7367">
              <w:t>Appropriate organisational requirements.</w:t>
            </w:r>
          </w:p>
        </w:tc>
      </w:tr>
      <w:tr w:rsidTr="00E16D5F">
        <w:tblPrEx>
          <w:tblW w:w="0" w:type="auto"/>
          <w:tblLayout w:type="fixed"/>
          <w:tblCellMar>
            <w:left w:w="62" w:type="dxa"/>
            <w:right w:w="62" w:type="dxa"/>
          </w:tblCellMar>
          <w:tblLook w:val="0000"/>
        </w:tblPrEx>
        <w:trPr>
          <w:trHeight w:val="516"/>
        </w:trPr>
        <w:tc>
          <w:tcPr>
            <w:tcW w:w="1766"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A7367">
            <w:pPr>
              <w:pStyle w:val="ListBullet"/>
              <w:rPr>
                <w:lang w:val="en-NZ"/>
              </w:rPr>
            </w:pPr>
            <w:r w:rsidRPr="004A7367">
              <w:t>Appropriate work environment, equipment and tools.</w:t>
            </w:r>
          </w:p>
        </w:tc>
      </w:tr>
      <w:tr w:rsidTr="00E16D5F">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A7367" w:rsidP="004A7367">
            <w:pPr>
              <w:pStyle w:val="BodyText"/>
            </w:pPr>
            <w:r w:rsidRPr="004A7367">
              <w:t>These should be part of the formal learning/assessment environment.</w:t>
            </w:r>
          </w:p>
          <w:p w:rsidR="00000000" w:rsidRPr="004A7367" w:rsidP="004A7367">
            <w:pPr>
              <w:pStyle w:val="BodyText"/>
            </w:pPr>
          </w:p>
          <w:p w:rsidR="00000000" w:rsidRPr="004A7367" w:rsidP="004A7367">
            <w:pPr>
              <w:pStyle w:val="BodyText"/>
            </w:pPr>
            <w:r w:rsidRPr="004A7367">
              <w:t>Assessment of this competency mus</w:t>
            </w:r>
            <w:r w:rsidRPr="004A7367">
              <w:t>t also be undertaken in either an actual workplace or under a simulated work environment. Assessment must also integrate the key competencies.</w:t>
            </w:r>
          </w:p>
          <w:tbl>
            <w:tblPr>
              <w:tblW w:w="0" w:type="auto"/>
              <w:tblLayout w:type="fixed"/>
              <w:tblCellMar>
                <w:left w:w="62" w:type="dxa"/>
                <w:right w:w="62" w:type="dxa"/>
              </w:tblCellMar>
              <w:tblLook w:val="0000"/>
            </w:tblPr>
            <w:tblGrid>
              <w:gridCol w:w="6446"/>
            </w:tblGrid>
            <w:tr>
              <w:tblPrEx>
                <w:tblW w:w="0" w:type="auto"/>
                <w:tblLayout w:type="fixed"/>
                <w:tblCellMar>
                  <w:left w:w="62" w:type="dxa"/>
                  <w:right w:w="62" w:type="dxa"/>
                </w:tblCellMar>
                <w:tblLook w:val="0000"/>
              </w:tblPrEx>
              <w:tc>
                <w:tcPr>
                  <w:tcW w:w="6446" w:type="dxa"/>
                  <w:shd w:val="clear" w:color="auto" w:fill="FFFFFF"/>
                  <w:tcMar>
                    <w:top w:w="0" w:type="dxa"/>
                    <w:left w:w="62" w:type="dxa"/>
                    <w:bottom w:w="0" w:type="dxa"/>
                    <w:right w:w="62" w:type="dxa"/>
                  </w:tcMar>
                </w:tcPr>
                <w:p w:rsidR="00000000" w:rsidRPr="004A7367" w:rsidP="004A7367">
                  <w:pPr>
                    <w:pStyle w:val="BodyText"/>
                  </w:pPr>
                  <w:r w:rsidRPr="004A7367">
                    <w:t>These should be part of the formal learning/assessment environment.</w:t>
                  </w:r>
                </w:p>
                <w:p w:rsidR="00000000" w:rsidRPr="004A7367" w:rsidP="004A7367">
                  <w:pPr>
                    <w:pStyle w:val="BodyText"/>
                  </w:pPr>
                  <w:r w:rsidRPr="004A7367">
                    <w:t>Assessment of this competency must also be un</w:t>
                  </w:r>
                  <w:r w:rsidRPr="004A7367">
                    <w:t>dertaken in either an actual workplace or under a simulated work environment. Assessment must also integrate the key competencies.</w:t>
                  </w:r>
                </w:p>
                <w:p w:rsidR="00000000" w:rsidRPr="004A7367" w:rsidP="004A7367">
                  <w:pPr>
                    <w:pStyle w:val="BodyText"/>
                  </w:pPr>
                  <w:r w:rsidRPr="004A7367">
                    <w:t>Note:</w:t>
                  </w:r>
                </w:p>
                <w:p w:rsidR="00000000" w:rsidRPr="004A7367" w:rsidP="004A7367">
                  <w:pPr>
                    <w:pStyle w:val="BodyText"/>
                  </w:pPr>
                  <w:r w:rsidRPr="004A7367">
                    <w:t xml:space="preserve">Where simulation is considered a suitable strategy for assessment, conditions must be authentic and as far as possible </w:t>
                  </w:r>
                  <w:r w:rsidRPr="004A7367">
                    <w:t>reproduce and replicate the workplace and be consistent with the approved industry simulation policy.</w:t>
                  </w:r>
                </w:p>
                <w:p w:rsidR="00000000" w:rsidRPr="004A7367" w:rsidP="004A7367">
                  <w:pPr>
                    <w:pStyle w:val="BodyText"/>
                  </w:pPr>
                  <w:r w:rsidRPr="004A7367">
                    <w:t>The resources used for assessment should reflect current industry practices in relation to locating, proving and protecting utility assets.</w:t>
                  </w:r>
                </w:p>
              </w:tc>
            </w:tr>
          </w:tbl>
          <w:p w:rsidR="00000000" w:rsidRPr="004A7367" w:rsidP="004A7367">
            <w:pPr>
              <w:pStyle w:val="BodyText"/>
            </w:pPr>
          </w:p>
          <w:p w:rsidR="00000000" w:rsidRPr="004A7367" w:rsidP="004A7367">
            <w:pPr>
              <w:pStyle w:val="BodyText"/>
            </w:pPr>
          </w:p>
        </w:tc>
      </w:tr>
    </w:tbl>
    <w:p w:rsidR="00000000" w:rsidRPr="004A7367" w:rsidP="004A7367">
      <w:pPr>
        <w:pStyle w:val="BodyText"/>
      </w:pPr>
    </w:p>
    <w:tbl>
      <w:tblPr>
        <w:tblW w:w="0" w:type="auto"/>
        <w:tblLayout w:type="fixed"/>
        <w:tblCellMar>
          <w:left w:w="62" w:type="dxa"/>
          <w:right w:w="62" w:type="dxa"/>
        </w:tblCellMar>
        <w:tblLook w:val="0000"/>
      </w:tblPr>
      <w:tblGrid>
        <w:gridCol w:w="1766"/>
        <w:gridCol w:w="6570"/>
      </w:tblGrid>
      <w:tr w:rsidTr="004A7367">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RPr="004A7367" w:rsidP="004A7367">
            <w:pPr>
              <w:pStyle w:val="BodyText"/>
            </w:pPr>
            <w:r w:rsidRPr="004A7367">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rPr>
                <w:rStyle w:val="SpecialBold"/>
              </w:rPr>
              <w:t>8.4)</w:t>
            </w:r>
          </w:p>
        </w:tc>
      </w:tr>
      <w:tr w:rsidTr="004A7367">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This Unit shall be assessed by methods given in Volume 1 Part 3 ‘Assessment Guidelines’.</w:t>
            </w:r>
          </w:p>
        </w:tc>
      </w:tr>
      <w:tr w:rsidTr="004A7367">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A7367" w:rsidP="004A7367">
            <w:pPr>
              <w:pStyle w:val="BodyText"/>
            </w:pPr>
            <w:r w:rsidRPr="004A7367">
              <w:t>Note: Competent performance with inherent safe working practices is expected in the Industry to which this Unit applies. T</w:t>
            </w:r>
            <w:r w:rsidRPr="004A7367">
              <w:t>his requires that the specified Essential Knowledge and Associated Skills are assessed in a structured environment which is primarily intended for learning/assessment and incorporates all necessary equipment and facilities for learners to develop and demon</w:t>
            </w:r>
            <w:r w:rsidRPr="004A7367">
              <w:t>strate the Essential Knowledge and Associated Skills described in this unit.</w:t>
            </w:r>
          </w:p>
        </w:tc>
      </w:tr>
    </w:tbl>
    <w:p w:rsidR="00000000" w:rsidRPr="004A7367" w:rsidP="004A7367">
      <w:pPr>
        <w:pStyle w:val="BodyText"/>
      </w:pPr>
    </w:p>
    <w:tbl>
      <w:tblPr>
        <w:tblW w:w="0" w:type="auto"/>
        <w:tblLayout w:type="fixed"/>
        <w:tblCellMar>
          <w:left w:w="62" w:type="dxa"/>
          <w:right w:w="62" w:type="dxa"/>
        </w:tblCellMar>
        <w:tblLook w:val="0000"/>
      </w:tblPr>
      <w:tblGrid>
        <w:gridCol w:w="1766"/>
        <w:gridCol w:w="1778"/>
        <w:gridCol w:w="4792"/>
      </w:tblGrid>
      <w:tr w:rsidTr="004A7367">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RPr="004A7367" w:rsidP="004A7367">
            <w:pPr>
              <w:pStyle w:val="BodyText"/>
            </w:pPr>
            <w:r w:rsidRPr="004A7367">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rPr>
                <w:rStyle w:val="SpecialBold"/>
              </w:rPr>
              <w:t>8.5)</w:t>
            </w:r>
          </w:p>
        </w:tc>
      </w:tr>
      <w:tr w:rsidTr="004A7367">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 xml:space="preserve">There are no recommended concurrent assessments with this unit, however in some cases efficiencies may be gained </w:t>
            </w:r>
            <w:r w:rsidRPr="004A7367">
              <w:t>in terms of learning and assessment effort being concurrently managed with allied Units where listed.</w:t>
            </w:r>
          </w:p>
        </w:tc>
      </w:tr>
      <w:tr w:rsidTr="004A7367">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8"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UEGNSG132A</w:t>
            </w:r>
          </w:p>
        </w:tc>
        <w:tc>
          <w:tcPr>
            <w:tcW w:w="4792"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Carry out basic work activities in a utilities industry work environment</w:t>
            </w:r>
          </w:p>
        </w:tc>
      </w:tr>
      <w:tr w:rsidTr="004A7367">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8"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UEGNSG140A</w:t>
            </w:r>
          </w:p>
        </w:tc>
        <w:tc>
          <w:tcPr>
            <w:tcW w:w="4792"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Apply with environmental policies and procedures in the utilities industry</w:t>
            </w:r>
          </w:p>
        </w:tc>
      </w:tr>
      <w:tr w:rsidTr="004A7367">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8"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UEGNSG134A</w:t>
            </w:r>
          </w:p>
        </w:tc>
        <w:tc>
          <w:tcPr>
            <w:tcW w:w="4792"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Establish a utilities infrastructure work site</w:t>
            </w:r>
          </w:p>
        </w:tc>
      </w:tr>
      <w:tr w:rsidTr="004A7367">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8"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UEGNSG219A</w:t>
            </w:r>
          </w:p>
        </w:tc>
        <w:tc>
          <w:tcPr>
            <w:tcW w:w="4792" w:type="dxa"/>
            <w:tcBorders>
              <w:top w:val="nil"/>
              <w:left w:val="nil"/>
              <w:bottom w:val="nil"/>
              <w:right w:val="nil"/>
            </w:tcBorders>
            <w:tcMar>
              <w:top w:w="0" w:type="dxa"/>
              <w:left w:w="62" w:type="dxa"/>
              <w:bottom w:w="0" w:type="dxa"/>
              <w:right w:w="62" w:type="dxa"/>
            </w:tcMar>
          </w:tcPr>
          <w:p w:rsidR="00000000" w:rsidRPr="004A7367" w:rsidP="004A7367">
            <w:pPr>
              <w:pStyle w:val="BodyText"/>
            </w:pPr>
            <w:r w:rsidRPr="004A7367">
              <w:t>Conduct excavations in the utilities  industry</w:t>
            </w:r>
          </w:p>
        </w:tc>
      </w:tr>
    </w:tbl>
    <w:p w:rsidR="00E16D5F" w:rsidP="004A7367">
      <w:pPr>
        <w:pStyle w:val="BodyText"/>
      </w:pPr>
    </w:p>
    <w:p w:rsidR="00E16D5F" w:rsidP="004A7367">
      <w:pPr>
        <w:pStyle w:val="BodyText"/>
      </w:pPr>
    </w:p>
    <w:p w:rsidR="00000000" w:rsidRPr="004A7367" w:rsidP="004A7367">
      <w:pPr>
        <w:pStyle w:val="Heading1"/>
      </w:pPr>
      <w:bookmarkStart w:id="11" w:name="O_582248"/>
      <w:bookmarkEnd w:id="11"/>
      <w:r w:rsidRPr="004A7367">
        <w:t>Range Statement</w:t>
      </w:r>
    </w:p>
    <w:tbl>
      <w:tblPr>
        <w:tblW w:w="0" w:type="auto"/>
        <w:tblLayout w:type="fixed"/>
        <w:tblCellMar>
          <w:left w:w="62" w:type="dxa"/>
          <w:right w:w="62" w:type="dxa"/>
        </w:tblCellMar>
        <w:tblLook w:val="0000"/>
      </w:tblPr>
      <w:tblGrid>
        <w:gridCol w:w="8336"/>
      </w:tblGrid>
      <w:tr w:rsidTr="004A7367">
        <w:tblPrEx>
          <w:tblW w:w="0" w:type="auto"/>
          <w:tblLayout w:type="fixed"/>
          <w:tblCellMar>
            <w:left w:w="62" w:type="dxa"/>
            <w:right w:w="62" w:type="dxa"/>
          </w:tblCellMar>
          <w:tblLook w:val="0000"/>
        </w:tblPrEx>
        <w:trPr>
          <w:trHeight w:val="466"/>
          <w:tblHeader/>
        </w:trPr>
        <w:tc>
          <w:tcPr>
            <w:tcW w:w="8336"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rPr>
                <w:rStyle w:val="SpecialBold"/>
              </w:rPr>
              <w:t>RANGE STATEMENT</w:t>
            </w:r>
          </w:p>
        </w:tc>
      </w:tr>
      <w:tr w:rsidTr="004A7367">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rPr>
                <w:rStyle w:val="SpecialBold"/>
              </w:rPr>
              <w:t>9)</w:t>
            </w:r>
            <w:r w:rsidRPr="004A7367">
              <w:rPr>
                <w:rStyle w:val="Emphasis"/>
              </w:rPr>
              <w:t xml:space="preserve"> This relates to the competency standard unit as a whole providing the range of contexts and conditions to which the Performance Criteria apply. It allows for different work environments and situations that will affect performance.</w:t>
            </w:r>
          </w:p>
        </w:tc>
      </w:tr>
      <w:tr w:rsidTr="004A7367">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This unit shall be demo</w:t>
            </w:r>
            <w:r w:rsidRPr="004A7367">
              <w:t xml:space="preserve">nstrated in relation to constructing copper and stainless steel gas distribution pipelines and services up to 20mm diameter, in accordance with relevant legislation, code, regulations and procedures. This includes cutting pipes, joining pipes and fittings </w:t>
            </w:r>
            <w:r w:rsidRPr="004A7367">
              <w:t>and the installation of the meter connection to the service riser, upstands, above ground services and response lines.</w:t>
            </w:r>
          </w:p>
        </w:tc>
      </w:tr>
      <w:tr w:rsidTr="004A7367">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4A7367">
            <w:pPr>
              <w:pStyle w:val="BodyText"/>
              <w:rPr>
                <w:lang w:val="en-NZ"/>
              </w:rPr>
            </w:pPr>
            <w:r w:rsidRPr="004A7367">
              <w:t>The following constants and variables included in the element/Performance Criteria in this unit are fully described in the Definitions S</w:t>
            </w:r>
            <w:r w:rsidRPr="004A7367">
              <w:t>ection of this volume and form an integral part of the Range Statement of this unit:</w:t>
            </w:r>
          </w:p>
        </w:tc>
      </w:tr>
      <w:tr w:rsidTr="004A7367">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4A7367">
            <w:pPr>
              <w:pStyle w:val="ListBullet"/>
              <w:rPr>
                <w:lang w:val="en-NZ"/>
              </w:rPr>
            </w:pPr>
            <w:r w:rsidRPr="004A7367">
              <w:t>Services</w:t>
            </w:r>
          </w:p>
        </w:tc>
      </w:tr>
      <w:tr w:rsidTr="004A7367">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4A7367">
            <w:pPr>
              <w:pStyle w:val="ListBullet"/>
              <w:rPr>
                <w:lang w:val="en-NZ"/>
              </w:rPr>
            </w:pPr>
            <w:r w:rsidRPr="004A7367">
              <w:t>Appropriate persons</w:t>
            </w:r>
          </w:p>
        </w:tc>
      </w:tr>
      <w:tr w:rsidTr="004A7367">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4A7367">
            <w:pPr>
              <w:pStyle w:val="ListBullet"/>
              <w:rPr>
                <w:lang w:val="en-NZ"/>
              </w:rPr>
            </w:pPr>
            <w:r w:rsidRPr="004A7367">
              <w:t>Materials</w:t>
            </w:r>
          </w:p>
        </w:tc>
      </w:tr>
      <w:tr w:rsidTr="004A7367">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4A7367">
            <w:pPr>
              <w:pStyle w:val="ListBullet"/>
              <w:rPr>
                <w:lang w:val="en-NZ"/>
              </w:rPr>
            </w:pPr>
            <w:r w:rsidRPr="004A7367">
              <w:t>Tools and equipment</w:t>
            </w:r>
          </w:p>
        </w:tc>
      </w:tr>
      <w:tr w:rsidTr="004A7367">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4A7367">
            <w:pPr>
              <w:pStyle w:val="ListBullet"/>
              <w:rPr>
                <w:lang w:val="en-NZ"/>
              </w:rPr>
            </w:pPr>
            <w:r w:rsidRPr="004A7367">
              <w:t>Safe working procedures</w:t>
            </w:r>
          </w:p>
        </w:tc>
      </w:tr>
      <w:tr w:rsidTr="004A7367">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4A7367">
            <w:pPr>
              <w:pStyle w:val="ListBullet"/>
              <w:rPr>
                <w:lang w:val="en-NZ"/>
              </w:rPr>
            </w:pPr>
            <w:r w:rsidRPr="004A7367">
              <w:t>Legislative requirements</w:t>
            </w:r>
          </w:p>
        </w:tc>
      </w:tr>
      <w:tr w:rsidTr="004A7367">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RPr="004A7367" w:rsidP="004A7367">
            <w:pPr>
              <w:pStyle w:val="ListBullet"/>
            </w:pPr>
            <w:r w:rsidRPr="004A7367">
              <w:t>Standards</w:t>
            </w:r>
          </w:p>
        </w:tc>
      </w:tr>
    </w:tbl>
    <w:p w:rsidR="00E16D5F" w:rsidP="004A7367">
      <w:pPr>
        <w:pStyle w:val="BodyText"/>
      </w:pPr>
    </w:p>
    <w:p w:rsidR="00E16D5F" w:rsidP="004A7367">
      <w:pPr>
        <w:pStyle w:val="BodyText"/>
      </w:pPr>
    </w:p>
    <w:p w:rsidR="00000000" w:rsidRPr="004A7367" w:rsidP="004A7367">
      <w:pPr>
        <w:pStyle w:val="Heading1"/>
      </w:pPr>
      <w:bookmarkStart w:id="12" w:name="O_582249"/>
      <w:bookmarkEnd w:id="12"/>
      <w:r w:rsidRPr="004A7367">
        <w:t>Unit Sector(s)</w:t>
      </w:r>
    </w:p>
    <w:p w:rsidR="00000000" w:rsidRPr="004A7367" w:rsidP="004A7367">
      <w:pPr>
        <w:pStyle w:val="BodyText"/>
      </w:pPr>
      <w:r w:rsidRPr="004A7367">
        <w:t>Gas Industry.</w:t>
      </w:r>
    </w:p>
    <w:p w:rsidR="00000000" w:rsidRPr="004A7367" w:rsidP="004A7367">
      <w:pPr>
        <w:pStyle w:val="AllowPageBreak"/>
      </w:pPr>
    </w:p>
    <w:p w:rsidR="00000000" w:rsidRPr="004A7367" w:rsidP="004A7367">
      <w:pPr>
        <w:pStyle w:val="Heading1"/>
      </w:pPr>
      <w:bookmarkStart w:id="13" w:name="O_582250"/>
      <w:bookmarkEnd w:id="13"/>
      <w:r w:rsidRPr="004A7367">
        <w:t>Competency Field</w:t>
      </w:r>
    </w:p>
    <w:tbl>
      <w:tblPr>
        <w:tblW w:w="0" w:type="auto"/>
        <w:tblLayout w:type="fixed"/>
        <w:tblCellMar>
          <w:left w:w="62" w:type="dxa"/>
          <w:right w:w="62" w:type="dxa"/>
        </w:tblCellMar>
        <w:tblLook w:val="0000"/>
      </w:tblPr>
      <w:tblGrid>
        <w:gridCol w:w="2638"/>
        <w:gridCol w:w="5760"/>
      </w:tblGrid>
      <w:tr w:rsidTr="004A7367">
        <w:tblPrEx>
          <w:tblW w:w="0" w:type="auto"/>
          <w:tblLayout w:type="fixed"/>
          <w:tblCellMar>
            <w:left w:w="62" w:type="dxa"/>
            <w:right w:w="62" w:type="dxa"/>
          </w:tblCellMar>
          <w:tblLook w:val="0000"/>
        </w:tblPrEx>
        <w:trPr>
          <w:trHeight w:val="395"/>
          <w:tblHeader/>
        </w:trPr>
        <w:tc>
          <w:tcPr>
            <w:tcW w:w="2638" w:type="dxa"/>
            <w:tcBorders>
              <w:top w:val="nil"/>
              <w:left w:val="nil"/>
              <w:bottom w:val="nil"/>
              <w:right w:val="nil"/>
            </w:tcBorders>
            <w:tcMar>
              <w:top w:w="0" w:type="dxa"/>
              <w:left w:w="62" w:type="dxa"/>
              <w:bottom w:w="0" w:type="dxa"/>
              <w:right w:w="62" w:type="dxa"/>
            </w:tcMar>
          </w:tcPr>
          <w:p w:rsidR="00000000" w:rsidP="004A7367">
            <w:pPr>
              <w:pStyle w:val="Heading4"/>
              <w:rPr>
                <w:lang w:val="en-NZ"/>
              </w:rPr>
            </w:pPr>
            <w:r w:rsidRPr="004A7367">
              <w:t>Competency Field</w:t>
            </w:r>
          </w:p>
        </w:tc>
        <w:tc>
          <w:tcPr>
            <w:tcW w:w="5760" w:type="dxa"/>
            <w:tcBorders>
              <w:top w:val="nil"/>
              <w:left w:val="nil"/>
              <w:bottom w:val="nil"/>
              <w:right w:val="nil"/>
            </w:tcBorders>
            <w:tcMar>
              <w:top w:w="0" w:type="dxa"/>
              <w:left w:w="62" w:type="dxa"/>
              <w:bottom w:w="0" w:type="dxa"/>
              <w:right w:w="62" w:type="dxa"/>
            </w:tcMar>
          </w:tcPr>
          <w:p w:rsidR="00000000" w:rsidP="004A7367">
            <w:pPr>
              <w:pStyle w:val="Heading4"/>
              <w:rPr>
                <w:lang w:val="en-NZ"/>
              </w:rPr>
            </w:pPr>
            <w:r w:rsidRPr="004A7367">
              <w:t xml:space="preserve">11) </w:t>
            </w:r>
          </w:p>
        </w:tc>
      </w:tr>
      <w:tr w:rsidTr="004A7367">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keepNext w:val="0"/>
              <w:keepLines w:val="0"/>
              <w:rPr>
                <w:rFonts w:ascii="Tahoma" w:hAnsi="Tahoma"/>
                <w:color w:val="000000"/>
                <w:sz w:val="20"/>
                <w:szCs w:val="24"/>
                <w:lang w:val="en-NZ"/>
              </w:rPr>
            </w:pPr>
          </w:p>
        </w:tc>
        <w:tc>
          <w:tcPr>
            <w:tcW w:w="5760" w:type="dxa"/>
            <w:tcBorders>
              <w:top w:val="nil"/>
              <w:left w:val="nil"/>
              <w:bottom w:val="nil"/>
              <w:right w:val="nil"/>
            </w:tcBorders>
            <w:tcMar>
              <w:top w:w="0" w:type="dxa"/>
              <w:left w:w="62" w:type="dxa"/>
              <w:bottom w:w="0" w:type="dxa"/>
              <w:right w:w="62" w:type="dxa"/>
            </w:tcMar>
          </w:tcPr>
          <w:p w:rsidR="00000000" w:rsidRPr="004A7367" w:rsidP="004A7367">
            <w:r w:rsidRPr="004A7367">
              <w:t>Gas Distribution discipline.</w:t>
            </w:r>
          </w:p>
        </w:tc>
      </w:tr>
    </w:tbl>
    <w:p w:rsidR="00000000" w:rsidRPr="004A7367" w:rsidP="004A7367"/>
    <w:p w:rsidR="00000000" w:rsidRPr="004A7367" w:rsidP="004A7367"/>
    <w:sectPr w:rsidSect="004A73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3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367" w:rsidRPr="00E16D5F" w:rsidP="00E16D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3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D5F" w:rsidP="004A73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E16D5F" w:rsidP="004A7367">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E16D5F" w:rsidP="004A73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3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367" w:rsidRPr="00E16D5F" w:rsidP="00E16D5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3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D5F" w:rsidRPr="002D2AF8" w:rsidP="004A7367">
    <w:pPr>
      <w:pStyle w:val="Header"/>
      <w:framePr w:wrap="around"/>
    </w:pPr>
    <w:r>
      <w:fldChar w:fldCharType="begin"/>
    </w:r>
    <w:r>
      <w:instrText xml:space="preserve"> TITLE   \* MERGEFORMAT </w:instrText>
    </w:r>
    <w:r>
      <w:fldChar w:fldCharType="separate"/>
    </w:r>
    <w:r>
      <w:t>UEGNSG224A Construct and lay copper and stainless steel gas distribution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E16D5F" w:rsidP="004A73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885B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8061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A2F1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73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7367"/>
    <w:pPr>
      <w:spacing w:before="360" w:after="60"/>
      <w:outlineLvl w:val="0"/>
    </w:pPr>
    <w:rPr>
      <w:sz w:val="32"/>
    </w:rPr>
  </w:style>
  <w:style w:type="paragraph" w:styleId="Heading2">
    <w:name w:val="heading 2"/>
    <w:basedOn w:val="HeadingBase"/>
    <w:next w:val="BodyText"/>
    <w:link w:val="Heading2Char"/>
    <w:qFormat/>
    <w:rsid w:val="004A7367"/>
    <w:pPr>
      <w:keepLines/>
      <w:spacing w:before="240" w:after="120"/>
      <w:outlineLvl w:val="1"/>
    </w:pPr>
    <w:rPr>
      <w:sz w:val="28"/>
      <w:szCs w:val="40"/>
    </w:rPr>
  </w:style>
  <w:style w:type="paragraph" w:styleId="Heading3">
    <w:name w:val="heading 3"/>
    <w:basedOn w:val="HeadingBase"/>
    <w:next w:val="BodyText"/>
    <w:link w:val="Heading3Char"/>
    <w:qFormat/>
    <w:rsid w:val="004A7367"/>
    <w:pPr>
      <w:spacing w:before="180" w:after="120"/>
      <w:outlineLvl w:val="2"/>
    </w:pPr>
    <w:rPr>
      <w:spacing w:val="-10"/>
      <w:kern w:val="32"/>
    </w:rPr>
  </w:style>
  <w:style w:type="paragraph" w:styleId="Heading4">
    <w:name w:val="heading 4"/>
    <w:basedOn w:val="HeadingBase"/>
    <w:next w:val="BodyText"/>
    <w:link w:val="Heading4Char"/>
    <w:qFormat/>
    <w:rsid w:val="004A7367"/>
    <w:pPr>
      <w:spacing w:before="160" w:after="120"/>
      <w:outlineLvl w:val="3"/>
    </w:pPr>
    <w:rPr>
      <w:sz w:val="22"/>
    </w:rPr>
  </w:style>
  <w:style w:type="paragraph" w:styleId="Heading5">
    <w:name w:val="heading 5"/>
    <w:basedOn w:val="HeadingBase"/>
    <w:next w:val="Normal"/>
    <w:link w:val="Heading5Char"/>
    <w:qFormat/>
    <w:rsid w:val="004A7367"/>
    <w:pPr>
      <w:spacing w:before="80"/>
      <w:outlineLvl w:val="4"/>
    </w:pPr>
    <w:rPr>
      <w:color w:val="918585"/>
      <w:sz w:val="20"/>
    </w:rPr>
  </w:style>
  <w:style w:type="paragraph" w:styleId="Heading6">
    <w:name w:val="heading 6"/>
    <w:basedOn w:val="HeadingBase"/>
    <w:next w:val="Normal"/>
    <w:link w:val="Heading6Char"/>
    <w:qFormat/>
    <w:rsid w:val="004A7367"/>
    <w:pPr>
      <w:spacing w:before="60"/>
      <w:outlineLvl w:val="5"/>
    </w:pPr>
    <w:rPr>
      <w:color w:val="918585"/>
      <w:sz w:val="20"/>
    </w:rPr>
  </w:style>
  <w:style w:type="paragraph" w:styleId="Heading7">
    <w:name w:val="heading 7"/>
    <w:basedOn w:val="Normal"/>
    <w:next w:val="Normal"/>
    <w:link w:val="Heading7Char"/>
    <w:qFormat/>
    <w:rsid w:val="004A7367"/>
    <w:pPr>
      <w:ind w:left="720"/>
      <w:outlineLvl w:val="6"/>
    </w:pPr>
    <w:rPr>
      <w:i/>
    </w:rPr>
  </w:style>
  <w:style w:type="paragraph" w:styleId="Heading8">
    <w:name w:val="heading 8"/>
    <w:basedOn w:val="Normal"/>
    <w:next w:val="Normal"/>
    <w:link w:val="Heading8Char"/>
    <w:qFormat/>
    <w:rsid w:val="004A7367"/>
    <w:pPr>
      <w:ind w:left="720"/>
      <w:outlineLvl w:val="7"/>
    </w:pPr>
    <w:rPr>
      <w:i/>
    </w:rPr>
  </w:style>
  <w:style w:type="paragraph" w:styleId="Heading9">
    <w:name w:val="heading 9"/>
    <w:basedOn w:val="Normal"/>
    <w:next w:val="Normal"/>
    <w:link w:val="Heading9Char"/>
    <w:qFormat/>
    <w:rsid w:val="004A7367"/>
    <w:pPr>
      <w:ind w:left="720"/>
      <w:outlineLvl w:val="8"/>
    </w:pPr>
    <w:rPr>
      <w:i/>
    </w:rPr>
  </w:style>
  <w:style w:type="character" w:default="1" w:styleId="DefaultParagraphFont">
    <w:name w:val="Default Paragraph Font"/>
    <w:uiPriority w:val="1"/>
    <w:unhideWhenUsed/>
    <w:rsid w:val="004A73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7367"/>
  </w:style>
  <w:style w:type="character" w:customStyle="1" w:styleId="Heading1Char">
    <w:name w:val="Heading 1 Char"/>
    <w:basedOn w:val="DefaultParagraphFont"/>
    <w:link w:val="Heading1"/>
    <w:rsid w:val="004A736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A7367"/>
    <w:rPr>
      <w:rFonts w:ascii="Times New Roman" w:eastAsia="Times New Roman" w:hAnsi="Times New Roman" w:cs="Times New Roman"/>
      <w:b/>
      <w:szCs w:val="20"/>
      <w:lang w:eastAsia="en-US"/>
    </w:rPr>
  </w:style>
  <w:style w:type="paragraph" w:styleId="BodyText">
    <w:name w:val="Body Text"/>
    <w:basedOn w:val="Normal"/>
    <w:link w:val="BodyTextChar"/>
    <w:rsid w:val="004A73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7367"/>
    <w:rPr>
      <w:rFonts w:ascii="Times New Roman" w:eastAsia="Times New Roman" w:hAnsi="Times New Roman" w:cs="Times New Roman"/>
      <w:sz w:val="24"/>
      <w:lang w:eastAsia="en-US"/>
    </w:rPr>
  </w:style>
  <w:style w:type="paragraph" w:styleId="ListBullet">
    <w:name w:val="List Bullet"/>
    <w:basedOn w:val="List"/>
    <w:rsid w:val="004A7367"/>
    <w:pPr>
      <w:numPr>
        <w:numId w:val="13"/>
      </w:numPr>
      <w:tabs>
        <w:tab w:val="clear" w:pos="340"/>
      </w:tabs>
      <w:spacing w:before="40" w:after="40"/>
    </w:pPr>
  </w:style>
  <w:style w:type="character" w:customStyle="1" w:styleId="SpecialBold">
    <w:name w:val="Special Bold"/>
    <w:basedOn w:val="DefaultParagraphFont"/>
    <w:rsid w:val="004A7367"/>
    <w:rPr>
      <w:b/>
      <w:spacing w:val="0"/>
    </w:rPr>
  </w:style>
  <w:style w:type="paragraph" w:styleId="ListBullet2">
    <w:name w:val="List Bullet 2"/>
    <w:basedOn w:val="List2"/>
    <w:rsid w:val="004A7367"/>
    <w:pPr>
      <w:numPr>
        <w:numId w:val="14"/>
      </w:numPr>
      <w:tabs>
        <w:tab w:val="clear" w:pos="680"/>
      </w:tabs>
    </w:pPr>
  </w:style>
  <w:style w:type="character" w:styleId="Emphasis">
    <w:name w:val="Emphasis"/>
    <w:basedOn w:val="DefaultParagraphFont"/>
    <w:qFormat/>
    <w:rsid w:val="004A7367"/>
    <w:rPr>
      <w:i/>
    </w:rPr>
  </w:style>
  <w:style w:type="paragraph" w:customStyle="1" w:styleId="SuperHeading">
    <w:name w:val="SuperHeading"/>
    <w:basedOn w:val="Normal"/>
    <w:rsid w:val="004A7367"/>
    <w:pPr>
      <w:spacing w:before="240" w:after="120"/>
      <w:outlineLvl w:val="0"/>
    </w:pPr>
    <w:rPr>
      <w:rFonts w:ascii="Times New Roman" w:hAnsi="Times New Roman"/>
      <w:b/>
      <w:sz w:val="32"/>
    </w:rPr>
  </w:style>
  <w:style w:type="paragraph" w:customStyle="1" w:styleId="AllowPageBreak">
    <w:name w:val="AllowPageBreak"/>
    <w:rsid w:val="004A73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73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736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A73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73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73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73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7367"/>
    <w:rPr>
      <w:rFonts w:ascii="Courier New" w:eastAsia="Times New Roman" w:hAnsi="Courier New" w:cs="Times New Roman"/>
      <w:i/>
      <w:szCs w:val="20"/>
      <w:lang w:eastAsia="en-US"/>
    </w:rPr>
  </w:style>
  <w:style w:type="paragraph" w:customStyle="1" w:styleId="HeadingBase">
    <w:name w:val="Heading Base"/>
    <w:rsid w:val="004A73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7367"/>
    <w:pPr>
      <w:tabs>
        <w:tab w:val="right" w:leader="dot" w:pos="9072"/>
      </w:tabs>
      <w:ind w:left="567"/>
    </w:pPr>
    <w:rPr>
      <w:szCs w:val="22"/>
    </w:rPr>
  </w:style>
  <w:style w:type="paragraph" w:customStyle="1" w:styleId="TOCBase">
    <w:name w:val="TOC Base"/>
    <w:rsid w:val="004A73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7367"/>
    <w:pPr>
      <w:tabs>
        <w:tab w:val="right" w:leader="dot" w:pos="9072"/>
      </w:tabs>
      <w:spacing w:before="40" w:after="40"/>
      <w:ind w:left="284"/>
    </w:pPr>
    <w:rPr>
      <w:rFonts w:ascii="Times New Roman" w:hAnsi="Times New Roman"/>
    </w:rPr>
  </w:style>
  <w:style w:type="paragraph" w:styleId="TOC1">
    <w:name w:val="toc 1"/>
    <w:basedOn w:val="TOCBase"/>
    <w:next w:val="Normal"/>
    <w:rsid w:val="004A73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73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7367"/>
    <w:rPr>
      <w:rFonts w:ascii="Times New Roman" w:eastAsia="Times New Roman" w:hAnsi="Times New Roman" w:cs="Times New Roman"/>
      <w:sz w:val="16"/>
      <w:lang w:eastAsia="en-US"/>
    </w:rPr>
  </w:style>
  <w:style w:type="paragraph" w:styleId="Title">
    <w:name w:val="Title"/>
    <w:basedOn w:val="HeadingBase"/>
    <w:link w:val="TitleChar"/>
    <w:qFormat/>
    <w:rsid w:val="004A7367"/>
    <w:pPr>
      <w:spacing w:before="5040"/>
      <w:jc w:val="center"/>
    </w:pPr>
    <w:rPr>
      <w:sz w:val="48"/>
      <w:szCs w:val="72"/>
      <w:lang w:val="en-US"/>
    </w:rPr>
  </w:style>
  <w:style w:type="character" w:customStyle="1" w:styleId="TitleChar">
    <w:name w:val="Title Char"/>
    <w:basedOn w:val="DefaultParagraphFont"/>
    <w:link w:val="Title"/>
    <w:rsid w:val="004A73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7367"/>
    <w:pPr>
      <w:tabs>
        <w:tab w:val="left" w:pos="3600"/>
        <w:tab w:val="left" w:pos="3958"/>
      </w:tabs>
    </w:pPr>
  </w:style>
  <w:style w:type="paragraph" w:styleId="List">
    <w:name w:val="List"/>
    <w:basedOn w:val="BodyText"/>
    <w:next w:val="BodyText"/>
    <w:rsid w:val="004A7367"/>
    <w:pPr>
      <w:tabs>
        <w:tab w:val="left" w:pos="340"/>
      </w:tabs>
      <w:spacing w:before="60" w:after="60"/>
      <w:ind w:left="340" w:hanging="340"/>
    </w:pPr>
  </w:style>
  <w:style w:type="paragraph" w:customStyle="1" w:styleId="Note">
    <w:name w:val="Note"/>
    <w:basedOn w:val="BodyText"/>
    <w:rsid w:val="004A73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7367"/>
    <w:pPr>
      <w:framePr w:wrap="auto" w:hAnchor="text" w:y="6049"/>
    </w:pPr>
    <w:rPr>
      <w:color w:val="000000"/>
      <w:sz w:val="40"/>
    </w:rPr>
  </w:style>
  <w:style w:type="paragraph" w:customStyle="1" w:styleId="TOCTitle">
    <w:name w:val="TOCTitle"/>
    <w:basedOn w:val="Heading1"/>
    <w:rsid w:val="004A7367"/>
    <w:pPr>
      <w:spacing w:after="240"/>
      <w:jc w:val="center"/>
      <w:outlineLvl w:val="9"/>
    </w:pPr>
    <w:rPr>
      <w:caps/>
    </w:rPr>
  </w:style>
  <w:style w:type="paragraph" w:customStyle="1" w:styleId="Version">
    <w:name w:val="Version"/>
    <w:rsid w:val="004A73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7367"/>
    <w:pPr>
      <w:keepNext w:val="0"/>
      <w:tabs>
        <w:tab w:val="right" w:pos="4176"/>
      </w:tabs>
      <w:ind w:left="198" w:hanging="198"/>
    </w:pPr>
    <w:rPr>
      <w:rFonts w:ascii="Garamond" w:hAnsi="Garamond"/>
    </w:rPr>
  </w:style>
  <w:style w:type="paragraph" w:styleId="IndexHeading">
    <w:name w:val="index heading"/>
    <w:basedOn w:val="Normal"/>
    <w:next w:val="Index1"/>
    <w:semiHidden/>
    <w:rsid w:val="004A7367"/>
    <w:pPr>
      <w:spacing w:before="120" w:after="120"/>
    </w:pPr>
    <w:rPr>
      <w:rFonts w:ascii="Arial" w:hAnsi="Arial"/>
      <w:b/>
      <w:color w:val="918585"/>
      <w:sz w:val="24"/>
    </w:rPr>
  </w:style>
  <w:style w:type="paragraph" w:styleId="Header">
    <w:name w:val="header"/>
    <w:basedOn w:val="Normal"/>
    <w:link w:val="HeaderChar"/>
    <w:rsid w:val="004A73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7367"/>
    <w:rPr>
      <w:rFonts w:ascii="Times New Roman" w:eastAsia="Times New Roman" w:hAnsi="Times New Roman" w:cs="Times New Roman"/>
      <w:sz w:val="16"/>
      <w:szCs w:val="20"/>
      <w:lang w:val="en-GB" w:eastAsia="en-US"/>
    </w:rPr>
  </w:style>
  <w:style w:type="paragraph" w:customStyle="1" w:styleId="Chapter">
    <w:name w:val="Chapter"/>
    <w:basedOn w:val="Normal"/>
    <w:rsid w:val="004A7367"/>
    <w:pPr>
      <w:spacing w:before="240"/>
    </w:pPr>
    <w:rPr>
      <w:rFonts w:ascii="Times New Roman" w:hAnsi="Times New Roman"/>
      <w:smallCaps/>
      <w:spacing w:val="80"/>
      <w:sz w:val="28"/>
    </w:rPr>
  </w:style>
  <w:style w:type="paragraph" w:customStyle="1" w:styleId="InChapter">
    <w:name w:val="InChapter"/>
    <w:basedOn w:val="Heading3"/>
    <w:rsid w:val="004A7367"/>
    <w:pPr>
      <w:spacing w:after="240"/>
      <w:outlineLvl w:val="9"/>
    </w:pPr>
    <w:rPr>
      <w:noProof/>
    </w:rPr>
  </w:style>
  <w:style w:type="paragraph" w:styleId="Index2">
    <w:name w:val="index 2"/>
    <w:basedOn w:val="Normal"/>
    <w:next w:val="Normal"/>
    <w:semiHidden/>
    <w:rsid w:val="004A7367"/>
    <w:pPr>
      <w:tabs>
        <w:tab w:val="right" w:pos="4176"/>
      </w:tabs>
      <w:ind w:left="568" w:hanging="284"/>
    </w:pPr>
    <w:rPr>
      <w:rFonts w:ascii="Garamond" w:hAnsi="Garamond"/>
    </w:rPr>
  </w:style>
  <w:style w:type="paragraph" w:customStyle="1" w:styleId="Byline">
    <w:name w:val="Byline"/>
    <w:rsid w:val="004A73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7367"/>
    <w:pPr>
      <w:tabs>
        <w:tab w:val="clear" w:pos="3600"/>
        <w:tab w:val="clear" w:pos="3958"/>
      </w:tabs>
      <w:jc w:val="right"/>
    </w:pPr>
  </w:style>
  <w:style w:type="paragraph" w:styleId="Caption">
    <w:name w:val="caption"/>
    <w:basedOn w:val="BodyText"/>
    <w:next w:val="Normal"/>
    <w:qFormat/>
    <w:rsid w:val="004A7367"/>
    <w:pPr>
      <w:framePr w:w="2268" w:hSpace="181" w:vSpace="181" w:wrap="around" w:vAnchor="text" w:hAnchor="page" w:x="1135" w:y="285" w:anchorLock="1"/>
    </w:pPr>
    <w:rPr>
      <w:i/>
    </w:rPr>
  </w:style>
  <w:style w:type="paragraph" w:customStyle="1" w:styleId="MiniTOCTitle">
    <w:name w:val="MiniTOCTitle"/>
    <w:basedOn w:val="Heading4"/>
    <w:rsid w:val="004A7367"/>
    <w:pPr>
      <w:spacing w:before="240"/>
      <w:outlineLvl w:val="9"/>
    </w:pPr>
    <w:rPr>
      <w:noProof/>
      <w:sz w:val="24"/>
    </w:rPr>
  </w:style>
  <w:style w:type="paragraph" w:customStyle="1" w:styleId="MiniTOCItem">
    <w:name w:val="MiniTOCItem"/>
    <w:basedOn w:val="ListBullet"/>
    <w:rsid w:val="004A7367"/>
    <w:pPr>
      <w:numPr>
        <w:numId w:val="0"/>
      </w:numPr>
      <w:tabs>
        <w:tab w:val="right" w:leader="dot" w:pos="6521"/>
      </w:tabs>
      <w:spacing w:before="0" w:after="0"/>
    </w:pPr>
  </w:style>
  <w:style w:type="paragraph" w:customStyle="1" w:styleId="TOFTitle">
    <w:name w:val="TOFTitle"/>
    <w:basedOn w:val="TOCTitle"/>
    <w:rsid w:val="004A7367"/>
  </w:style>
  <w:style w:type="paragraph" w:styleId="TableofFigures">
    <w:name w:val="table of figures"/>
    <w:basedOn w:val="Normal"/>
    <w:next w:val="Normal"/>
    <w:semiHidden/>
    <w:rsid w:val="004A7367"/>
    <w:pPr>
      <w:tabs>
        <w:tab w:val="right" w:leader="dot" w:pos="9072"/>
      </w:tabs>
      <w:ind w:left="970" w:hanging="403"/>
    </w:pPr>
    <w:rPr>
      <w:rFonts w:ascii="Times New Roman" w:hAnsi="Times New Roman"/>
      <w:b/>
    </w:rPr>
  </w:style>
  <w:style w:type="paragraph" w:styleId="ListNumber">
    <w:name w:val="List Number"/>
    <w:basedOn w:val="List"/>
    <w:rsid w:val="004A7367"/>
    <w:pPr>
      <w:numPr>
        <w:numId w:val="11"/>
      </w:numPr>
    </w:pPr>
  </w:style>
  <w:style w:type="character" w:customStyle="1" w:styleId="WingdingSymbols">
    <w:name w:val="Wingding Symbols"/>
    <w:rsid w:val="004A7367"/>
    <w:rPr>
      <w:rFonts w:ascii="Wingdings" w:hAnsi="Wingdings"/>
    </w:rPr>
  </w:style>
  <w:style w:type="paragraph" w:customStyle="1" w:styleId="TableHeading">
    <w:name w:val="Table Heading"/>
    <w:basedOn w:val="HeadingBase"/>
    <w:rsid w:val="004A7367"/>
    <w:pPr>
      <w:keepLines/>
      <w:pBdr>
        <w:bottom w:val="single" w:sz="6" w:space="1" w:color="918585"/>
      </w:pBdr>
      <w:spacing w:before="240"/>
    </w:pPr>
  </w:style>
  <w:style w:type="character" w:customStyle="1" w:styleId="HotSpot">
    <w:name w:val="HotSpot"/>
    <w:rsid w:val="004A7367"/>
    <w:rPr>
      <w:color w:val="0033CC"/>
      <w:u w:val="none"/>
    </w:rPr>
  </w:style>
  <w:style w:type="paragraph" w:customStyle="1" w:styleId="BodyTextRight">
    <w:name w:val="Body Text Right"/>
    <w:basedOn w:val="BodyText"/>
    <w:rsid w:val="004A7367"/>
    <w:pPr>
      <w:spacing w:before="0" w:after="0"/>
      <w:jc w:val="right"/>
    </w:pPr>
  </w:style>
  <w:style w:type="paragraph" w:styleId="Index3">
    <w:name w:val="index 3"/>
    <w:basedOn w:val="ListNumber2"/>
    <w:next w:val="Normal"/>
    <w:semiHidden/>
    <w:rsid w:val="004A7367"/>
    <w:pPr>
      <w:numPr>
        <w:numId w:val="0"/>
      </w:numPr>
      <w:tabs>
        <w:tab w:val="right" w:leader="dot" w:pos="4176"/>
      </w:tabs>
    </w:pPr>
  </w:style>
  <w:style w:type="paragraph" w:styleId="ListNumber2">
    <w:name w:val="List Number 2"/>
    <w:basedOn w:val="List2"/>
    <w:rsid w:val="004A7367"/>
    <w:pPr>
      <w:numPr>
        <w:numId w:val="10"/>
      </w:numPr>
      <w:tabs>
        <w:tab w:val="clear" w:pos="1060"/>
      </w:tabs>
    </w:pPr>
  </w:style>
  <w:style w:type="paragraph" w:customStyle="1" w:styleId="MarginNote">
    <w:name w:val="Margin Note"/>
    <w:basedOn w:val="BodyText"/>
    <w:rsid w:val="004A73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73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73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7367"/>
    <w:rPr>
      <w:sz w:val="32"/>
    </w:rPr>
  </w:style>
  <w:style w:type="paragraph" w:customStyle="1" w:styleId="HeadingProcedure">
    <w:name w:val="Heading Procedure"/>
    <w:basedOn w:val="HeadingBase"/>
    <w:next w:val="Normal"/>
    <w:rsid w:val="004A7367"/>
    <w:pPr>
      <w:tabs>
        <w:tab w:val="left" w:pos="0"/>
      </w:tabs>
      <w:spacing w:before="120" w:after="60"/>
    </w:pPr>
    <w:rPr>
      <w:i/>
      <w:color w:val="918585"/>
      <w:sz w:val="22"/>
    </w:rPr>
  </w:style>
  <w:style w:type="paragraph" w:customStyle="1" w:styleId="TableBodyText">
    <w:name w:val="Table Body Text"/>
    <w:basedOn w:val="BodyText"/>
    <w:rsid w:val="004A7367"/>
    <w:pPr>
      <w:spacing w:before="60" w:after="60"/>
    </w:pPr>
  </w:style>
  <w:style w:type="paragraph" w:styleId="ListContinue">
    <w:name w:val="List Continue"/>
    <w:basedOn w:val="List"/>
    <w:rsid w:val="004A7367"/>
    <w:pPr>
      <w:ind w:firstLine="0"/>
    </w:pPr>
  </w:style>
  <w:style w:type="paragraph" w:customStyle="1" w:styleId="ListNote">
    <w:name w:val="List Note"/>
    <w:basedOn w:val="List"/>
    <w:rsid w:val="004A7367"/>
    <w:pPr>
      <w:pBdr>
        <w:top w:val="single" w:sz="6" w:space="2" w:color="918585"/>
        <w:bottom w:val="single" w:sz="6" w:space="2" w:color="918585"/>
      </w:pBdr>
      <w:tabs>
        <w:tab w:val="left" w:pos="1021"/>
      </w:tabs>
      <w:ind w:firstLine="0"/>
    </w:pPr>
  </w:style>
  <w:style w:type="paragraph" w:customStyle="1" w:styleId="Warning">
    <w:name w:val="Warning"/>
    <w:basedOn w:val="BodyText"/>
    <w:rsid w:val="004A7367"/>
    <w:pPr>
      <w:shd w:val="clear" w:color="auto" w:fill="D9D9D9"/>
      <w:tabs>
        <w:tab w:val="left" w:pos="992"/>
      </w:tabs>
      <w:ind w:left="119" w:right="119"/>
    </w:pPr>
    <w:rPr>
      <w:sz w:val="20"/>
    </w:rPr>
  </w:style>
  <w:style w:type="paragraph" w:customStyle="1" w:styleId="MarginIcons">
    <w:name w:val="Margin Icons"/>
    <w:basedOn w:val="BodyText"/>
    <w:rsid w:val="004A73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7367"/>
    <w:rPr>
      <w:rFonts w:ascii="Courier New" w:hAnsi="Courier New"/>
    </w:rPr>
  </w:style>
  <w:style w:type="paragraph" w:customStyle="1" w:styleId="NoteBullet">
    <w:name w:val="Note Bullet"/>
    <w:basedOn w:val="Note"/>
    <w:rsid w:val="004A7367"/>
    <w:pPr>
      <w:tabs>
        <w:tab w:val="clear" w:pos="680"/>
      </w:tabs>
      <w:spacing w:before="60" w:after="60"/>
    </w:pPr>
  </w:style>
  <w:style w:type="paragraph" w:customStyle="1" w:styleId="SubHeading2">
    <w:name w:val="SubHeading2"/>
    <w:basedOn w:val="HeadingBase"/>
    <w:rsid w:val="004A7367"/>
    <w:pPr>
      <w:spacing w:before="240" w:after="60"/>
    </w:pPr>
    <w:rPr>
      <w:sz w:val="20"/>
    </w:rPr>
  </w:style>
  <w:style w:type="paragraph" w:customStyle="1" w:styleId="SubHeading1">
    <w:name w:val="SubHeading1"/>
    <w:basedOn w:val="HeadingBase"/>
    <w:rsid w:val="004A7367"/>
    <w:pPr>
      <w:spacing w:before="240" w:after="60"/>
    </w:pPr>
    <w:rPr>
      <w:color w:val="918585"/>
      <w:sz w:val="22"/>
    </w:rPr>
  </w:style>
  <w:style w:type="paragraph" w:customStyle="1" w:styleId="SideHeading">
    <w:name w:val="Side Heading"/>
    <w:basedOn w:val="HeadingBase"/>
    <w:rsid w:val="004A73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7367"/>
    <w:pPr>
      <w:numPr>
        <w:numId w:val="12"/>
      </w:numPr>
    </w:pPr>
  </w:style>
  <w:style w:type="paragraph" w:styleId="PlainText">
    <w:name w:val="Plain Text"/>
    <w:basedOn w:val="Normal"/>
    <w:link w:val="PlainTextChar"/>
    <w:rsid w:val="004A7367"/>
    <w:rPr>
      <w:sz w:val="20"/>
    </w:rPr>
  </w:style>
  <w:style w:type="character" w:customStyle="1" w:styleId="PlainTextChar">
    <w:name w:val="Plain Text Char"/>
    <w:basedOn w:val="DefaultParagraphFont"/>
    <w:link w:val="PlainText"/>
    <w:rsid w:val="004A7367"/>
    <w:rPr>
      <w:rFonts w:ascii="Courier New" w:eastAsia="Times New Roman" w:hAnsi="Courier New" w:cs="Times New Roman"/>
      <w:sz w:val="20"/>
      <w:szCs w:val="20"/>
      <w:lang w:eastAsia="en-US"/>
    </w:rPr>
  </w:style>
  <w:style w:type="character" w:customStyle="1" w:styleId="MenuOption">
    <w:name w:val="Menu Option"/>
    <w:basedOn w:val="DefaultParagraphFont"/>
    <w:rsid w:val="004A7367"/>
    <w:rPr>
      <w:b/>
      <w:smallCaps/>
    </w:rPr>
  </w:style>
  <w:style w:type="paragraph" w:customStyle="1" w:styleId="TableListNumber">
    <w:name w:val="Table List Number"/>
    <w:basedOn w:val="ListNumber"/>
    <w:rsid w:val="004A7367"/>
    <w:pPr>
      <w:numPr>
        <w:numId w:val="0"/>
      </w:numPr>
    </w:pPr>
  </w:style>
  <w:style w:type="paragraph" w:styleId="TOC4">
    <w:name w:val="toc 4"/>
    <w:basedOn w:val="TOCBase"/>
    <w:next w:val="Normal"/>
    <w:semiHidden/>
    <w:rsid w:val="004A7367"/>
    <w:pPr>
      <w:tabs>
        <w:tab w:val="right" w:leader="dot" w:pos="9071"/>
      </w:tabs>
      <w:ind w:left="1701"/>
    </w:pPr>
  </w:style>
  <w:style w:type="paragraph" w:customStyle="1" w:styleId="ListAlpha">
    <w:name w:val="List Alpha"/>
    <w:basedOn w:val="List"/>
    <w:rsid w:val="004A7367"/>
    <w:pPr>
      <w:numPr>
        <w:numId w:val="9"/>
      </w:numPr>
    </w:pPr>
  </w:style>
  <w:style w:type="paragraph" w:customStyle="1" w:styleId="ListAlpha2">
    <w:name w:val="List Alpha 2"/>
    <w:basedOn w:val="List2"/>
    <w:rsid w:val="004A7367"/>
    <w:pPr>
      <w:numPr>
        <w:numId w:val="8"/>
      </w:numPr>
    </w:pPr>
  </w:style>
  <w:style w:type="paragraph" w:styleId="List2">
    <w:name w:val="List 2"/>
    <w:basedOn w:val="BodyText"/>
    <w:rsid w:val="004A7367"/>
    <w:pPr>
      <w:tabs>
        <w:tab w:val="left" w:pos="680"/>
      </w:tabs>
      <w:spacing w:before="60" w:after="60"/>
      <w:ind w:left="680" w:hanging="340"/>
    </w:pPr>
  </w:style>
  <w:style w:type="paragraph" w:styleId="List3">
    <w:name w:val="List 3"/>
    <w:basedOn w:val="BodyText"/>
    <w:rsid w:val="004A7367"/>
    <w:pPr>
      <w:tabs>
        <w:tab w:val="left" w:pos="1021"/>
      </w:tabs>
      <w:spacing w:before="60" w:after="60"/>
      <w:ind w:left="1020" w:hanging="340"/>
    </w:pPr>
  </w:style>
  <w:style w:type="paragraph" w:styleId="List4">
    <w:name w:val="List 4"/>
    <w:basedOn w:val="BodyText"/>
    <w:rsid w:val="004A7367"/>
    <w:pPr>
      <w:tabs>
        <w:tab w:val="left" w:pos="1361"/>
      </w:tabs>
      <w:spacing w:before="60" w:after="60"/>
      <w:ind w:left="1361" w:hanging="340"/>
    </w:pPr>
  </w:style>
  <w:style w:type="paragraph" w:styleId="List5">
    <w:name w:val="List 5"/>
    <w:basedOn w:val="BodyText"/>
    <w:rsid w:val="004A7367"/>
    <w:pPr>
      <w:tabs>
        <w:tab w:val="left" w:pos="1701"/>
      </w:tabs>
      <w:spacing w:before="60" w:after="60"/>
      <w:ind w:left="1701" w:hanging="340"/>
    </w:pPr>
  </w:style>
  <w:style w:type="paragraph" w:styleId="ListBullet3">
    <w:name w:val="List Bullet 3"/>
    <w:basedOn w:val="List3"/>
    <w:rsid w:val="004A7367"/>
    <w:pPr>
      <w:numPr>
        <w:numId w:val="15"/>
      </w:numPr>
      <w:tabs>
        <w:tab w:val="clear" w:pos="1021"/>
      </w:tabs>
      <w:ind w:left="1037" w:hanging="357"/>
    </w:pPr>
  </w:style>
  <w:style w:type="paragraph" w:styleId="ListBullet4">
    <w:name w:val="List Bullet 4"/>
    <w:basedOn w:val="List4"/>
    <w:rsid w:val="004A7367"/>
    <w:pPr>
      <w:numPr>
        <w:numId w:val="3"/>
      </w:numPr>
    </w:pPr>
  </w:style>
  <w:style w:type="paragraph" w:styleId="ListBullet5">
    <w:name w:val="List Bullet 5"/>
    <w:basedOn w:val="List5"/>
    <w:rsid w:val="004A7367"/>
    <w:pPr>
      <w:numPr>
        <w:numId w:val="4"/>
      </w:numPr>
    </w:pPr>
  </w:style>
  <w:style w:type="paragraph" w:styleId="ListContinue2">
    <w:name w:val="List Continue 2"/>
    <w:basedOn w:val="List2"/>
    <w:rsid w:val="004A7367"/>
    <w:pPr>
      <w:ind w:firstLine="0"/>
    </w:pPr>
  </w:style>
  <w:style w:type="paragraph" w:styleId="ListContinue3">
    <w:name w:val="List Continue 3"/>
    <w:basedOn w:val="List3"/>
    <w:rsid w:val="004A7367"/>
    <w:pPr>
      <w:ind w:left="1021" w:firstLine="0"/>
    </w:pPr>
  </w:style>
  <w:style w:type="paragraph" w:styleId="ListContinue4">
    <w:name w:val="List Continue 4"/>
    <w:basedOn w:val="List4"/>
    <w:rsid w:val="004A7367"/>
    <w:pPr>
      <w:ind w:firstLine="0"/>
    </w:pPr>
  </w:style>
  <w:style w:type="paragraph" w:styleId="ListContinue5">
    <w:name w:val="List Continue 5"/>
    <w:basedOn w:val="List5"/>
    <w:rsid w:val="004A7367"/>
    <w:pPr>
      <w:ind w:firstLine="0"/>
    </w:pPr>
  </w:style>
  <w:style w:type="paragraph" w:styleId="ListNumber3">
    <w:name w:val="List Number 3"/>
    <w:basedOn w:val="List3"/>
    <w:rsid w:val="004A7367"/>
    <w:pPr>
      <w:numPr>
        <w:numId w:val="5"/>
      </w:numPr>
    </w:pPr>
  </w:style>
  <w:style w:type="paragraph" w:styleId="ListNumber4">
    <w:name w:val="List Number 4"/>
    <w:basedOn w:val="List4"/>
    <w:rsid w:val="004A7367"/>
    <w:pPr>
      <w:numPr>
        <w:numId w:val="6"/>
      </w:numPr>
    </w:pPr>
  </w:style>
  <w:style w:type="paragraph" w:styleId="ListNumber5">
    <w:name w:val="List Number 5"/>
    <w:basedOn w:val="List5"/>
    <w:rsid w:val="004A7367"/>
    <w:pPr>
      <w:numPr>
        <w:numId w:val="7"/>
      </w:numPr>
    </w:pPr>
  </w:style>
  <w:style w:type="paragraph" w:styleId="BlockText">
    <w:name w:val="Block Text"/>
    <w:basedOn w:val="Normal"/>
    <w:rsid w:val="004A7367"/>
    <w:pPr>
      <w:spacing w:after="120"/>
      <w:ind w:left="1440" w:right="1440"/>
    </w:pPr>
  </w:style>
  <w:style w:type="character" w:customStyle="1" w:styleId="Subscript">
    <w:name w:val="Subscript"/>
    <w:basedOn w:val="DefaultParagraphFont"/>
    <w:rsid w:val="004A7367"/>
    <w:rPr>
      <w:sz w:val="16"/>
      <w:vertAlign w:val="subscript"/>
    </w:rPr>
  </w:style>
  <w:style w:type="character" w:customStyle="1" w:styleId="Superscript">
    <w:name w:val="Superscript"/>
    <w:basedOn w:val="DefaultParagraphFont"/>
    <w:rsid w:val="004A7367"/>
    <w:rPr>
      <w:sz w:val="16"/>
      <w:vertAlign w:val="superscript"/>
    </w:rPr>
  </w:style>
  <w:style w:type="character" w:customStyle="1" w:styleId="Symbols">
    <w:name w:val="Symbols"/>
    <w:basedOn w:val="DefaultParagraphFont"/>
    <w:rsid w:val="004A7367"/>
    <w:rPr>
      <w:rFonts w:ascii="Symbol" w:hAnsi="Symbol"/>
    </w:rPr>
  </w:style>
  <w:style w:type="character" w:customStyle="1" w:styleId="MenuOptions">
    <w:name w:val="Menu Options"/>
    <w:basedOn w:val="DefaultParagraphFont"/>
    <w:rsid w:val="004A7367"/>
    <w:rPr>
      <w:rFonts w:ascii="Arial Narrow" w:hAnsi="Arial Narrow"/>
      <w:smallCaps/>
    </w:rPr>
  </w:style>
  <w:style w:type="character" w:customStyle="1" w:styleId="Buttons">
    <w:name w:val="Buttons"/>
    <w:basedOn w:val="DefaultParagraphFont"/>
    <w:rsid w:val="004A7367"/>
    <w:rPr>
      <w:b/>
    </w:rPr>
  </w:style>
  <w:style w:type="character" w:customStyle="1" w:styleId="Underlined">
    <w:name w:val="Underlined"/>
    <w:basedOn w:val="DefaultParagraphFont"/>
    <w:rsid w:val="004A7367"/>
    <w:rPr>
      <w:u w:val="single"/>
    </w:rPr>
  </w:style>
  <w:style w:type="paragraph" w:customStyle="1" w:styleId="TableBodyTextRight">
    <w:name w:val="Table Body Text Right"/>
    <w:basedOn w:val="TableBodyText"/>
    <w:rsid w:val="004A7367"/>
    <w:pPr>
      <w:widowControl w:val="0"/>
      <w:autoSpaceDE w:val="0"/>
      <w:autoSpaceDN w:val="0"/>
      <w:adjustRightInd w:val="0"/>
      <w:jc w:val="right"/>
    </w:pPr>
    <w:rPr>
      <w:rFonts w:cs="Arial"/>
      <w:szCs w:val="18"/>
    </w:rPr>
  </w:style>
  <w:style w:type="paragraph" w:customStyle="1" w:styleId="CopyrightText">
    <w:name w:val="Copyright Text"/>
    <w:basedOn w:val="BodyText"/>
    <w:rsid w:val="004A7367"/>
    <w:rPr>
      <w:sz w:val="18"/>
    </w:rPr>
  </w:style>
  <w:style w:type="paragraph" w:customStyle="1" w:styleId="BodySmallRight">
    <w:name w:val="Body Small Right"/>
    <w:basedOn w:val="BodyTextRight"/>
    <w:rsid w:val="004A7367"/>
    <w:rPr>
      <w:sz w:val="18"/>
      <w:szCs w:val="18"/>
    </w:rPr>
  </w:style>
  <w:style w:type="paragraph" w:customStyle="1" w:styleId="MarginEdition">
    <w:name w:val="Margin Edition"/>
    <w:basedOn w:val="MarginNote"/>
    <w:rsid w:val="004A7367"/>
    <w:pPr>
      <w:spacing w:before="0" w:after="0"/>
    </w:pPr>
    <w:rPr>
      <w:rFonts w:ascii="Times New Roman" w:hAnsi="Times New Roman"/>
      <w:color w:val="999999"/>
    </w:rPr>
  </w:style>
  <w:style w:type="paragraph" w:customStyle="1" w:styleId="Spacer">
    <w:name w:val="Spacer"/>
    <w:basedOn w:val="Normal"/>
    <w:rsid w:val="004A7367"/>
    <w:rPr>
      <w:sz w:val="2"/>
      <w:szCs w:val="2"/>
    </w:rPr>
  </w:style>
  <w:style w:type="character" w:customStyle="1" w:styleId="Small">
    <w:name w:val="Small"/>
    <w:basedOn w:val="DefaultParagraphFont"/>
    <w:rsid w:val="004A7367"/>
    <w:rPr>
      <w:sz w:val="16"/>
    </w:rPr>
  </w:style>
  <w:style w:type="paragraph" w:customStyle="1" w:styleId="WideTable">
    <w:name w:val="Wide Table"/>
    <w:basedOn w:val="Normal"/>
    <w:rsid w:val="004A7367"/>
    <w:pPr>
      <w:ind w:left="-1418"/>
    </w:pPr>
    <w:rPr>
      <w:sz w:val="2"/>
      <w:szCs w:val="2"/>
    </w:rPr>
  </w:style>
  <w:style w:type="character" w:styleId="PageNumber">
    <w:name w:val="page number"/>
    <w:basedOn w:val="DefaultParagraphFont"/>
    <w:rsid w:val="004A7367"/>
  </w:style>
  <w:style w:type="paragraph" w:styleId="Quote">
    <w:name w:val="Quote"/>
    <w:basedOn w:val="Heading1"/>
    <w:link w:val="QuoteChar"/>
    <w:qFormat/>
    <w:rsid w:val="004A7367"/>
    <w:rPr>
      <w:b w:val="0"/>
      <w:sz w:val="72"/>
      <w:szCs w:val="72"/>
      <w:lang w:val="en-NZ"/>
    </w:rPr>
  </w:style>
  <w:style w:type="character" w:customStyle="1" w:styleId="QuoteChar">
    <w:name w:val="Quote Char"/>
    <w:basedOn w:val="DefaultParagraphFont"/>
    <w:link w:val="Quote"/>
    <w:rsid w:val="004A73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7367"/>
    <w:pPr>
      <w:pageBreakBefore/>
    </w:pPr>
  </w:style>
  <w:style w:type="paragraph" w:customStyle="1" w:styleId="Border">
    <w:name w:val="Border"/>
    <w:basedOn w:val="Normal"/>
    <w:qFormat/>
    <w:rsid w:val="004A73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7367"/>
    <w:rPr>
      <w:b/>
      <w:bCs/>
      <w:i/>
      <w:iCs/>
      <w:color w:val="auto"/>
    </w:rPr>
  </w:style>
  <w:style w:type="paragraph" w:styleId="IntenseQuote">
    <w:name w:val="Intense Quote"/>
    <w:basedOn w:val="Normal"/>
    <w:next w:val="Normal"/>
    <w:link w:val="IntenseQuoteChar"/>
    <w:uiPriority w:val="30"/>
    <w:qFormat/>
    <w:rsid w:val="004A73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73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7367"/>
    <w:rPr>
      <w:smallCaps/>
      <w:color w:val="auto"/>
      <w:u w:val="single"/>
    </w:rPr>
  </w:style>
  <w:style w:type="character" w:styleId="IntenseReference">
    <w:name w:val="Intense Reference"/>
    <w:basedOn w:val="DefaultParagraphFont"/>
    <w:uiPriority w:val="32"/>
    <w:qFormat/>
    <w:rsid w:val="004A7367"/>
    <w:rPr>
      <w:b/>
      <w:bCs/>
      <w:smallCaps/>
      <w:color w:val="auto"/>
      <w:spacing w:val="5"/>
      <w:u w:val="single"/>
    </w:rPr>
  </w:style>
  <w:style w:type="paragraph" w:customStyle="1" w:styleId="2ColumnHeading">
    <w:name w:val="2Column Heading"/>
    <w:basedOn w:val="BodyText"/>
    <w:qFormat/>
    <w:rsid w:val="004A7367"/>
    <w:pPr>
      <w:spacing w:after="60"/>
      <w:ind w:left="-2268"/>
    </w:pPr>
    <w:rPr>
      <w:b/>
    </w:rPr>
  </w:style>
  <w:style w:type="paragraph" w:customStyle="1" w:styleId="Heading1TOC">
    <w:name w:val="Heading1 TOC"/>
    <w:basedOn w:val="Normal"/>
    <w:qFormat/>
    <w:rsid w:val="004A7367"/>
    <w:pPr>
      <w:spacing w:before="240" w:after="120"/>
    </w:pPr>
    <w:rPr>
      <w:rFonts w:ascii="Times New Roman" w:hAnsi="Times New Roman"/>
      <w:b/>
      <w:sz w:val="32"/>
    </w:rPr>
  </w:style>
  <w:style w:type="paragraph" w:customStyle="1" w:styleId="Heading2TOC">
    <w:name w:val="Heading2 TOC"/>
    <w:basedOn w:val="Normal"/>
    <w:qFormat/>
    <w:rsid w:val="004A7367"/>
    <w:pPr>
      <w:spacing w:before="240" w:after="60"/>
    </w:pPr>
    <w:rPr>
      <w:rFonts w:ascii="Times New Roman" w:hAnsi="Times New Roman"/>
      <w:b/>
      <w:sz w:val="28"/>
    </w:rPr>
  </w:style>
  <w:style w:type="character" w:customStyle="1" w:styleId="Underline">
    <w:name w:val="Underline"/>
    <w:basedOn w:val="DefaultParagraphFont"/>
    <w:qFormat/>
    <w:rsid w:val="004A7367"/>
    <w:rPr>
      <w:u w:val="single"/>
    </w:rPr>
  </w:style>
  <w:style w:type="character" w:customStyle="1" w:styleId="BoldandItalics">
    <w:name w:val="Bold and Italics"/>
    <w:qFormat/>
    <w:rsid w:val="004A7367"/>
    <w:rPr>
      <w:b/>
      <w:i/>
      <w:u w:val="none"/>
    </w:rPr>
  </w:style>
  <w:style w:type="paragraph" w:styleId="BalloonText">
    <w:name w:val="Balloon Text"/>
    <w:basedOn w:val="Normal"/>
    <w:link w:val="BalloonTextChar"/>
    <w:rsid w:val="004A7367"/>
    <w:rPr>
      <w:rFonts w:ascii="Tahoma" w:hAnsi="Tahoma" w:cs="Tahoma"/>
      <w:sz w:val="16"/>
      <w:szCs w:val="16"/>
    </w:rPr>
  </w:style>
  <w:style w:type="character" w:customStyle="1" w:styleId="BalloonTextChar">
    <w:name w:val="Balloon Text Char"/>
    <w:basedOn w:val="DefaultParagraphFont"/>
    <w:link w:val="BalloonText"/>
    <w:rsid w:val="004A73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73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73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7367"/>
    <w:rPr>
      <w:b/>
      <w:color w:val="660033"/>
      <w:spacing w:val="0"/>
    </w:rPr>
  </w:style>
  <w:style w:type="paragraph" w:customStyle="1" w:styleId="Nameditemlist">
    <w:name w:val="Named item list"/>
    <w:basedOn w:val="BodyText"/>
    <w:qFormat/>
    <w:rsid w:val="004A736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2439</Words>
  <Characters>14978</Characters>
  <Application>Microsoft Office Word</Application>
  <DocSecurity>0</DocSecurity>
  <Lines>605</Lines>
  <Paragraphs>239</Paragraphs>
  <ScaleCrop>false</ScaleCrop>
  <Company>Author-it Software Corporation Ltd.</Company>
  <LinksUpToDate>false</LinksUpToDate>
  <CharactersWithSpaces>17269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UEGNSG224A Construct and lay copper and stainless steel gas distribution pipelines</dc:title>
  <dc:subject>Approved</dc:subject>
  <dc:creator>E-Oz Training Standards</dc:creator>
  <cp:keywords>Release 1</cp:keywords>
  <dc:description>Review Date: 12 April 2008</dc:description>
  <cp:lastModifiedBy>HSD_TPCMSd.prod</cp:lastModifiedBy>
  <cp:revision>3</cp:revision>
  <dcterms:created xsi:type="dcterms:W3CDTF">2014-03-13T15:18:10Z</dcterms:created>
  <dcterms:modified xsi:type="dcterms:W3CDTF">2014-03-13T03:50:00Z</dcterms:modified>
</cp:coreProperties>
</file>