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84C" w:rsidP="0010484C">
      <w:pPr>
        <w:pStyle w:val="Title"/>
      </w:pPr>
      <w:r>
        <w:fldChar w:fldCharType="begin"/>
      </w:r>
      <w:r>
        <w:instrText xml:space="preserve"> TITLE   \* MERGEFORMAT </w:instrText>
      </w:r>
      <w:r>
        <w:fldChar w:fldCharType="separate"/>
      </w:r>
      <w:r>
        <w:t>UEGNSG223A Construct and lay steel gas distribution pipelines</w:t>
      </w:r>
      <w:r>
        <w:fldChar w:fldCharType="end"/>
      </w:r>
    </w:p>
    <w:p w:rsidR="0010484C" w:rsidP="0010484C">
      <w:pPr>
        <w:pStyle w:val="Version"/>
        <w:sectPr w:rsidSect="00106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999" w:rsidP="00106999">
      <w:pPr>
        <w:pStyle w:val="SuperHeading"/>
      </w:pPr>
      <w:r w:rsidRPr="00106999">
        <w:t>UEGNSG223A Construct and lay steel gas distribution pipelines</w:t>
      </w:r>
    </w:p>
    <w:p w:rsidR="00000000" w:rsidRPr="00106999" w:rsidP="00106999">
      <w:pPr>
        <w:pStyle w:val="Heading1"/>
      </w:pPr>
      <w:bookmarkStart w:id="1" w:name="O_582223"/>
      <w:bookmarkEnd w:id="1"/>
      <w:r w:rsidRPr="00106999">
        <w:t>Modification History</w:t>
      </w:r>
    </w:p>
    <w:p w:rsidR="00000000" w:rsidRPr="00106999" w:rsidP="00106999">
      <w:pPr>
        <w:pStyle w:val="Heading1"/>
      </w:pPr>
      <w:bookmarkStart w:id="2" w:name="O_582224"/>
      <w:bookmarkEnd w:id="2"/>
      <w:r w:rsidRPr="00106999">
        <w:t>Unit Descriptor</w:t>
      </w:r>
    </w:p>
    <w:tbl>
      <w:tblPr>
        <w:tblW w:w="0" w:type="auto"/>
        <w:tblLayout w:type="fixed"/>
        <w:tblCellMar>
          <w:left w:w="62" w:type="dxa"/>
          <w:right w:w="62" w:type="dxa"/>
        </w:tblCellMar>
        <w:tblLook w:val="0000"/>
      </w:tblPr>
      <w:tblGrid>
        <w:gridCol w:w="2576"/>
        <w:gridCol w:w="5760"/>
      </w:tblGrid>
      <w:tr w:rsidTr="0010699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1) Scope:</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1069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1.1) Descriptor</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This unit covers excavated bed preparation and the construction and laying of steel gas distribution mains, including the installation of the meter connection to the service riser</w:t>
            </w:r>
          </w:p>
          <w:p w:rsidR="00000000" w:rsidRPr="00106999" w:rsidP="00106999">
            <w:pPr>
              <w:pStyle w:val="BodyText"/>
            </w:pPr>
            <w:r w:rsidRPr="00106999">
              <w:t xml:space="preserve">It encompasses connecting steel pipe to steel or cast iron gas distribution </w:t>
            </w:r>
            <w:r w:rsidRPr="00106999">
              <w:t>main pipelines, using relevant tools and equipment, working safely using standard operating procedures, complying with relevant legislative, standard and code requirements and completing necessary documentation. It excludes any steel welding.</w:t>
            </w:r>
          </w:p>
        </w:tc>
      </w:tr>
    </w:tbl>
    <w:p w:rsidR="0010484C" w:rsidP="00106999">
      <w:pPr>
        <w:pStyle w:val="BodyText"/>
      </w:pPr>
    </w:p>
    <w:p w:rsidR="0010484C" w:rsidP="00106999">
      <w:pPr>
        <w:pStyle w:val="BodyText"/>
      </w:pPr>
    </w:p>
    <w:p w:rsidR="00000000" w:rsidRPr="00106999" w:rsidP="00106999">
      <w:pPr>
        <w:pStyle w:val="Heading1"/>
      </w:pPr>
      <w:bookmarkStart w:id="3" w:name="O_582225"/>
      <w:bookmarkEnd w:id="3"/>
      <w:r w:rsidRPr="00106999">
        <w:t>Application of the Unit</w:t>
      </w:r>
    </w:p>
    <w:tbl>
      <w:tblPr>
        <w:tblW w:w="0" w:type="auto"/>
        <w:tblLayout w:type="fixed"/>
        <w:tblCellMar>
          <w:left w:w="62" w:type="dxa"/>
          <w:right w:w="62" w:type="dxa"/>
        </w:tblCellMar>
        <w:tblLook w:val="0000"/>
      </w:tblPr>
      <w:tblGrid>
        <w:gridCol w:w="2548"/>
        <w:gridCol w:w="5699"/>
      </w:tblGrid>
      <w:tr w:rsidTr="00106999">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2)</w:t>
            </w:r>
          </w:p>
        </w:tc>
      </w:tr>
      <w:tr w:rsidTr="00106999">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This competency standard shall apply to any basic and safe work site where gas distribution pipeline operations occur, subject to all Workplace Health and Safety (WHS)/Occupational Health and Saf</w:t>
            </w:r>
            <w:r w:rsidRPr="00106999">
              <w:t>ety (OHS) and duty of care requirements being met for the workplace.</w:t>
            </w:r>
          </w:p>
          <w:p w:rsidR="00000000" w:rsidRPr="00106999" w:rsidP="00106999">
            <w:pPr>
              <w:pStyle w:val="BodyText"/>
            </w:pPr>
            <w:r w:rsidRPr="00106999">
              <w:t>This unit is intended as an entry level AQF 3 competency for new entrants in the gas industry. It is suitable for employment-based programs under an approved contract of training.</w:t>
            </w:r>
          </w:p>
        </w:tc>
      </w:tr>
    </w:tbl>
    <w:p w:rsidR="0010484C" w:rsidP="00106999">
      <w:pPr>
        <w:pStyle w:val="BodyText"/>
      </w:pPr>
    </w:p>
    <w:p w:rsidR="0010484C" w:rsidP="00106999">
      <w:pPr>
        <w:pStyle w:val="BodyText"/>
      </w:pPr>
    </w:p>
    <w:p w:rsidR="00000000" w:rsidRPr="00106999" w:rsidP="00106999">
      <w:pPr>
        <w:pStyle w:val="Heading1"/>
      </w:pPr>
      <w:bookmarkStart w:id="4" w:name="O_582226"/>
      <w:bookmarkEnd w:id="4"/>
      <w:r w:rsidRPr="00106999">
        <w:t>Licensing/Regulatory Information</w:t>
      </w:r>
    </w:p>
    <w:tbl>
      <w:tblPr>
        <w:tblW w:w="0" w:type="auto"/>
        <w:tblLayout w:type="fixed"/>
        <w:tblCellMar>
          <w:left w:w="62" w:type="dxa"/>
          <w:right w:w="62" w:type="dxa"/>
        </w:tblCellMar>
        <w:tblLook w:val="0000"/>
      </w:tblPr>
      <w:tblGrid>
        <w:gridCol w:w="2576"/>
        <w:gridCol w:w="5760"/>
      </w:tblGrid>
      <w:tr w:rsidTr="0010699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 xml:space="preserve">3) </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1069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 xml:space="preserve">During Training: </w:t>
            </w:r>
          </w:p>
          <w:p w:rsidR="00000000" w:rsidRPr="00106999" w:rsidP="00106999">
            <w:pPr>
              <w:pStyle w:val="BodyText"/>
            </w:pPr>
            <w:r w:rsidRPr="00106999">
              <w:t>Competency development activ</w:t>
            </w:r>
            <w:r w:rsidRPr="00106999">
              <w:t xml:space="preserve">ities are subject to regulations directly related to licensing, workplace health and safety and where applicable contracts of training such as apprenticeships. </w:t>
            </w:r>
          </w:p>
          <w:p w:rsidR="00000000" w:rsidRPr="00106999" w:rsidP="00106999">
            <w:pPr>
              <w:pStyle w:val="BodyText"/>
            </w:pPr>
            <w:r w:rsidRPr="00106999">
              <w:rPr>
                <w:rStyle w:val="SpecialBold"/>
              </w:rPr>
              <w:t>In the workplace:</w:t>
            </w:r>
          </w:p>
          <w:p w:rsidR="00000000" w:rsidRPr="00106999" w:rsidP="00106999">
            <w:pPr>
              <w:pStyle w:val="BodyText"/>
            </w:pPr>
            <w:r w:rsidRPr="00106999">
              <w:t>The skills and knowledge described in this unit are not subject to licence re</w:t>
            </w:r>
            <w:r w:rsidRPr="00106999">
              <w:t>gulation other than those directly related to Workplace Health and Safety/ Occupational Health and Safety, gas/electricity/water industry safety and compliance, industrial relations, environmental protection, telecommunications, anti-discrimination and tra</w:t>
            </w:r>
            <w:r w:rsidRPr="00106999">
              <w:t xml:space="preserve">ining. </w:t>
            </w:r>
          </w:p>
          <w:p w:rsidR="00000000" w:rsidRPr="00106999" w:rsidP="00106999">
            <w:pPr>
              <w:pStyle w:val="BodyText"/>
            </w:pPr>
            <w:r w:rsidRPr="00106999">
              <w:t>Commonwealth, State/Territory or Local Government legislation and regulations may exist that limit the age at which a person can operate certain equipment. Other conditions may apply to this competency under State and Territory legislative and regu</w:t>
            </w:r>
            <w:r w:rsidRPr="00106999">
              <w:t>latory requirements.</w:t>
            </w:r>
          </w:p>
        </w:tc>
      </w:tr>
    </w:tbl>
    <w:p w:rsidR="0010484C" w:rsidP="00106999">
      <w:pPr>
        <w:pStyle w:val="BodyText"/>
      </w:pPr>
    </w:p>
    <w:p w:rsidR="0010484C" w:rsidP="00106999">
      <w:pPr>
        <w:pStyle w:val="BodyText"/>
      </w:pPr>
    </w:p>
    <w:p w:rsidR="00000000" w:rsidRPr="00106999" w:rsidP="00106999">
      <w:pPr>
        <w:pStyle w:val="Heading1"/>
      </w:pPr>
      <w:bookmarkStart w:id="5" w:name="O_582227"/>
      <w:bookmarkEnd w:id="5"/>
      <w:r w:rsidRPr="00106999">
        <w:t>Pre-Requisites</w:t>
      </w:r>
    </w:p>
    <w:tbl>
      <w:tblPr>
        <w:tblW w:w="0" w:type="auto"/>
        <w:tblLayout w:type="fixed"/>
        <w:tblCellMar>
          <w:left w:w="62" w:type="dxa"/>
          <w:right w:w="62" w:type="dxa"/>
        </w:tblCellMar>
        <w:tblLook w:val="0000"/>
      </w:tblPr>
      <w:tblGrid>
        <w:gridCol w:w="2576"/>
        <w:gridCol w:w="1800"/>
        <w:gridCol w:w="3960"/>
      </w:tblGrid>
      <w:tr w:rsidTr="0010699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 xml:space="preserve">4) </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4.1)</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Granting of competency in this unit shall be made only after competency in the following unit(s) has/have been confirmed:</w:t>
            </w:r>
          </w:p>
        </w:tc>
      </w:tr>
      <w:tr w:rsidTr="00106999">
        <w:tblPrEx>
          <w:tblW w:w="0" w:type="auto"/>
          <w:tblLayout w:type="fixed"/>
          <w:tblCellMar>
            <w:left w:w="62" w:type="dxa"/>
            <w:right w:w="62" w:type="dxa"/>
          </w:tblCellMar>
          <w:tblLook w:val="0000"/>
        </w:tblPrEx>
        <w:trPr>
          <w:trHeight w:val="963"/>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UEGNSG141A</w:t>
            </w:r>
          </w:p>
        </w:tc>
        <w:tc>
          <w:tcPr>
            <w:tcW w:w="39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Apply Workplace Health and Safety regulations, codes and practices in the gas industry</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UEGNSG005A</w:t>
            </w:r>
          </w:p>
        </w:tc>
        <w:tc>
          <w:tcPr>
            <w:tcW w:w="39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Prepare to work in the Australian gas industry</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UEGNSG132A</w:t>
            </w:r>
          </w:p>
        </w:tc>
        <w:tc>
          <w:tcPr>
            <w:tcW w:w="39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Carry out basic work activities in a utilities industry work environment</w:t>
            </w:r>
          </w:p>
        </w:tc>
      </w:tr>
      <w:tr w:rsidTr="00106999">
        <w:tblPrEx>
          <w:tblW w:w="0" w:type="auto"/>
          <w:tblLayout w:type="fixed"/>
          <w:tblCellMar>
            <w:left w:w="62" w:type="dxa"/>
            <w:right w:w="62" w:type="dxa"/>
          </w:tblCellMar>
          <w:tblLook w:val="0000"/>
        </w:tblPrEx>
        <w:trPr>
          <w:trHeight w:val="736"/>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UEGNSG140A</w:t>
            </w:r>
          </w:p>
        </w:tc>
        <w:tc>
          <w:tcPr>
            <w:tcW w:w="39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Apply environmental policies and procedures in the utilities industry</w:t>
            </w:r>
          </w:p>
        </w:tc>
      </w:tr>
      <w:tr w:rsidTr="00106999">
        <w:tblPrEx>
          <w:tblW w:w="0" w:type="auto"/>
          <w:tblLayout w:type="fixed"/>
          <w:tblCellMar>
            <w:left w:w="62" w:type="dxa"/>
            <w:right w:w="62" w:type="dxa"/>
          </w:tblCellMar>
          <w:tblLook w:val="0000"/>
        </w:tblPrEx>
        <w:trPr>
          <w:trHeight w:val="616"/>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UEGNSG134A</w:t>
            </w:r>
          </w:p>
        </w:tc>
        <w:tc>
          <w:tcPr>
            <w:tcW w:w="39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Establish a utilities infrastructure work site</w:t>
            </w:r>
          </w:p>
        </w:tc>
      </w:tr>
    </w:tbl>
    <w:p w:rsidR="00000000" w:rsidRPr="00106999" w:rsidP="00106999">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 xml:space="preserve">4.2) </w:t>
            </w:r>
          </w:p>
          <w:p w:rsidR="00000000" w:rsidP="00106999">
            <w:pPr>
              <w:pStyle w:val="BodyText"/>
              <w:rPr>
                <w:lang w:val="en-NZ"/>
              </w:rPr>
            </w:pPr>
            <w:r w:rsidRPr="00106999">
              <w:t>Participants are best equipped to achieve this unit if they have re</w:t>
            </w:r>
            <w:r w:rsidRPr="00106999">
              <w:t>ading, writing and numeracy skills indicated by the following scales. Description of each scale is given in Volume 2, Part 3 ‘Literacy and Numeracy’</w:t>
            </w:r>
          </w:p>
        </w:tc>
      </w:tr>
      <w:tr w:rsidTr="0010699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Reading</w:t>
            </w:r>
          </w:p>
        </w:tc>
        <w:tc>
          <w:tcPr>
            <w:tcW w:w="81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w:t>
            </w:r>
          </w:p>
        </w:tc>
        <w:tc>
          <w:tcPr>
            <w:tcW w:w="99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Writing</w:t>
            </w: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w:t>
            </w:r>
          </w:p>
        </w:tc>
        <w:tc>
          <w:tcPr>
            <w:tcW w:w="12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Numeracy</w:t>
            </w:r>
          </w:p>
        </w:tc>
        <w:tc>
          <w:tcPr>
            <w:tcW w:w="72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3</w:t>
            </w:r>
          </w:p>
        </w:tc>
      </w:tr>
    </w:tbl>
    <w:p w:rsidR="0010484C" w:rsidP="00106999">
      <w:pPr>
        <w:pStyle w:val="BodyText"/>
      </w:pPr>
    </w:p>
    <w:p w:rsidR="0010484C" w:rsidP="00106999">
      <w:pPr>
        <w:pStyle w:val="BodyText"/>
      </w:pPr>
    </w:p>
    <w:p w:rsidR="00000000" w:rsidRPr="00106999" w:rsidP="00106999">
      <w:pPr>
        <w:pStyle w:val="Heading1"/>
      </w:pPr>
      <w:bookmarkStart w:id="6" w:name="O_582228"/>
      <w:bookmarkEnd w:id="6"/>
      <w:r w:rsidRPr="00106999">
        <w:t>Employability Skills Information</w:t>
      </w:r>
    </w:p>
    <w:tbl>
      <w:tblPr>
        <w:tblW w:w="0" w:type="auto"/>
        <w:tblLayout w:type="fixed"/>
        <w:tblCellMar>
          <w:left w:w="62" w:type="dxa"/>
          <w:right w:w="62" w:type="dxa"/>
        </w:tblCellMar>
        <w:tblLook w:val="0000"/>
      </w:tblPr>
      <w:tblGrid>
        <w:gridCol w:w="2548"/>
        <w:gridCol w:w="5788"/>
      </w:tblGrid>
      <w:tr w:rsidTr="00106999">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Employability Skills</w:t>
            </w:r>
          </w:p>
        </w:tc>
        <w:tc>
          <w:tcPr>
            <w:tcW w:w="5788"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 xml:space="preserve">5) </w:t>
            </w:r>
          </w:p>
        </w:tc>
      </w:tr>
      <w:tr w:rsidTr="00106999">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8"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This competency standard shall apply to any basic and safe work site where Gas Industry operations occur. It could also apply, where applicable to other workplaces in the electricity supply industry (transmission and distribution</w:t>
            </w:r>
            <w:r w:rsidRPr="00106999">
              <w:t xml:space="preserve"> and generation), the electrotechnology industry and the water industry, subject to all Occupational Health and Safety and duty of care requirements being met for the workplace.</w:t>
            </w:r>
          </w:p>
        </w:tc>
      </w:tr>
    </w:tbl>
    <w:p w:rsidR="0010484C" w:rsidP="00106999">
      <w:pPr>
        <w:pStyle w:val="BodyText"/>
      </w:pPr>
    </w:p>
    <w:p w:rsidR="0010484C" w:rsidP="00106999">
      <w:pPr>
        <w:pStyle w:val="BodyText"/>
      </w:pPr>
    </w:p>
    <w:p w:rsidR="00000000" w:rsidRPr="00106999" w:rsidP="00106999">
      <w:pPr>
        <w:pStyle w:val="Heading1"/>
      </w:pPr>
      <w:bookmarkStart w:id="7" w:name="O_582229"/>
      <w:bookmarkEnd w:id="7"/>
      <w:r w:rsidRPr="00106999">
        <w:t>Elements and Performance Criteria Pre-Content</w:t>
      </w:r>
    </w:p>
    <w:tbl>
      <w:tblPr>
        <w:tblW w:w="0" w:type="auto"/>
        <w:tblLayout w:type="fixed"/>
        <w:tblCellMar>
          <w:left w:w="62" w:type="dxa"/>
          <w:right w:w="62" w:type="dxa"/>
        </w:tblCellMar>
        <w:tblLook w:val="0000"/>
      </w:tblPr>
      <w:tblGrid>
        <w:gridCol w:w="2638"/>
        <w:gridCol w:w="5760"/>
      </w:tblGrid>
      <w:tr w:rsidTr="0010699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 xml:space="preserve">6) </w:t>
            </w:r>
            <w:r w:rsidRPr="00106999">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Emphasis"/>
              </w:rPr>
              <w:t>Performance Criteria describe the required performance needed to demonstrate achievement of the element. Assessment of performance is to be consistent with the Evidence Guide.</w:t>
            </w:r>
          </w:p>
        </w:tc>
      </w:tr>
    </w:tbl>
    <w:p w:rsidR="00000000" w:rsidRPr="00106999" w:rsidP="00106999">
      <w:pPr>
        <w:pStyle w:val="BodyText"/>
      </w:pPr>
    </w:p>
    <w:p w:rsidR="00000000" w:rsidRPr="00106999" w:rsidP="00106999">
      <w:pPr>
        <w:pStyle w:val="AllowPageBreak"/>
      </w:pPr>
    </w:p>
    <w:p w:rsidR="00000000" w:rsidRPr="00106999" w:rsidP="00106999">
      <w:pPr>
        <w:pStyle w:val="Heading1"/>
      </w:pPr>
      <w:bookmarkStart w:id="8" w:name="O_582230"/>
      <w:bookmarkEnd w:id="8"/>
      <w:r w:rsidRPr="00106999">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106999">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PERFORMANCE CRITERIA</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Prepare to construct and lay steel gas distribution mains</w:t>
            </w: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1.1</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WHS/OHS and environmental measures for the site are identified, obtained and understood.</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1.2</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Relevant requirements, including alignment of main and services and established procedures for the site are discussed with relevant persons to establish and confirm the work schedule </w:t>
            </w:r>
          </w:p>
        </w:tc>
      </w:tr>
      <w:tr w:rsidTr="00106999">
        <w:tblPrEx>
          <w:tblW w:w="0" w:type="auto"/>
          <w:tblLayout w:type="fixed"/>
          <w:tblCellMar>
            <w:left w:w="62" w:type="dxa"/>
            <w:right w:w="62" w:type="dxa"/>
          </w:tblCellMar>
          <w:tblLook w:val="0000"/>
        </w:tblPrEx>
        <w:trPr>
          <w:trHeight w:val="1084"/>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1.3</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WHS/OHS, environmental and sustainable energy policies and proced</w:t>
            </w:r>
            <w:r w:rsidRPr="00106999">
              <w:t xml:space="preserve">ures are received and confirmed </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1.4</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Hazards are identified, WHS/OHS risks assessed and control measures are prioritised, implemented and monitored according to established procedures including keeping emergency exits  clear. </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1.5</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Scope of responsibility under the relevant work permit and/or relevant notification is received and confirmed according to requirements and established procedures</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1.6</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Equipment, plant, tools and personal protective equipment needed to carry out the work</w:t>
            </w:r>
            <w:r w:rsidRPr="00106999">
              <w:t xml:space="preserve"> are identified, obtained and checked for correct operation and safety. </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1.7</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Appropriate persons are consulted to ensure the work is coordinated effectively with others involved</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1.8</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Materials, </w:t>
            </w:r>
            <w:r w:rsidRPr="00106999">
              <w:t>plans, diagrams, drawings and resources required to construct and lay steel gas distribution mains  including cast iron transition and connections are confirmed, scheduled and obtained in accordance with established procedures</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1.9</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Relevant responsibilit</w:t>
            </w:r>
            <w:r w:rsidRPr="00106999">
              <w:t xml:space="preserve">ies associated with safety and emergency procedures for an incident are checked and confirmed.  </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1.10</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Third party issues are referred to appropriate persons in accordance with established procedures. </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1.11</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Site preparation, safety plan  and the work schedule are confirmed in accordance with established procedures</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1.12</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Road signs, barriers and warning devices are positioned in accordance with given instructions and requirements including traffic management</w:t>
            </w:r>
            <w:r w:rsidRPr="00106999">
              <w:t xml:space="preserve"> plans</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 xml:space="preserve">Construct and lay steel gas distribution mains </w:t>
            </w: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2.1</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WHS/OHS risk and control measures schedule of work and standard operation procedures for carrying out the work are followed </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2.2</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 xml:space="preserve">Appropriate materials, tools, equipment and measuring devices </w:t>
            </w:r>
            <w:r w:rsidRPr="00106999">
              <w:t>are selected and used correctly and safely.</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2.3</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Hazardous activities such as lifting, climbing, working in confined spaces, excavations, trenches and use of power tools, techniques and practices </w:t>
            </w:r>
            <w:r w:rsidRPr="00106999">
              <w:t>are conducted safely in accordance with given instructions and requirements</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2.4</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Excavation is prepared for laying of pipe according to appropriate standards and procedures</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2.5</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 xml:space="preserve">Construction and laying of steel gas pipe including cast iron transition </w:t>
            </w:r>
            <w:r w:rsidRPr="00106999">
              <w:t>and connections are conducted according to appropriate standards and procedures</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2.6</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Work is carried out efficiently, to the required standard without waste of materials or damage to apparatus, equipment, the surrounding environment or services and usin</w:t>
            </w:r>
            <w:r w:rsidRPr="00106999">
              <w:t>g sustainable energy principles.</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2.7</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WHS/OHS risks and incidents are reported to the immediate authorised persons for directions according to established procedures.</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2.8</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Procedures for referring non-routine events to the immediate authorised persons for directions are followed</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2.9</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Routine quality checks are carried out in accordance with work instructions including testing of pipework.</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Complete the work and relevan</w:t>
            </w:r>
            <w:r w:rsidRPr="00106999">
              <w:rPr>
                <w:rStyle w:val="SpecialBold"/>
              </w:rPr>
              <w:t>t documentation</w:t>
            </w: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3.1</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WHS/OHS risk control work completion measures and procedures are followed</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3.2</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 xml:space="preserve">Work site is rehabilitated, cleaned up and made safe in accordance with and established procedures </w:t>
            </w:r>
          </w:p>
          <w:p w:rsidR="00000000" w:rsidP="00106999">
            <w:pPr>
              <w:pStyle w:val="BodyText"/>
              <w:rPr>
                <w:lang w:val="en-NZ"/>
              </w:rPr>
            </w:pP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3.3</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Equi</w:t>
            </w:r>
            <w:r w:rsidRPr="00106999">
              <w:t>pment and tools and any surplus resources and materials are cleaned, checked and securely stored.</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3.4</w:t>
            </w:r>
          </w:p>
        </w:tc>
        <w:tc>
          <w:tcPr>
            <w:tcW w:w="486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Appropriate persons are notified of work completion according to established procedures</w:t>
            </w:r>
          </w:p>
        </w:tc>
      </w:tr>
      <w:tr w:rsidTr="00106999">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3.5</w:t>
            </w:r>
          </w:p>
        </w:tc>
        <w:tc>
          <w:tcPr>
            <w:tcW w:w="486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Work completion documentation is completed accurately an</w:t>
            </w:r>
            <w:r w:rsidRPr="00106999">
              <w:t>d provided to the appropriate persons in accordance with established procedures.</w:t>
            </w:r>
          </w:p>
        </w:tc>
      </w:tr>
    </w:tbl>
    <w:p w:rsidR="0010484C" w:rsidP="00106999">
      <w:pPr>
        <w:pStyle w:val="BodyText"/>
      </w:pPr>
    </w:p>
    <w:p w:rsidR="0010484C" w:rsidP="00106999">
      <w:pPr>
        <w:pStyle w:val="BodyText"/>
      </w:pPr>
    </w:p>
    <w:p w:rsidR="00000000" w:rsidRPr="00106999" w:rsidP="00106999">
      <w:pPr>
        <w:pStyle w:val="Heading1"/>
      </w:pPr>
      <w:bookmarkStart w:id="9" w:name="O_582231"/>
      <w:bookmarkEnd w:id="9"/>
      <w:r w:rsidRPr="00106999">
        <w:t>Required Skills and Knowledge</w:t>
      </w:r>
    </w:p>
    <w:tbl>
      <w:tblPr>
        <w:tblW w:w="0" w:type="auto"/>
        <w:tblLayout w:type="fixed"/>
        <w:tblCellMar>
          <w:left w:w="62" w:type="dxa"/>
          <w:right w:w="62" w:type="dxa"/>
        </w:tblCellMar>
        <w:tblLook w:val="0000"/>
      </w:tblPr>
      <w:tblGrid>
        <w:gridCol w:w="8308"/>
        <w:gridCol w:w="28"/>
      </w:tblGrid>
      <w:tr w:rsidTr="00106999">
        <w:tblPrEx>
          <w:tblW w:w="0" w:type="auto"/>
          <w:tblLayout w:type="fixed"/>
          <w:tblCellMar>
            <w:left w:w="62" w:type="dxa"/>
            <w:right w:w="62" w:type="dxa"/>
          </w:tblCellMar>
          <w:tblLook w:val="0000"/>
        </w:tblPrEx>
        <w:trPr>
          <w:tblHeader/>
        </w:trPr>
        <w:tc>
          <w:tcPr>
            <w:tcW w:w="8336"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REQUIRED SKILLS AND KNOWLEDGE</w:t>
            </w:r>
          </w:p>
        </w:tc>
      </w:tr>
      <w:tr w:rsidTr="00106999">
        <w:tblPrEx>
          <w:tblW w:w="0" w:type="auto"/>
          <w:tblLayout w:type="fixed"/>
          <w:tblCellMar>
            <w:left w:w="62" w:type="dxa"/>
            <w:right w:w="62" w:type="dxa"/>
          </w:tblCellMar>
          <w:tblLook w:val="0000"/>
        </w:tblPrEx>
        <w:trPr>
          <w:trHeight w:val="346"/>
        </w:trPr>
        <w:tc>
          <w:tcPr>
            <w:tcW w:w="8336"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7)</w:t>
            </w:r>
            <w:r w:rsidRPr="00106999">
              <w:rPr>
                <w:rStyle w:val="Emphasis"/>
              </w:rPr>
              <w:t xml:space="preserve"> This describes the skills and knowledge and their level, required for this unit.</w:t>
            </w:r>
          </w:p>
        </w:tc>
      </w:tr>
      <w:tr w:rsidTr="00106999">
        <w:tblPrEx>
          <w:tblW w:w="0" w:type="auto"/>
          <w:tblLayout w:type="fixed"/>
          <w:tblCellMar>
            <w:left w:w="62" w:type="dxa"/>
            <w:right w:w="62" w:type="dxa"/>
          </w:tblCellMar>
          <w:tblLook w:val="0000"/>
        </w:tblPrEx>
        <w:tc>
          <w:tcPr>
            <w:tcW w:w="8336" w:type="dxa"/>
            <w:gridSpan w:val="2"/>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Evidence shall show that knowledge has been acquired of safe working practices for constructing and laying steel gas distribution mains.</w:t>
            </w:r>
          </w:p>
          <w:p w:rsidR="00000000" w:rsidP="00106999">
            <w:pPr>
              <w:pStyle w:val="BodyText"/>
              <w:rPr>
                <w:lang w:val="en-NZ"/>
              </w:rPr>
            </w:pPr>
            <w:r w:rsidRPr="00106999">
              <w:t>All knowledge and skills detailed in this unit should be contextualised to current industry practices and technologies.</w:t>
            </w:r>
            <w:r w:rsidRPr="00106999">
              <w:t xml:space="preserve"> The extent of the required skills and knowledge is provided below. It forms an integral part of this unit.</w:t>
            </w:r>
          </w:p>
        </w:tc>
      </w:tr>
      <w:tr w:rsidTr="00106999">
        <w:tblPrEx>
          <w:tblW w:w="0" w:type="auto"/>
          <w:tblLayout w:type="fixed"/>
          <w:tblCellMar>
            <w:left w:w="62" w:type="dxa"/>
            <w:right w:w="62" w:type="dxa"/>
          </w:tblCellMar>
          <w:tblLook w:val="0000"/>
        </w:tblPrEx>
        <w:tc>
          <w:tcPr>
            <w:tcW w:w="8336" w:type="dxa"/>
            <w:gridSpan w:val="2"/>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KS01-G223A Construct and lay gas distribution steel mains</w:t>
            </w:r>
          </w:p>
          <w:p w:rsidR="00000000" w:rsidP="00106999">
            <w:pPr>
              <w:pStyle w:val="BodyText"/>
              <w:rPr>
                <w:lang w:val="en-NZ"/>
              </w:rPr>
            </w:pPr>
            <w:r w:rsidRPr="00106999">
              <w:t>Evidence shall show an un</w:t>
            </w:r>
            <w:r w:rsidRPr="00106999">
              <w:t>derstanding of constructing and laying steel gas distribution mains in accordance with relevant legislation, standards, codes and established procedures to an extent indicated by the following aspects:</w:t>
            </w:r>
          </w:p>
        </w:tc>
      </w:tr>
      <w:tr w:rsidTr="00106999">
        <w:tblPrEx>
          <w:tblW w:w="0" w:type="auto"/>
          <w:tblLayout w:type="fixed"/>
          <w:tblCellMar>
            <w:left w:w="62" w:type="dxa"/>
            <w:right w:w="62" w:type="dxa"/>
          </w:tblCellMar>
          <w:tblLook w:val="0000"/>
        </w:tblPrEx>
        <w:trPr>
          <w:gridAfter w:val="1"/>
          <w:wAfter w:w="28" w:type="dxa"/>
          <w:trHeight w:val="346"/>
        </w:trPr>
        <w:tc>
          <w:tcPr>
            <w:tcW w:w="8308"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T1.</w:t>
            </w:r>
            <w:r w:rsidRPr="00106999">
              <w:tab/>
              <w:t>Steel gas pipelines</w:t>
            </w:r>
          </w:p>
          <w:p w:rsidR="00000000" w:rsidRPr="00106999" w:rsidP="00106999">
            <w:pPr>
              <w:pStyle w:val="ListBullet"/>
            </w:pPr>
            <w:r w:rsidRPr="00106999">
              <w:t>characteristics and specific</w:t>
            </w:r>
            <w:r w:rsidRPr="00106999">
              <w:t>ations</w:t>
            </w:r>
          </w:p>
          <w:p w:rsidR="00000000" w:rsidRPr="00106999" w:rsidP="00106999">
            <w:pPr>
              <w:pStyle w:val="ListBullet"/>
            </w:pPr>
            <w:r w:rsidRPr="00106999">
              <w:t>differences to other pipe materials</w:t>
            </w:r>
          </w:p>
          <w:p w:rsidR="00000000" w:rsidRPr="00106999" w:rsidP="00106999">
            <w:pPr>
              <w:pStyle w:val="ListBullet"/>
            </w:pPr>
            <w:r w:rsidRPr="00106999">
              <w:t>applications in which a steel pipeline is used/not used</w:t>
            </w:r>
          </w:p>
          <w:p w:rsidR="00000000" w:rsidRPr="00106999" w:rsidP="00106999">
            <w:pPr>
              <w:pStyle w:val="ListBullet"/>
            </w:pPr>
            <w:r w:rsidRPr="00106999">
              <w:t>handling and storage</w:t>
            </w:r>
          </w:p>
          <w:p w:rsidR="00000000" w:rsidRPr="00106999" w:rsidP="00106999">
            <w:pPr>
              <w:pStyle w:val="ListBullet"/>
            </w:pPr>
            <w:r w:rsidRPr="00106999">
              <w:t>advantages and disadvantages</w:t>
            </w:r>
          </w:p>
          <w:p w:rsidR="00000000" w:rsidRPr="00106999" w:rsidP="00106999">
            <w:pPr>
              <w:pStyle w:val="ListBullet"/>
            </w:pPr>
            <w:r w:rsidRPr="00106999">
              <w:t>pipe sizes and range of fitting and accessories</w:t>
            </w:r>
          </w:p>
          <w:p w:rsidR="00000000" w:rsidRPr="00106999" w:rsidP="00106999">
            <w:pPr>
              <w:pStyle w:val="ListBullet"/>
            </w:pPr>
            <w:r w:rsidRPr="00106999">
              <w:t xml:space="preserve">allowable pipe damage </w:t>
            </w:r>
          </w:p>
          <w:p w:rsidR="00000000" w:rsidRPr="00106999" w:rsidP="00106999">
            <w:pPr>
              <w:pStyle w:val="ListBullet"/>
            </w:pPr>
            <w:r w:rsidRPr="00106999">
              <w:t>static electricity in gas PE pipes</w:t>
            </w:r>
          </w:p>
          <w:p w:rsidR="00000000" w:rsidRPr="00106999" w:rsidP="00106999">
            <w:pPr>
              <w:pStyle w:val="BodyText"/>
            </w:pPr>
            <w:r w:rsidRPr="00106999">
              <w:t>T</w:t>
            </w:r>
            <w:r w:rsidRPr="00106999">
              <w:t>2.</w:t>
            </w:r>
            <w:r w:rsidRPr="00106999">
              <w:tab/>
              <w:t>Relevant legislation, Australian Standards, codes, regulations and procedures</w:t>
            </w:r>
          </w:p>
          <w:p w:rsidR="00000000" w:rsidRPr="00106999" w:rsidP="00106999">
            <w:pPr>
              <w:pStyle w:val="ListBullet"/>
            </w:pPr>
            <w:r w:rsidRPr="00106999">
              <w:t>AS/NZS 4645</w:t>
            </w:r>
          </w:p>
          <w:p w:rsidR="00000000" w:rsidRPr="00106999" w:rsidP="00106999">
            <w:pPr>
              <w:pStyle w:val="BodyText"/>
            </w:pPr>
            <w:r w:rsidRPr="00106999">
              <w:t>T3.</w:t>
            </w:r>
            <w:r w:rsidRPr="00106999">
              <w:tab/>
              <w:t>Safety requirements</w:t>
            </w:r>
          </w:p>
          <w:p w:rsidR="00000000" w:rsidRPr="00106999" w:rsidP="00106999">
            <w:pPr>
              <w:pStyle w:val="ListBullet"/>
            </w:pPr>
            <w:r w:rsidRPr="00106999">
              <w:t>hazards, risk assessment and control measures</w:t>
            </w:r>
          </w:p>
          <w:p w:rsidR="00000000" w:rsidRPr="00106999" w:rsidP="00106999">
            <w:pPr>
              <w:pStyle w:val="ListBullet"/>
            </w:pPr>
            <w:r w:rsidRPr="00106999">
              <w:t>dangers of working with live gas</w:t>
            </w:r>
          </w:p>
          <w:p w:rsidR="00000000" w:rsidRPr="00106999" w:rsidP="00106999">
            <w:pPr>
              <w:pStyle w:val="ListBullet"/>
            </w:pPr>
            <w:r w:rsidRPr="00106999">
              <w:t>bonding leads</w:t>
            </w:r>
          </w:p>
          <w:p w:rsidR="00000000" w:rsidRPr="00106999" w:rsidP="00106999">
            <w:pPr>
              <w:pStyle w:val="ListBullet"/>
            </w:pPr>
            <w:r w:rsidRPr="00106999">
              <w:t>voltage testers</w:t>
            </w:r>
          </w:p>
          <w:p w:rsidR="00000000" w:rsidRPr="00106999" w:rsidP="00106999">
            <w:pPr>
              <w:pStyle w:val="BodyText"/>
            </w:pPr>
            <w:r w:rsidRPr="00106999">
              <w:t>T4.</w:t>
            </w:r>
            <w:r w:rsidRPr="00106999">
              <w:tab/>
            </w:r>
            <w:r w:rsidRPr="00106999">
              <w:t xml:space="preserve">Cutting and tapping Steel pipe </w:t>
            </w:r>
          </w:p>
          <w:p w:rsidR="00000000" w:rsidRPr="00106999" w:rsidP="00106999">
            <w:pPr>
              <w:pStyle w:val="ListBullet"/>
            </w:pPr>
            <w:r w:rsidRPr="00106999">
              <w:t xml:space="preserve">requirements under various conditions, inclement weather etc. </w:t>
            </w:r>
          </w:p>
          <w:p w:rsidR="00000000" w:rsidRPr="00106999" w:rsidP="00106999">
            <w:pPr>
              <w:pStyle w:val="ListBullet"/>
            </w:pPr>
            <w:r w:rsidRPr="00106999">
              <w:t>methods, procedures and safety requirements</w:t>
            </w:r>
          </w:p>
          <w:p w:rsidR="00000000" w:rsidRPr="00106999" w:rsidP="00106999">
            <w:pPr>
              <w:pStyle w:val="ListBullet"/>
            </w:pPr>
            <w:r w:rsidRPr="00106999">
              <w:t xml:space="preserve">selection and use of equipment, tools and materials </w:t>
            </w:r>
          </w:p>
          <w:p w:rsidR="00000000" w:rsidRPr="00106999" w:rsidP="00106999">
            <w:pPr>
              <w:pStyle w:val="BodyText"/>
            </w:pPr>
            <w:r w:rsidRPr="00106999">
              <w:t>T5.</w:t>
            </w:r>
            <w:r w:rsidRPr="00106999">
              <w:tab/>
              <w:t>Joining Steel pipe, pipelines and fittings</w:t>
            </w:r>
          </w:p>
          <w:p w:rsidR="00000000" w:rsidRPr="00106999" w:rsidP="00106999">
            <w:pPr>
              <w:pStyle w:val="ListBullet"/>
            </w:pPr>
            <w:r w:rsidRPr="00106999">
              <w:t>requirements un</w:t>
            </w:r>
            <w:r w:rsidRPr="00106999">
              <w:t xml:space="preserve">der various conditions, inclement weather etc. </w:t>
            </w:r>
          </w:p>
          <w:p w:rsidR="00000000" w:rsidRPr="00106999" w:rsidP="00106999">
            <w:pPr>
              <w:pStyle w:val="ListBullet"/>
            </w:pPr>
            <w:r w:rsidRPr="00106999">
              <w:t xml:space="preserve">methods, procedures and safety requirements </w:t>
            </w:r>
          </w:p>
          <w:p w:rsidR="00000000" w:rsidRPr="00106999" w:rsidP="00106999">
            <w:pPr>
              <w:pStyle w:val="ListBullet"/>
            </w:pPr>
            <w:r w:rsidRPr="00106999">
              <w:t>selection and use of equipment, tools and materials</w:t>
            </w:r>
          </w:p>
          <w:p w:rsidR="00000000" w:rsidRPr="00106999" w:rsidP="00106999">
            <w:pPr>
              <w:pStyle w:val="ListBullet"/>
            </w:pPr>
            <w:r w:rsidRPr="00106999">
              <w:t>preparation for welding</w:t>
            </w:r>
          </w:p>
          <w:p w:rsidR="00000000" w:rsidRPr="00106999" w:rsidP="00106999">
            <w:pPr>
              <w:pStyle w:val="ListBullet"/>
            </w:pPr>
            <w:r w:rsidRPr="00106999">
              <w:t xml:space="preserve">insulated joints </w:t>
            </w:r>
          </w:p>
          <w:p w:rsidR="00000000" w:rsidRPr="00106999" w:rsidP="00106999">
            <w:pPr>
              <w:pStyle w:val="BodyText"/>
            </w:pPr>
            <w:r w:rsidRPr="00106999">
              <w:t>T6.</w:t>
            </w:r>
            <w:r w:rsidRPr="00106999">
              <w:tab/>
              <w:t>Transition fittings and adaptors to cast iron piping materials</w:t>
            </w:r>
          </w:p>
          <w:p w:rsidR="00000000" w:rsidRPr="00106999" w:rsidP="00106999">
            <w:pPr>
              <w:pStyle w:val="ListBullet"/>
            </w:pPr>
            <w:r w:rsidRPr="00106999">
              <w:t>t</w:t>
            </w:r>
            <w:r w:rsidRPr="00106999">
              <w:t>ypes and selection</w:t>
            </w:r>
          </w:p>
          <w:p w:rsidR="00000000" w:rsidRPr="00106999" w:rsidP="00106999">
            <w:pPr>
              <w:pStyle w:val="ListBullet"/>
            </w:pPr>
            <w:r w:rsidRPr="00106999">
              <w:t>methods, procedures and safety requirements</w:t>
            </w:r>
          </w:p>
          <w:p w:rsidR="00000000" w:rsidRPr="00106999" w:rsidP="00106999">
            <w:pPr>
              <w:pStyle w:val="ListBullet"/>
            </w:pPr>
            <w:r w:rsidRPr="00106999">
              <w:t>selection and use of equipment, tools and materials</w:t>
            </w:r>
          </w:p>
          <w:p w:rsidR="00000000" w:rsidRPr="00106999" w:rsidP="00106999">
            <w:pPr>
              <w:pStyle w:val="BodyText"/>
            </w:pPr>
            <w:r w:rsidRPr="00106999">
              <w:t>T7.</w:t>
            </w:r>
            <w:r w:rsidRPr="00106999">
              <w:tab/>
              <w:t>Coatings types and repair</w:t>
            </w:r>
          </w:p>
          <w:p w:rsidR="00000000" w:rsidRPr="00106999" w:rsidP="00106999">
            <w:pPr>
              <w:pStyle w:val="BodyText"/>
            </w:pPr>
            <w:r w:rsidRPr="00106999">
              <w:t>T8.</w:t>
            </w:r>
            <w:r w:rsidRPr="00106999">
              <w:tab/>
              <w:t xml:space="preserve">Bedding requirements for Steel pipeline </w:t>
            </w:r>
          </w:p>
          <w:p w:rsidR="00000000" w:rsidRPr="00106999" w:rsidP="00106999">
            <w:pPr>
              <w:pStyle w:val="ListBullet"/>
            </w:pPr>
            <w:r w:rsidRPr="00106999">
              <w:t xml:space="preserve">trench width and depth </w:t>
            </w:r>
          </w:p>
          <w:p w:rsidR="00000000" w:rsidRPr="00106999" w:rsidP="00106999">
            <w:pPr>
              <w:pStyle w:val="ListBullet"/>
            </w:pPr>
            <w:r w:rsidRPr="00106999">
              <w:t>coverage depth in various locations</w:t>
            </w:r>
          </w:p>
          <w:p w:rsidR="00000000" w:rsidRPr="00106999" w:rsidP="00106999">
            <w:pPr>
              <w:pStyle w:val="ListBullet"/>
            </w:pPr>
            <w:r w:rsidRPr="00106999">
              <w:t>obstacles affecting minimum depth of cover for pipeline</w:t>
            </w:r>
          </w:p>
          <w:p w:rsidR="00000000" w:rsidRPr="00106999" w:rsidP="00106999">
            <w:pPr>
              <w:pStyle w:val="ListBullet"/>
            </w:pPr>
            <w:r w:rsidRPr="00106999">
              <w:t>solutions for dealing with obstacles affecting the depth of cover including transitioning to other approved materials and applying protection.</w:t>
            </w:r>
          </w:p>
          <w:p w:rsidR="00000000" w:rsidRPr="00106999" w:rsidP="00106999">
            <w:pPr>
              <w:pStyle w:val="ListBullet"/>
            </w:pPr>
            <w:r w:rsidRPr="00106999">
              <w:t>pipeline support</w:t>
            </w:r>
          </w:p>
          <w:p w:rsidR="00000000" w:rsidRPr="00106999" w:rsidP="00106999">
            <w:pPr>
              <w:pStyle w:val="ListBullet"/>
            </w:pPr>
            <w:r w:rsidRPr="00106999">
              <w:t>backfilling requirements</w:t>
            </w:r>
          </w:p>
          <w:p w:rsidR="00000000" w:rsidRPr="00106999" w:rsidP="00106999">
            <w:pPr>
              <w:pStyle w:val="BodyText"/>
            </w:pPr>
            <w:r w:rsidRPr="00106999">
              <w:t>T9.</w:t>
            </w:r>
            <w:r w:rsidRPr="00106999">
              <w:tab/>
              <w:t xml:space="preserve">Conditions </w:t>
            </w:r>
            <w:r w:rsidRPr="00106999">
              <w:t>for direct installation or insertion of Steel pipeline</w:t>
            </w:r>
          </w:p>
          <w:p w:rsidR="00000000" w:rsidRPr="00106999" w:rsidP="00106999">
            <w:pPr>
              <w:pStyle w:val="BodyText"/>
            </w:pPr>
            <w:r w:rsidRPr="00106999">
              <w:t>T10.</w:t>
            </w:r>
            <w:r w:rsidRPr="00106999">
              <w:tab/>
              <w:t>Installation of Steel pipeline</w:t>
            </w:r>
          </w:p>
          <w:p w:rsidR="00000000" w:rsidRPr="00106999" w:rsidP="00106999">
            <w:pPr>
              <w:pStyle w:val="ListBullet"/>
            </w:pPr>
            <w:r w:rsidRPr="00106999">
              <w:t>requirements</w:t>
            </w:r>
          </w:p>
          <w:p w:rsidR="00000000" w:rsidRPr="00106999" w:rsidP="00106999">
            <w:pPr>
              <w:pStyle w:val="ListBullet"/>
            </w:pPr>
            <w:r w:rsidRPr="00106999">
              <w:t>procedures</w:t>
            </w:r>
          </w:p>
          <w:p w:rsidR="00000000" w:rsidRPr="00106999" w:rsidP="00106999">
            <w:pPr>
              <w:pStyle w:val="ListBullet"/>
            </w:pPr>
            <w:r w:rsidRPr="00106999">
              <w:t>internal cleaning</w:t>
            </w:r>
          </w:p>
          <w:p w:rsidR="00000000" w:rsidRPr="00106999" w:rsidP="00106999">
            <w:pPr>
              <w:pStyle w:val="BodyText"/>
            </w:pPr>
            <w:r w:rsidRPr="00106999">
              <w:t>T11.</w:t>
            </w:r>
            <w:r w:rsidRPr="00106999">
              <w:tab/>
              <w:t>Termination and testing of Steel pipeline</w:t>
            </w:r>
          </w:p>
          <w:p w:rsidR="00000000" w:rsidRPr="00106999" w:rsidP="00106999">
            <w:pPr>
              <w:pStyle w:val="ListBullet"/>
            </w:pPr>
            <w:r w:rsidRPr="00106999">
              <w:t>requirements</w:t>
            </w:r>
          </w:p>
          <w:p w:rsidR="00000000" w:rsidRPr="00106999" w:rsidP="00106999">
            <w:pPr>
              <w:pStyle w:val="ListBullet"/>
            </w:pPr>
            <w:r w:rsidRPr="00106999">
              <w:t>procedures</w:t>
            </w:r>
          </w:p>
          <w:p w:rsidR="00000000" w:rsidRPr="00106999" w:rsidP="00106999">
            <w:pPr>
              <w:pStyle w:val="BodyText"/>
            </w:pPr>
            <w:r w:rsidRPr="00106999">
              <w:t>T12.</w:t>
            </w:r>
            <w:r w:rsidRPr="00106999">
              <w:tab/>
              <w:t>Corrosion mitigation principles</w:t>
            </w:r>
          </w:p>
          <w:p w:rsidR="00000000" w:rsidRPr="00106999" w:rsidP="00106999">
            <w:pPr>
              <w:pStyle w:val="ListBullet"/>
            </w:pPr>
            <w:r w:rsidRPr="00106999">
              <w:t>causes</w:t>
            </w:r>
          </w:p>
          <w:p w:rsidR="00000000" w:rsidRPr="00106999" w:rsidP="00106999">
            <w:pPr>
              <w:pStyle w:val="ListBullet"/>
            </w:pPr>
            <w:r w:rsidRPr="00106999">
              <w:t>dange</w:t>
            </w:r>
            <w:r w:rsidRPr="00106999">
              <w:t>rs</w:t>
            </w:r>
          </w:p>
          <w:p w:rsidR="00000000" w:rsidRPr="00106999" w:rsidP="00106999">
            <w:pPr>
              <w:pStyle w:val="ListBullet"/>
            </w:pPr>
            <w:r w:rsidRPr="00106999">
              <w:t>prevention</w:t>
            </w:r>
          </w:p>
          <w:p w:rsidR="00000000" w:rsidRPr="00106999" w:rsidP="00106999">
            <w:pPr>
              <w:pStyle w:val="BodyText"/>
            </w:pPr>
          </w:p>
        </w:tc>
      </w:tr>
    </w:tbl>
    <w:p w:rsidR="0010484C" w:rsidP="00106999">
      <w:pPr>
        <w:pStyle w:val="BodyText"/>
      </w:pPr>
    </w:p>
    <w:p w:rsidR="0010484C" w:rsidP="00106999">
      <w:pPr>
        <w:pStyle w:val="BodyText"/>
      </w:pPr>
    </w:p>
    <w:p w:rsidR="00000000" w:rsidRPr="00106999" w:rsidP="00106999">
      <w:pPr>
        <w:pStyle w:val="Heading1"/>
      </w:pPr>
      <w:bookmarkStart w:id="10" w:name="O_582232"/>
      <w:bookmarkEnd w:id="10"/>
      <w:r w:rsidRPr="00106999">
        <w:t>Evidence Guide</w:t>
      </w:r>
    </w:p>
    <w:tbl>
      <w:tblPr>
        <w:tblW w:w="0" w:type="auto"/>
        <w:tblLayout w:type="fixed"/>
        <w:tblCellMar>
          <w:left w:w="62" w:type="dxa"/>
          <w:right w:w="62" w:type="dxa"/>
        </w:tblCellMar>
        <w:tblLook w:val="0000"/>
      </w:tblPr>
      <w:tblGrid>
        <w:gridCol w:w="8336"/>
      </w:tblGrid>
      <w:tr w:rsidTr="00106999">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EVIDENCE GUIDE</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8)</w:t>
            </w:r>
            <w:r w:rsidRPr="00106999">
              <w:rPr>
                <w:rStyle w:val="Emphasis"/>
              </w:rPr>
              <w:t xml:space="preserve"> </w:t>
            </w:r>
            <w:r w:rsidRPr="00106999">
              <w:t xml:space="preserve">The Evidence Guide forms an integral part of this Unit and shall be used in conjunction </w:t>
            </w:r>
            <w:r w:rsidRPr="00106999">
              <w:t>with all components parts of this unit and performed in accordance with the Assessment Guidelines of this Training Package.</w:t>
            </w:r>
          </w:p>
        </w:tc>
      </w:tr>
    </w:tbl>
    <w:p w:rsidR="00000000" w:rsidRPr="00106999" w:rsidP="00106999">
      <w:pPr>
        <w:pStyle w:val="BodyText"/>
      </w:pPr>
    </w:p>
    <w:tbl>
      <w:tblPr>
        <w:tblW w:w="0" w:type="auto"/>
        <w:tblLayout w:type="fixed"/>
        <w:tblCellMar>
          <w:left w:w="62" w:type="dxa"/>
          <w:right w:w="62" w:type="dxa"/>
        </w:tblCellMar>
        <w:tblLook w:val="0000"/>
      </w:tblPr>
      <w:tblGrid>
        <w:gridCol w:w="1766"/>
        <w:gridCol w:w="6570"/>
      </w:tblGrid>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8.1)</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Longitudinal competency development approaches to assessment, such as Profiling, require data to be reliably gathered in a form that can be consistently interpreted over time. This approach is best utilised in Apprenticeship programs and reduces assessment</w:t>
            </w:r>
            <w:r w:rsidRPr="0010699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06999">
              <w:t>tency in a realistically simulated work environment. It is recognised that, in some circumstances, assessment in part or full can occur outside the workplace. However, it must be in accord with industry and regulatory policy in this regard.</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Methods chose</w:t>
            </w:r>
            <w:r w:rsidRPr="00106999">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106999">
              <w:t>required and the critical nature of the competencies being assessed.</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The critical safety nature of working with electricity, electrical equipment, gas or any other hazardous substance/material carries risk in deeming a person competent. Hence, sources of</w:t>
            </w:r>
            <w:r w:rsidRPr="00106999">
              <w:t xml:space="preserve"> evidence need to be ‘rich’ in nature so as to minimise error in judgment.</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Activities associated with normal every day work have a bearing on the decision as to how much and how detailed the data gathered will contribute to its ‘richness’. Some skills ar</w:t>
            </w:r>
            <w:r w:rsidRPr="00106999">
              <w:t>e more critical to safety and operational requirements while the same skills may be more or less frequently practised. These points are raised for the assessors to consider when choosing an assessment method and developing assessment instruments. Sample as</w:t>
            </w:r>
            <w:r w:rsidRPr="00106999">
              <w:t>sessment instruments are included in the Assessment Guidelines of this Training Package.</w:t>
            </w:r>
          </w:p>
        </w:tc>
      </w:tr>
    </w:tbl>
    <w:p w:rsidR="00000000" w:rsidRPr="00106999" w:rsidP="00106999">
      <w:pPr>
        <w:pStyle w:val="BodyText"/>
      </w:pPr>
    </w:p>
    <w:tbl>
      <w:tblPr>
        <w:tblW w:w="0" w:type="auto"/>
        <w:tblLayout w:type="fixed"/>
        <w:tblCellMar>
          <w:left w:w="62" w:type="dxa"/>
          <w:right w:w="62" w:type="dxa"/>
        </w:tblCellMar>
        <w:tblLook w:val="0000"/>
      </w:tblPr>
      <w:tblGrid>
        <w:gridCol w:w="1766"/>
        <w:gridCol w:w="34"/>
        <w:gridCol w:w="900"/>
        <w:gridCol w:w="450"/>
        <w:gridCol w:w="5220"/>
      </w:tblGrid>
      <w:tr w:rsidTr="0010484C">
        <w:tblPrEx>
          <w:tblW w:w="0" w:type="auto"/>
          <w:tblLayout w:type="fixed"/>
          <w:tblCellMar>
            <w:left w:w="62" w:type="dxa"/>
            <w:right w:w="62" w:type="dxa"/>
          </w:tblCellMar>
          <w:tblLook w:val="0000"/>
        </w:tblPrEx>
        <w:trPr>
          <w:trHeight w:val="1385"/>
        </w:trPr>
        <w:tc>
          <w:tcPr>
            <w:tcW w:w="176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Critical aspects of evidence required to demonstrate competency in this unit</w:t>
            </w: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8.2)</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Before the critical aspects of evidence are considered all prerequisites shall be met.</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Evidence for competence in this unit shall be considered holistically. Each element and associated Performance Criteria shall be demonstrated on at least two occasio</w:t>
            </w:r>
            <w:r w:rsidRPr="00106999">
              <w:t xml:space="preserve">ns in accordance with the ‘Assessment Guidelines — UEG11’. Evidence shall also comprise: </w:t>
            </w:r>
          </w:p>
        </w:tc>
      </w:tr>
      <w:tr w:rsidTr="0010484C">
        <w:tblPrEx>
          <w:tblW w:w="0" w:type="auto"/>
          <w:tblLayout w:type="fixed"/>
          <w:tblCellMar>
            <w:left w:w="62" w:type="dxa"/>
            <w:right w:w="62" w:type="dxa"/>
          </w:tblCellMar>
          <w:tblLook w:val="0000"/>
        </w:tblPrEx>
        <w:trPr>
          <w:trHeight w:val="1084"/>
        </w:trPr>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 xml:space="preserve">A representative body of Performance Criteria demonstrated within the timeframes typically expected of the discipline, work function and industrial environment. </w:t>
            </w:r>
            <w:r w:rsidRPr="00106999">
              <w:t>In particular this shall incorporate evidence that shows a candidate is able to:</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ListBullet2"/>
              <w:rPr>
                <w:lang w:val="en-NZ"/>
              </w:rPr>
            </w:pPr>
            <w:r w:rsidRPr="00106999">
              <w:t>Implement Occupational Health and Safety workplace procedures and practices including the use of risk control measures as specified in the Performance Criteria and range</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ListBullet2"/>
              <w:rPr>
                <w:lang w:val="en-NZ"/>
              </w:rPr>
            </w:pPr>
            <w:r w:rsidRPr="00106999">
              <w:t>Apply sustainable energy principles and practices as specified in the Performance Criteria and range</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ListBullet2"/>
              <w:rPr>
                <w:lang w:val="en-NZ"/>
              </w:rPr>
            </w:pPr>
            <w:r w:rsidRPr="00106999">
              <w:t>Demonstrate an understanding of the required skills and  knowledge  as described in this unit to such an extent that the learner’</w:t>
            </w:r>
            <w:r w:rsidRPr="00106999">
              <w:t>s performance outcome is reported in accordance with the preferred approach; namely a percentile graded result, where required by the regulated environment</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ListBullet2"/>
              <w:rPr>
                <w:lang w:val="en-NZ"/>
              </w:rPr>
            </w:pPr>
            <w:r w:rsidRPr="00106999">
              <w:t>Demonstrate an appropriate level of skills enabling employment</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P="00106999">
            <w:pPr>
              <w:pStyle w:val="ListBullet2"/>
              <w:rPr>
                <w:lang w:val="en-NZ"/>
              </w:rPr>
            </w:pPr>
            <w:r w:rsidRPr="00106999">
              <w:t>Conduct work observing the relevant Anti-discrimination legislation, regulations, polices and workplace procedures</w:t>
            </w:r>
          </w:p>
        </w:tc>
      </w:tr>
      <w:tr w:rsidTr="001048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gridSpan w:val="4"/>
            <w:tcBorders>
              <w:top w:val="nil"/>
              <w:left w:val="nil"/>
              <w:bottom w:val="nil"/>
              <w:right w:val="nil"/>
            </w:tcBorders>
            <w:tcMar>
              <w:top w:w="0" w:type="dxa"/>
              <w:left w:w="62" w:type="dxa"/>
              <w:bottom w:w="0" w:type="dxa"/>
              <w:right w:w="62" w:type="dxa"/>
            </w:tcMar>
          </w:tcPr>
          <w:p w:rsidR="00000000" w:rsidRPr="00106999" w:rsidP="00106999">
            <w:pPr>
              <w:pStyle w:val="ListBullet"/>
            </w:pPr>
            <w:r w:rsidRPr="00106999">
              <w:t xml:space="preserve">Demonstrate performance across a representative range of contexts from the prescribed items below: </w:t>
            </w:r>
          </w:p>
          <w:p w:rsidR="00000000" w:rsidP="00106999">
            <w:pPr>
              <w:pStyle w:val="ListBullet2"/>
              <w:rPr>
                <w:lang w:val="en-NZ"/>
              </w:rPr>
            </w:pPr>
            <w:r w:rsidRPr="00106999">
              <w:t>Construct and lay steel gas distribution mains in accordance with relevant legislation, code, regulations and procedures as described in 9.) Range Statement and including:</w:t>
            </w:r>
          </w:p>
        </w:tc>
      </w:tr>
      <w:tr w:rsidTr="0010484C">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A.</w:t>
            </w:r>
          </w:p>
        </w:tc>
        <w:tc>
          <w:tcPr>
            <w:tcW w:w="522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Identifying and interpreting co</w:t>
            </w:r>
            <w:r w:rsidRPr="00106999">
              <w:t>rrectly drawings, diagrams, schedules, procedures and manuals relevant to the work to be undertaken.</w:t>
            </w:r>
          </w:p>
        </w:tc>
      </w:tr>
      <w:tr w:rsidTr="0010484C">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B.</w:t>
            </w:r>
          </w:p>
        </w:tc>
        <w:tc>
          <w:tcPr>
            <w:tcW w:w="522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Selecting correct materials, equipment, tools, personal protection equipment and measurement devices </w:t>
            </w:r>
          </w:p>
        </w:tc>
      </w:tr>
      <w:tr w:rsidTr="0010484C">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C.</w:t>
            </w:r>
          </w:p>
        </w:tc>
        <w:tc>
          <w:tcPr>
            <w:tcW w:w="522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Cutting, joining, laying, covering and co</w:t>
            </w:r>
            <w:r w:rsidRPr="00106999">
              <w:t>nnecting Steel gas distribution pipelines in accordance with requirements</w:t>
            </w:r>
          </w:p>
        </w:tc>
      </w:tr>
      <w:tr w:rsidTr="0010484C">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D.</w:t>
            </w:r>
          </w:p>
        </w:tc>
        <w:tc>
          <w:tcPr>
            <w:tcW w:w="522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Isolating, venting, purging and testing for soundness and leaks, commissioning and making safe gas services</w:t>
            </w:r>
          </w:p>
        </w:tc>
      </w:tr>
      <w:tr w:rsidTr="0010484C">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E.</w:t>
            </w:r>
          </w:p>
        </w:tc>
        <w:tc>
          <w:tcPr>
            <w:tcW w:w="522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Completing required documentation and reporting.</w:t>
            </w:r>
          </w:p>
        </w:tc>
      </w:tr>
      <w:tr w:rsidTr="0010484C">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F.</w:t>
            </w:r>
          </w:p>
        </w:tc>
        <w:tc>
          <w:tcPr>
            <w:tcW w:w="522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Dealing with unplanned events by drawing on essential knowledge and skills, procedures/ protocols to provide appropriate solutions incorporated in the holistic assessment with the above listed items, for example</w:t>
            </w:r>
          </w:p>
        </w:tc>
      </w:tr>
    </w:tbl>
    <w:p w:rsidR="00000000" w:rsidRPr="00106999" w:rsidP="00106999">
      <w:pPr>
        <w:pStyle w:val="BodyText"/>
      </w:pPr>
    </w:p>
    <w:tbl>
      <w:tblPr>
        <w:tblW w:w="0" w:type="auto"/>
        <w:tblLayout w:type="fixed"/>
        <w:tblCellMar>
          <w:left w:w="62" w:type="dxa"/>
          <w:right w:w="62" w:type="dxa"/>
        </w:tblCellMar>
        <w:tblLook w:val="0000"/>
      </w:tblPr>
      <w:tblGrid>
        <w:gridCol w:w="1766"/>
        <w:gridCol w:w="6604"/>
      </w:tblGrid>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Context of and specific resources for asse</w:t>
            </w:r>
            <w:r w:rsidRPr="00106999">
              <w:rPr>
                <w:rStyle w:val="SpecialBold"/>
              </w:rPr>
              <w:t>ssment</w:t>
            </w:r>
          </w:p>
        </w:tc>
        <w:tc>
          <w:tcPr>
            <w:tcW w:w="660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8.3)</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This unit should be assessed as it relates to normal work practice using procedures, information and resources typical of a workplace. This should include:</w:t>
            </w:r>
          </w:p>
        </w:tc>
      </w:tr>
      <w:tr w:rsidTr="00106999">
        <w:tblPrEx>
          <w:tblW w:w="0" w:type="auto"/>
          <w:tblLayout w:type="fixed"/>
          <w:tblCellMar>
            <w:left w:w="62" w:type="dxa"/>
            <w:right w:w="62" w:type="dxa"/>
          </w:tblCellMar>
          <w:tblLook w:val="0000"/>
        </w:tblPrEx>
        <w:trPr>
          <w:trHeight w:val="481"/>
        </w:trPr>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WHS/OHS policy and work procedures and instructions.</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Suitable work environment, facilities, equipment and materials to undertake actual work as prescribed by this Unit.</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Appropriate environmental regulation and work practices.</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Appropriate organisational requirements.</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Appropriate work environment, equipment and tools.</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In addition to the resources listed above, in Context of and specific resources for assessment, evidence should show demonstrated competency in constructing and laying a distribution gas service to a met</w:t>
            </w:r>
            <w:r w:rsidRPr="00106999">
              <w:t>al main.</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Assessment of this competency must also be undertaken in either an actual workplace or under a simulated work environment. Assessment must also integrate the key competencies.</w:t>
            </w:r>
          </w:p>
        </w:tc>
      </w:tr>
    </w:tbl>
    <w:p w:rsidR="00000000" w:rsidRPr="00106999" w:rsidP="00106999">
      <w:pPr>
        <w:pStyle w:val="BodyText"/>
      </w:pPr>
    </w:p>
    <w:tbl>
      <w:tblPr>
        <w:tblW w:w="0" w:type="auto"/>
        <w:tblLayout w:type="fixed"/>
        <w:tblCellMar>
          <w:left w:w="62" w:type="dxa"/>
          <w:right w:w="62" w:type="dxa"/>
        </w:tblCellMar>
        <w:tblLook w:val="0000"/>
      </w:tblPr>
      <w:tblGrid>
        <w:gridCol w:w="1766"/>
        <w:gridCol w:w="6570"/>
      </w:tblGrid>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8.4)</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This Unit shall be assessed by methods given in Volume 1 Part 3 ‘Assessment Guidelines’.</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Note: Competent performance with inherent safe working practices is expected in the Industry to which this Unit applies. This requires that the specified required Sk</w:t>
            </w:r>
            <w:r w:rsidRPr="00106999">
              <w:t>ills and Knowledge are assessed in a structured environment which is primarily intended for learning/assessment and incorporates all necessary equipment and facilities for learners to develop and demonstrate the required Skills and Knowledge described in t</w:t>
            </w:r>
            <w:r w:rsidRPr="00106999">
              <w:t>his unit.</w:t>
            </w:r>
          </w:p>
        </w:tc>
      </w:tr>
    </w:tbl>
    <w:p w:rsidR="00000000" w:rsidRPr="00106999" w:rsidP="00106999">
      <w:pPr>
        <w:pStyle w:val="BodyText"/>
      </w:pPr>
    </w:p>
    <w:tbl>
      <w:tblPr>
        <w:tblW w:w="0" w:type="auto"/>
        <w:tblLayout w:type="fixed"/>
        <w:tblCellMar>
          <w:left w:w="62" w:type="dxa"/>
          <w:right w:w="62" w:type="dxa"/>
        </w:tblCellMar>
        <w:tblLook w:val="0000"/>
      </w:tblPr>
      <w:tblGrid>
        <w:gridCol w:w="1766"/>
        <w:gridCol w:w="1654"/>
        <w:gridCol w:w="4950"/>
      </w:tblGrid>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rPr>
                <w:rStyle w:val="SpecialBold"/>
              </w:rPr>
              <w:t>Concurrent assessment and relationship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8.5)</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There are no recommended concurrent assessments with this unit, however in some cases efficiencies may be gained in terms of learning and assessment effort being concurrently manag</w:t>
            </w:r>
            <w:r w:rsidRPr="00106999">
              <w:t>ed with allied Units where listed.</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UEGNSG141A</w:t>
            </w:r>
          </w:p>
        </w:tc>
        <w:tc>
          <w:tcPr>
            <w:tcW w:w="49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Apply Workplace Health and Safety regulations codes and practices in the gas industry</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UEGNSG132A</w:t>
            </w:r>
          </w:p>
        </w:tc>
        <w:tc>
          <w:tcPr>
            <w:tcW w:w="49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Carry out basic work activities in a utilities industry work environment</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UEGNSG133A</w:t>
            </w:r>
          </w:p>
        </w:tc>
        <w:tc>
          <w:tcPr>
            <w:tcW w:w="49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 xml:space="preserve">Comply with environmental policies and </w:t>
            </w:r>
          </w:p>
        </w:tc>
      </w:tr>
      <w:tr w:rsidTr="00106999">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UEGNSG134A</w:t>
            </w:r>
          </w:p>
        </w:tc>
        <w:tc>
          <w:tcPr>
            <w:tcW w:w="4950"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Establish a utilities infrastructure work site</w:t>
            </w:r>
          </w:p>
        </w:tc>
      </w:tr>
      <w:tr w:rsidTr="00106999">
        <w:tblPrEx>
          <w:tblW w:w="0" w:type="auto"/>
          <w:tblLayout w:type="fixed"/>
          <w:tblCellMar>
            <w:left w:w="62" w:type="dxa"/>
            <w:right w:w="62" w:type="dxa"/>
          </w:tblCellMar>
          <w:tblLook w:val="0000"/>
        </w:tblPrEx>
        <w:trPr>
          <w:trHeight w:val="36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4"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UEGNSG219A</w:t>
            </w:r>
          </w:p>
        </w:tc>
        <w:tc>
          <w:tcPr>
            <w:tcW w:w="4950" w:type="dxa"/>
            <w:tcBorders>
              <w:top w:val="nil"/>
              <w:left w:val="nil"/>
              <w:bottom w:val="nil"/>
              <w:right w:val="nil"/>
            </w:tcBorders>
            <w:tcMar>
              <w:top w:w="0" w:type="dxa"/>
              <w:left w:w="62" w:type="dxa"/>
              <w:bottom w:w="0" w:type="dxa"/>
              <w:right w:w="62" w:type="dxa"/>
            </w:tcMar>
          </w:tcPr>
          <w:p w:rsidR="00000000" w:rsidRPr="00106999" w:rsidP="00106999">
            <w:pPr>
              <w:pStyle w:val="BodyText"/>
            </w:pPr>
            <w:r w:rsidRPr="00106999">
              <w:t>Conduct excavations in the gas industry</w:t>
            </w:r>
          </w:p>
        </w:tc>
      </w:tr>
    </w:tbl>
    <w:p w:rsidR="0010484C" w:rsidP="00106999">
      <w:pPr>
        <w:pStyle w:val="BodyText"/>
      </w:pPr>
    </w:p>
    <w:p w:rsidR="0010484C" w:rsidP="00106999">
      <w:pPr>
        <w:pStyle w:val="BodyText"/>
      </w:pPr>
    </w:p>
    <w:p w:rsidR="00000000" w:rsidRPr="00106999" w:rsidP="00106999">
      <w:pPr>
        <w:pStyle w:val="Heading1"/>
      </w:pPr>
      <w:bookmarkStart w:id="11" w:name="O_582233"/>
      <w:bookmarkEnd w:id="11"/>
      <w:r w:rsidRPr="00106999">
        <w:t>Range Statement</w:t>
      </w:r>
    </w:p>
    <w:tbl>
      <w:tblPr>
        <w:tblW w:w="0" w:type="auto"/>
        <w:tblLayout w:type="fixed"/>
        <w:tblCellMar>
          <w:left w:w="62" w:type="dxa"/>
          <w:right w:w="62" w:type="dxa"/>
        </w:tblCellMar>
        <w:tblLook w:val="0000"/>
      </w:tblPr>
      <w:tblGrid>
        <w:gridCol w:w="8336"/>
      </w:tblGrid>
      <w:tr w:rsidTr="00106999">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RANGE STATEMENT</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rPr>
                <w:rStyle w:val="SpecialBold"/>
              </w:rPr>
              <w:t xml:space="preserve">9) </w:t>
            </w:r>
            <w:r w:rsidRPr="00106999">
              <w:rPr>
                <w:rStyle w:val="Emphasis"/>
              </w:rPr>
              <w:t>This relates to the com</w:t>
            </w:r>
            <w:r w:rsidRPr="00106999">
              <w:rPr>
                <w:rStyle w:val="Emphasis"/>
              </w:rPr>
              <w:t>petency standard unit as a whole providing the range of contexts and conditions to which the Performance Criteria apply. It allows for different work environments and situations that will affect performance.</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This unit shall be demonstrated in relation con</w:t>
            </w:r>
            <w:r w:rsidRPr="00106999">
              <w:t>structing and laying steel gas distribution mains, in accordance with relevant legislation, code, regulations and procedures. This includes This includes laying and cutting pipes, joining pipes and fittings and the installation of the meter connection to t</w:t>
            </w:r>
            <w:r w:rsidRPr="00106999">
              <w:t>he service riser.</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BodyText"/>
              <w:rPr>
                <w:lang w:val="en-NZ"/>
              </w:rPr>
            </w:pPr>
            <w:r w:rsidRPr="00106999">
              <w:t>The following constants and variables included in the element/Performance Criteria in this unit are fully described in the Definitions Section of this volume and form an integral part of the Range Statement of this unit:</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Services</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Appropriate persons</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 xml:space="preserve">Materials </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Tools and equipment</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Safe working procedures</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106999">
            <w:pPr>
              <w:pStyle w:val="ListBullet"/>
              <w:rPr>
                <w:lang w:val="en-NZ"/>
              </w:rPr>
            </w:pPr>
            <w:r w:rsidRPr="00106999">
              <w:t xml:space="preserve">Legislative requirements </w:t>
            </w:r>
          </w:p>
        </w:tc>
      </w:tr>
      <w:tr w:rsidTr="00106999">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106999" w:rsidP="00106999">
            <w:pPr>
              <w:pStyle w:val="ListBullet"/>
            </w:pPr>
            <w:r w:rsidRPr="00106999">
              <w:t>Standards</w:t>
            </w:r>
          </w:p>
        </w:tc>
      </w:tr>
    </w:tbl>
    <w:p w:rsidR="0010484C" w:rsidP="00106999">
      <w:pPr>
        <w:pStyle w:val="BodyText"/>
      </w:pPr>
    </w:p>
    <w:p w:rsidR="0010484C" w:rsidP="00106999">
      <w:pPr>
        <w:pStyle w:val="BodyText"/>
      </w:pPr>
    </w:p>
    <w:p w:rsidR="00000000" w:rsidRPr="00106999" w:rsidP="00106999">
      <w:pPr>
        <w:pStyle w:val="Heading1"/>
      </w:pPr>
      <w:bookmarkStart w:id="12" w:name="O_582234"/>
      <w:bookmarkEnd w:id="12"/>
      <w:r w:rsidRPr="00106999">
        <w:t>Unit Sector(s)</w:t>
      </w:r>
    </w:p>
    <w:p w:rsidR="00000000" w:rsidRPr="00106999" w:rsidP="00106999">
      <w:pPr>
        <w:pStyle w:val="BodyText"/>
      </w:pPr>
      <w:r w:rsidRPr="00106999">
        <w:tab/>
        <w:t>Not applicable.</w:t>
      </w:r>
    </w:p>
    <w:p w:rsidR="00000000" w:rsidRPr="00106999" w:rsidP="00106999">
      <w:pPr>
        <w:pStyle w:val="AllowPageBreak"/>
      </w:pPr>
    </w:p>
    <w:p w:rsidR="00000000" w:rsidRPr="00106999" w:rsidP="00106999">
      <w:pPr>
        <w:pStyle w:val="Heading1"/>
      </w:pPr>
      <w:bookmarkStart w:id="13" w:name="O_582235"/>
      <w:bookmarkEnd w:id="13"/>
      <w:r w:rsidRPr="00106999">
        <w:t>Competency Field</w:t>
      </w:r>
    </w:p>
    <w:tbl>
      <w:tblPr>
        <w:tblW w:w="0" w:type="auto"/>
        <w:tblLayout w:type="fixed"/>
        <w:tblCellMar>
          <w:left w:w="62" w:type="dxa"/>
          <w:right w:w="62" w:type="dxa"/>
        </w:tblCellMar>
        <w:tblLook w:val="0000"/>
      </w:tblPr>
      <w:tblGrid>
        <w:gridCol w:w="2638"/>
        <w:gridCol w:w="5760"/>
      </w:tblGrid>
      <w:tr w:rsidTr="00106999">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106999">
            <w:pPr>
              <w:pStyle w:val="Heading4"/>
              <w:rPr>
                <w:lang w:val="en-NZ"/>
              </w:rPr>
            </w:pPr>
            <w:r w:rsidRPr="00106999">
              <w:t>Competency Field</w:t>
            </w:r>
          </w:p>
        </w:tc>
        <w:tc>
          <w:tcPr>
            <w:tcW w:w="5760" w:type="dxa"/>
            <w:tcBorders>
              <w:top w:val="nil"/>
              <w:left w:val="nil"/>
              <w:bottom w:val="nil"/>
              <w:right w:val="nil"/>
            </w:tcBorders>
            <w:tcMar>
              <w:top w:w="0" w:type="dxa"/>
              <w:left w:w="62" w:type="dxa"/>
              <w:bottom w:w="0" w:type="dxa"/>
              <w:right w:w="62" w:type="dxa"/>
            </w:tcMar>
          </w:tcPr>
          <w:p w:rsidR="00000000" w:rsidP="00106999">
            <w:pPr>
              <w:pStyle w:val="Heading4"/>
              <w:rPr>
                <w:lang w:val="en-NZ"/>
              </w:rPr>
            </w:pPr>
            <w:r w:rsidRPr="00106999">
              <w:t xml:space="preserve">11) </w:t>
            </w:r>
          </w:p>
        </w:tc>
      </w:tr>
      <w:tr w:rsidTr="0010699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106999" w:rsidP="00106999">
            <w:r w:rsidRPr="00106999">
              <w:t>Distribution discipline.</w:t>
            </w:r>
          </w:p>
        </w:tc>
      </w:tr>
    </w:tbl>
    <w:p w:rsidR="00000000" w:rsidRPr="00106999" w:rsidP="00106999"/>
    <w:p w:rsidR="00000000" w:rsidRPr="00106999" w:rsidP="00106999"/>
    <w:sectPr w:rsidSect="00106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99" w:rsidRPr="0010484C" w:rsidP="00104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4C" w:rsidP="00106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0484C" w:rsidP="0010699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0484C" w:rsidP="00106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99" w:rsidRPr="0010484C" w:rsidP="001048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4C" w:rsidRPr="002D2AF8" w:rsidP="00106999">
    <w:pPr>
      <w:pStyle w:val="Header"/>
      <w:framePr w:wrap="around"/>
    </w:pPr>
    <w:r>
      <w:fldChar w:fldCharType="begin"/>
    </w:r>
    <w:r>
      <w:instrText xml:space="preserve"> TITLE   \* MERGEFORMAT </w:instrText>
    </w:r>
    <w:r>
      <w:fldChar w:fldCharType="separate"/>
    </w:r>
    <w:r>
      <w:t>UEGNSG223A Construct and lay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0484C" w:rsidP="00106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20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9AD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67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999"/>
    <w:pPr>
      <w:spacing w:before="360" w:after="60"/>
      <w:outlineLvl w:val="0"/>
    </w:pPr>
    <w:rPr>
      <w:sz w:val="32"/>
    </w:rPr>
  </w:style>
  <w:style w:type="paragraph" w:styleId="Heading2">
    <w:name w:val="heading 2"/>
    <w:basedOn w:val="HeadingBase"/>
    <w:next w:val="BodyText"/>
    <w:link w:val="Heading2Char"/>
    <w:qFormat/>
    <w:rsid w:val="00106999"/>
    <w:pPr>
      <w:keepLines/>
      <w:spacing w:before="240" w:after="120"/>
      <w:outlineLvl w:val="1"/>
    </w:pPr>
    <w:rPr>
      <w:sz w:val="28"/>
      <w:szCs w:val="40"/>
    </w:rPr>
  </w:style>
  <w:style w:type="paragraph" w:styleId="Heading3">
    <w:name w:val="heading 3"/>
    <w:basedOn w:val="HeadingBase"/>
    <w:next w:val="BodyText"/>
    <w:link w:val="Heading3Char"/>
    <w:qFormat/>
    <w:rsid w:val="00106999"/>
    <w:pPr>
      <w:spacing w:before="180" w:after="120"/>
      <w:outlineLvl w:val="2"/>
    </w:pPr>
    <w:rPr>
      <w:spacing w:val="-10"/>
      <w:kern w:val="32"/>
    </w:rPr>
  </w:style>
  <w:style w:type="paragraph" w:styleId="Heading4">
    <w:name w:val="heading 4"/>
    <w:basedOn w:val="HeadingBase"/>
    <w:next w:val="BodyText"/>
    <w:link w:val="Heading4Char"/>
    <w:qFormat/>
    <w:rsid w:val="00106999"/>
    <w:pPr>
      <w:spacing w:before="160" w:after="120"/>
      <w:outlineLvl w:val="3"/>
    </w:pPr>
    <w:rPr>
      <w:sz w:val="22"/>
    </w:rPr>
  </w:style>
  <w:style w:type="paragraph" w:styleId="Heading5">
    <w:name w:val="heading 5"/>
    <w:basedOn w:val="HeadingBase"/>
    <w:next w:val="Normal"/>
    <w:link w:val="Heading5Char"/>
    <w:qFormat/>
    <w:rsid w:val="00106999"/>
    <w:pPr>
      <w:spacing w:before="80"/>
      <w:outlineLvl w:val="4"/>
    </w:pPr>
    <w:rPr>
      <w:color w:val="918585"/>
      <w:sz w:val="20"/>
    </w:rPr>
  </w:style>
  <w:style w:type="paragraph" w:styleId="Heading6">
    <w:name w:val="heading 6"/>
    <w:basedOn w:val="HeadingBase"/>
    <w:next w:val="Normal"/>
    <w:link w:val="Heading6Char"/>
    <w:qFormat/>
    <w:rsid w:val="00106999"/>
    <w:pPr>
      <w:spacing w:before="60"/>
      <w:outlineLvl w:val="5"/>
    </w:pPr>
    <w:rPr>
      <w:color w:val="918585"/>
      <w:sz w:val="20"/>
    </w:rPr>
  </w:style>
  <w:style w:type="paragraph" w:styleId="Heading7">
    <w:name w:val="heading 7"/>
    <w:basedOn w:val="Normal"/>
    <w:next w:val="Normal"/>
    <w:link w:val="Heading7Char"/>
    <w:qFormat/>
    <w:rsid w:val="00106999"/>
    <w:pPr>
      <w:ind w:left="720"/>
      <w:outlineLvl w:val="6"/>
    </w:pPr>
    <w:rPr>
      <w:i/>
    </w:rPr>
  </w:style>
  <w:style w:type="paragraph" w:styleId="Heading8">
    <w:name w:val="heading 8"/>
    <w:basedOn w:val="Normal"/>
    <w:next w:val="Normal"/>
    <w:link w:val="Heading8Char"/>
    <w:qFormat/>
    <w:rsid w:val="00106999"/>
    <w:pPr>
      <w:ind w:left="720"/>
      <w:outlineLvl w:val="7"/>
    </w:pPr>
    <w:rPr>
      <w:i/>
    </w:rPr>
  </w:style>
  <w:style w:type="paragraph" w:styleId="Heading9">
    <w:name w:val="heading 9"/>
    <w:basedOn w:val="Normal"/>
    <w:next w:val="Normal"/>
    <w:link w:val="Heading9Char"/>
    <w:qFormat/>
    <w:rsid w:val="00106999"/>
    <w:pPr>
      <w:ind w:left="720"/>
      <w:outlineLvl w:val="8"/>
    </w:pPr>
    <w:rPr>
      <w:i/>
    </w:rPr>
  </w:style>
  <w:style w:type="character" w:default="1" w:styleId="DefaultParagraphFont">
    <w:name w:val="Default Paragraph Font"/>
    <w:uiPriority w:val="1"/>
    <w:unhideWhenUsed/>
    <w:rsid w:val="00106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999"/>
  </w:style>
  <w:style w:type="character" w:customStyle="1" w:styleId="Heading1Char">
    <w:name w:val="Heading 1 Char"/>
    <w:basedOn w:val="DefaultParagraphFont"/>
    <w:link w:val="Heading1"/>
    <w:rsid w:val="001069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06999"/>
    <w:rPr>
      <w:rFonts w:ascii="Times New Roman" w:eastAsia="Times New Roman" w:hAnsi="Times New Roman" w:cs="Times New Roman"/>
      <w:b/>
      <w:szCs w:val="20"/>
      <w:lang w:eastAsia="en-US"/>
    </w:rPr>
  </w:style>
  <w:style w:type="paragraph" w:styleId="BodyText">
    <w:name w:val="Body Text"/>
    <w:basedOn w:val="Normal"/>
    <w:link w:val="BodyTextChar"/>
    <w:rsid w:val="001069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999"/>
    <w:rPr>
      <w:rFonts w:ascii="Times New Roman" w:eastAsia="Times New Roman" w:hAnsi="Times New Roman" w:cs="Times New Roman"/>
      <w:sz w:val="24"/>
      <w:lang w:eastAsia="en-US"/>
    </w:rPr>
  </w:style>
  <w:style w:type="paragraph" w:styleId="ListBullet">
    <w:name w:val="List Bullet"/>
    <w:basedOn w:val="List"/>
    <w:rsid w:val="00106999"/>
    <w:pPr>
      <w:numPr>
        <w:numId w:val="13"/>
      </w:numPr>
      <w:tabs>
        <w:tab w:val="clear" w:pos="340"/>
      </w:tabs>
      <w:spacing w:before="40" w:after="40"/>
    </w:pPr>
  </w:style>
  <w:style w:type="character" w:customStyle="1" w:styleId="SpecialBold">
    <w:name w:val="Special Bold"/>
    <w:basedOn w:val="DefaultParagraphFont"/>
    <w:rsid w:val="00106999"/>
    <w:rPr>
      <w:b/>
      <w:spacing w:val="0"/>
    </w:rPr>
  </w:style>
  <w:style w:type="paragraph" w:styleId="ListBullet2">
    <w:name w:val="List Bullet 2"/>
    <w:basedOn w:val="List2"/>
    <w:rsid w:val="00106999"/>
    <w:pPr>
      <w:numPr>
        <w:numId w:val="14"/>
      </w:numPr>
      <w:tabs>
        <w:tab w:val="clear" w:pos="680"/>
      </w:tabs>
    </w:pPr>
  </w:style>
  <w:style w:type="character" w:styleId="Emphasis">
    <w:name w:val="Emphasis"/>
    <w:basedOn w:val="DefaultParagraphFont"/>
    <w:qFormat/>
    <w:rsid w:val="00106999"/>
    <w:rPr>
      <w:i/>
    </w:rPr>
  </w:style>
  <w:style w:type="paragraph" w:customStyle="1" w:styleId="SuperHeading">
    <w:name w:val="SuperHeading"/>
    <w:basedOn w:val="Normal"/>
    <w:rsid w:val="00106999"/>
    <w:pPr>
      <w:spacing w:before="240" w:after="120"/>
      <w:outlineLvl w:val="0"/>
    </w:pPr>
    <w:rPr>
      <w:rFonts w:ascii="Times New Roman" w:hAnsi="Times New Roman"/>
      <w:b/>
      <w:sz w:val="32"/>
    </w:rPr>
  </w:style>
  <w:style w:type="paragraph" w:customStyle="1" w:styleId="AllowPageBreak">
    <w:name w:val="AllowPageBreak"/>
    <w:rsid w:val="00106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9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06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999"/>
    <w:rPr>
      <w:rFonts w:ascii="Courier New" w:eastAsia="Times New Roman" w:hAnsi="Courier New" w:cs="Times New Roman"/>
      <w:i/>
      <w:szCs w:val="20"/>
      <w:lang w:eastAsia="en-US"/>
    </w:rPr>
  </w:style>
  <w:style w:type="paragraph" w:customStyle="1" w:styleId="HeadingBase">
    <w:name w:val="Heading Base"/>
    <w:rsid w:val="00106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999"/>
    <w:pPr>
      <w:tabs>
        <w:tab w:val="right" w:leader="dot" w:pos="9072"/>
      </w:tabs>
      <w:ind w:left="567"/>
    </w:pPr>
    <w:rPr>
      <w:szCs w:val="22"/>
    </w:rPr>
  </w:style>
  <w:style w:type="paragraph" w:customStyle="1" w:styleId="TOCBase">
    <w:name w:val="TOC Base"/>
    <w:rsid w:val="00106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999"/>
    <w:pPr>
      <w:tabs>
        <w:tab w:val="right" w:leader="dot" w:pos="9072"/>
      </w:tabs>
      <w:spacing w:before="40" w:after="40"/>
      <w:ind w:left="284"/>
    </w:pPr>
    <w:rPr>
      <w:rFonts w:ascii="Times New Roman" w:hAnsi="Times New Roman"/>
    </w:rPr>
  </w:style>
  <w:style w:type="paragraph" w:styleId="TOC1">
    <w:name w:val="toc 1"/>
    <w:basedOn w:val="TOCBase"/>
    <w:next w:val="Normal"/>
    <w:rsid w:val="00106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999"/>
    <w:rPr>
      <w:rFonts w:ascii="Times New Roman" w:eastAsia="Times New Roman" w:hAnsi="Times New Roman" w:cs="Times New Roman"/>
      <w:sz w:val="16"/>
      <w:lang w:eastAsia="en-US"/>
    </w:rPr>
  </w:style>
  <w:style w:type="paragraph" w:styleId="Title">
    <w:name w:val="Title"/>
    <w:basedOn w:val="HeadingBase"/>
    <w:link w:val="TitleChar"/>
    <w:qFormat/>
    <w:rsid w:val="00106999"/>
    <w:pPr>
      <w:spacing w:before="5040"/>
      <w:jc w:val="center"/>
    </w:pPr>
    <w:rPr>
      <w:sz w:val="48"/>
      <w:szCs w:val="72"/>
      <w:lang w:val="en-US"/>
    </w:rPr>
  </w:style>
  <w:style w:type="character" w:customStyle="1" w:styleId="TitleChar">
    <w:name w:val="Title Char"/>
    <w:basedOn w:val="DefaultParagraphFont"/>
    <w:link w:val="Title"/>
    <w:rsid w:val="00106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999"/>
    <w:pPr>
      <w:tabs>
        <w:tab w:val="left" w:pos="3600"/>
        <w:tab w:val="left" w:pos="3958"/>
      </w:tabs>
    </w:pPr>
  </w:style>
  <w:style w:type="paragraph" w:styleId="List">
    <w:name w:val="List"/>
    <w:basedOn w:val="BodyText"/>
    <w:next w:val="BodyText"/>
    <w:rsid w:val="00106999"/>
    <w:pPr>
      <w:tabs>
        <w:tab w:val="left" w:pos="340"/>
      </w:tabs>
      <w:spacing w:before="60" w:after="60"/>
      <w:ind w:left="340" w:hanging="340"/>
    </w:pPr>
  </w:style>
  <w:style w:type="paragraph" w:customStyle="1" w:styleId="Note">
    <w:name w:val="Note"/>
    <w:basedOn w:val="BodyText"/>
    <w:rsid w:val="00106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999"/>
    <w:pPr>
      <w:framePr w:wrap="auto" w:hAnchor="text" w:y="6049"/>
    </w:pPr>
    <w:rPr>
      <w:color w:val="000000"/>
      <w:sz w:val="40"/>
    </w:rPr>
  </w:style>
  <w:style w:type="paragraph" w:customStyle="1" w:styleId="TOCTitle">
    <w:name w:val="TOCTitle"/>
    <w:basedOn w:val="Heading1"/>
    <w:rsid w:val="00106999"/>
    <w:pPr>
      <w:spacing w:after="240"/>
      <w:jc w:val="center"/>
      <w:outlineLvl w:val="9"/>
    </w:pPr>
    <w:rPr>
      <w:caps/>
    </w:rPr>
  </w:style>
  <w:style w:type="paragraph" w:customStyle="1" w:styleId="Version">
    <w:name w:val="Version"/>
    <w:rsid w:val="00106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999"/>
    <w:pPr>
      <w:keepNext w:val="0"/>
      <w:tabs>
        <w:tab w:val="right" w:pos="4176"/>
      </w:tabs>
      <w:ind w:left="198" w:hanging="198"/>
    </w:pPr>
    <w:rPr>
      <w:rFonts w:ascii="Garamond" w:hAnsi="Garamond"/>
    </w:rPr>
  </w:style>
  <w:style w:type="paragraph" w:styleId="IndexHeading">
    <w:name w:val="index heading"/>
    <w:basedOn w:val="Normal"/>
    <w:next w:val="Index1"/>
    <w:semiHidden/>
    <w:rsid w:val="00106999"/>
    <w:pPr>
      <w:spacing w:before="120" w:after="120"/>
    </w:pPr>
    <w:rPr>
      <w:rFonts w:ascii="Arial" w:hAnsi="Arial"/>
      <w:b/>
      <w:color w:val="918585"/>
      <w:sz w:val="24"/>
    </w:rPr>
  </w:style>
  <w:style w:type="paragraph" w:styleId="Header">
    <w:name w:val="header"/>
    <w:basedOn w:val="Normal"/>
    <w:link w:val="HeaderChar"/>
    <w:rsid w:val="00106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999"/>
    <w:rPr>
      <w:rFonts w:ascii="Times New Roman" w:eastAsia="Times New Roman" w:hAnsi="Times New Roman" w:cs="Times New Roman"/>
      <w:sz w:val="16"/>
      <w:szCs w:val="20"/>
      <w:lang w:val="en-GB" w:eastAsia="en-US"/>
    </w:rPr>
  </w:style>
  <w:style w:type="paragraph" w:customStyle="1" w:styleId="Chapter">
    <w:name w:val="Chapter"/>
    <w:basedOn w:val="Normal"/>
    <w:rsid w:val="00106999"/>
    <w:pPr>
      <w:spacing w:before="240"/>
    </w:pPr>
    <w:rPr>
      <w:rFonts w:ascii="Times New Roman" w:hAnsi="Times New Roman"/>
      <w:smallCaps/>
      <w:spacing w:val="80"/>
      <w:sz w:val="28"/>
    </w:rPr>
  </w:style>
  <w:style w:type="paragraph" w:customStyle="1" w:styleId="InChapter">
    <w:name w:val="InChapter"/>
    <w:basedOn w:val="Heading3"/>
    <w:rsid w:val="00106999"/>
    <w:pPr>
      <w:spacing w:after="240"/>
      <w:outlineLvl w:val="9"/>
    </w:pPr>
    <w:rPr>
      <w:noProof/>
    </w:rPr>
  </w:style>
  <w:style w:type="paragraph" w:styleId="Index2">
    <w:name w:val="index 2"/>
    <w:basedOn w:val="Normal"/>
    <w:next w:val="Normal"/>
    <w:semiHidden/>
    <w:rsid w:val="00106999"/>
    <w:pPr>
      <w:tabs>
        <w:tab w:val="right" w:pos="4176"/>
      </w:tabs>
      <w:ind w:left="568" w:hanging="284"/>
    </w:pPr>
    <w:rPr>
      <w:rFonts w:ascii="Garamond" w:hAnsi="Garamond"/>
    </w:rPr>
  </w:style>
  <w:style w:type="paragraph" w:customStyle="1" w:styleId="Byline">
    <w:name w:val="Byline"/>
    <w:rsid w:val="00106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999"/>
    <w:pPr>
      <w:tabs>
        <w:tab w:val="clear" w:pos="3600"/>
        <w:tab w:val="clear" w:pos="3958"/>
      </w:tabs>
      <w:jc w:val="right"/>
    </w:pPr>
  </w:style>
  <w:style w:type="paragraph" w:styleId="Caption">
    <w:name w:val="caption"/>
    <w:basedOn w:val="BodyText"/>
    <w:next w:val="Normal"/>
    <w:qFormat/>
    <w:rsid w:val="00106999"/>
    <w:pPr>
      <w:framePr w:w="2268" w:hSpace="181" w:vSpace="181" w:wrap="around" w:vAnchor="text" w:hAnchor="page" w:x="1135" w:y="285" w:anchorLock="1"/>
    </w:pPr>
    <w:rPr>
      <w:i/>
    </w:rPr>
  </w:style>
  <w:style w:type="paragraph" w:customStyle="1" w:styleId="MiniTOCTitle">
    <w:name w:val="MiniTOCTitle"/>
    <w:basedOn w:val="Heading4"/>
    <w:rsid w:val="00106999"/>
    <w:pPr>
      <w:spacing w:before="240"/>
      <w:outlineLvl w:val="9"/>
    </w:pPr>
    <w:rPr>
      <w:noProof/>
      <w:sz w:val="24"/>
    </w:rPr>
  </w:style>
  <w:style w:type="paragraph" w:customStyle="1" w:styleId="MiniTOCItem">
    <w:name w:val="MiniTOCItem"/>
    <w:basedOn w:val="ListBullet"/>
    <w:rsid w:val="00106999"/>
    <w:pPr>
      <w:numPr>
        <w:numId w:val="0"/>
      </w:numPr>
      <w:tabs>
        <w:tab w:val="right" w:leader="dot" w:pos="6521"/>
      </w:tabs>
      <w:spacing w:before="0" w:after="0"/>
    </w:pPr>
  </w:style>
  <w:style w:type="paragraph" w:customStyle="1" w:styleId="TOFTitle">
    <w:name w:val="TOFTitle"/>
    <w:basedOn w:val="TOCTitle"/>
    <w:rsid w:val="00106999"/>
  </w:style>
  <w:style w:type="paragraph" w:styleId="TableofFigures">
    <w:name w:val="table of figures"/>
    <w:basedOn w:val="Normal"/>
    <w:next w:val="Normal"/>
    <w:semiHidden/>
    <w:rsid w:val="00106999"/>
    <w:pPr>
      <w:tabs>
        <w:tab w:val="right" w:leader="dot" w:pos="9072"/>
      </w:tabs>
      <w:ind w:left="970" w:hanging="403"/>
    </w:pPr>
    <w:rPr>
      <w:rFonts w:ascii="Times New Roman" w:hAnsi="Times New Roman"/>
      <w:b/>
    </w:rPr>
  </w:style>
  <w:style w:type="paragraph" w:styleId="ListNumber">
    <w:name w:val="List Number"/>
    <w:basedOn w:val="List"/>
    <w:rsid w:val="00106999"/>
    <w:pPr>
      <w:numPr>
        <w:numId w:val="11"/>
      </w:numPr>
    </w:pPr>
  </w:style>
  <w:style w:type="character" w:customStyle="1" w:styleId="WingdingSymbols">
    <w:name w:val="Wingding Symbols"/>
    <w:rsid w:val="00106999"/>
    <w:rPr>
      <w:rFonts w:ascii="Wingdings" w:hAnsi="Wingdings"/>
    </w:rPr>
  </w:style>
  <w:style w:type="paragraph" w:customStyle="1" w:styleId="TableHeading">
    <w:name w:val="Table Heading"/>
    <w:basedOn w:val="HeadingBase"/>
    <w:rsid w:val="00106999"/>
    <w:pPr>
      <w:keepLines/>
      <w:pBdr>
        <w:bottom w:val="single" w:sz="6" w:space="1" w:color="918585"/>
      </w:pBdr>
      <w:spacing w:before="240"/>
    </w:pPr>
  </w:style>
  <w:style w:type="character" w:customStyle="1" w:styleId="HotSpot">
    <w:name w:val="HotSpot"/>
    <w:rsid w:val="00106999"/>
    <w:rPr>
      <w:color w:val="0033CC"/>
      <w:u w:val="none"/>
    </w:rPr>
  </w:style>
  <w:style w:type="paragraph" w:customStyle="1" w:styleId="BodyTextRight">
    <w:name w:val="Body Text Right"/>
    <w:basedOn w:val="BodyText"/>
    <w:rsid w:val="00106999"/>
    <w:pPr>
      <w:spacing w:before="0" w:after="0"/>
      <w:jc w:val="right"/>
    </w:pPr>
  </w:style>
  <w:style w:type="paragraph" w:styleId="Index3">
    <w:name w:val="index 3"/>
    <w:basedOn w:val="ListNumber2"/>
    <w:next w:val="Normal"/>
    <w:semiHidden/>
    <w:rsid w:val="00106999"/>
    <w:pPr>
      <w:numPr>
        <w:numId w:val="0"/>
      </w:numPr>
      <w:tabs>
        <w:tab w:val="right" w:leader="dot" w:pos="4176"/>
      </w:tabs>
    </w:pPr>
  </w:style>
  <w:style w:type="paragraph" w:styleId="ListNumber2">
    <w:name w:val="List Number 2"/>
    <w:basedOn w:val="List2"/>
    <w:rsid w:val="00106999"/>
    <w:pPr>
      <w:numPr>
        <w:numId w:val="10"/>
      </w:numPr>
      <w:tabs>
        <w:tab w:val="clear" w:pos="1060"/>
      </w:tabs>
    </w:pPr>
  </w:style>
  <w:style w:type="paragraph" w:customStyle="1" w:styleId="MarginNote">
    <w:name w:val="Margin Note"/>
    <w:basedOn w:val="BodyText"/>
    <w:rsid w:val="00106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999"/>
    <w:rPr>
      <w:sz w:val="32"/>
    </w:rPr>
  </w:style>
  <w:style w:type="paragraph" w:customStyle="1" w:styleId="HeadingProcedure">
    <w:name w:val="Heading Procedure"/>
    <w:basedOn w:val="HeadingBase"/>
    <w:next w:val="Normal"/>
    <w:rsid w:val="00106999"/>
    <w:pPr>
      <w:tabs>
        <w:tab w:val="left" w:pos="0"/>
      </w:tabs>
      <w:spacing w:before="120" w:after="60"/>
    </w:pPr>
    <w:rPr>
      <w:i/>
      <w:color w:val="918585"/>
      <w:sz w:val="22"/>
    </w:rPr>
  </w:style>
  <w:style w:type="paragraph" w:customStyle="1" w:styleId="TableBodyText">
    <w:name w:val="Table Body Text"/>
    <w:basedOn w:val="BodyText"/>
    <w:rsid w:val="00106999"/>
    <w:pPr>
      <w:spacing w:before="60" w:after="60"/>
    </w:pPr>
  </w:style>
  <w:style w:type="paragraph" w:styleId="ListContinue">
    <w:name w:val="List Continue"/>
    <w:basedOn w:val="List"/>
    <w:rsid w:val="00106999"/>
    <w:pPr>
      <w:ind w:firstLine="0"/>
    </w:pPr>
  </w:style>
  <w:style w:type="paragraph" w:customStyle="1" w:styleId="ListNote">
    <w:name w:val="List Note"/>
    <w:basedOn w:val="List"/>
    <w:rsid w:val="00106999"/>
    <w:pPr>
      <w:pBdr>
        <w:top w:val="single" w:sz="6" w:space="2" w:color="918585"/>
        <w:bottom w:val="single" w:sz="6" w:space="2" w:color="918585"/>
      </w:pBdr>
      <w:tabs>
        <w:tab w:val="left" w:pos="1021"/>
      </w:tabs>
      <w:ind w:firstLine="0"/>
    </w:pPr>
  </w:style>
  <w:style w:type="paragraph" w:customStyle="1" w:styleId="Warning">
    <w:name w:val="Warning"/>
    <w:basedOn w:val="BodyText"/>
    <w:rsid w:val="00106999"/>
    <w:pPr>
      <w:shd w:val="clear" w:color="auto" w:fill="D9D9D9"/>
      <w:tabs>
        <w:tab w:val="left" w:pos="992"/>
      </w:tabs>
      <w:ind w:left="119" w:right="119"/>
    </w:pPr>
    <w:rPr>
      <w:sz w:val="20"/>
    </w:rPr>
  </w:style>
  <w:style w:type="paragraph" w:customStyle="1" w:styleId="MarginIcons">
    <w:name w:val="Margin Icons"/>
    <w:basedOn w:val="BodyText"/>
    <w:rsid w:val="00106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999"/>
    <w:rPr>
      <w:rFonts w:ascii="Courier New" w:hAnsi="Courier New"/>
    </w:rPr>
  </w:style>
  <w:style w:type="paragraph" w:customStyle="1" w:styleId="NoteBullet">
    <w:name w:val="Note Bullet"/>
    <w:basedOn w:val="Note"/>
    <w:rsid w:val="00106999"/>
    <w:pPr>
      <w:tabs>
        <w:tab w:val="clear" w:pos="680"/>
      </w:tabs>
      <w:spacing w:before="60" w:after="60"/>
    </w:pPr>
  </w:style>
  <w:style w:type="paragraph" w:customStyle="1" w:styleId="SubHeading2">
    <w:name w:val="SubHeading2"/>
    <w:basedOn w:val="HeadingBase"/>
    <w:rsid w:val="00106999"/>
    <w:pPr>
      <w:spacing w:before="240" w:after="60"/>
    </w:pPr>
    <w:rPr>
      <w:sz w:val="20"/>
    </w:rPr>
  </w:style>
  <w:style w:type="paragraph" w:customStyle="1" w:styleId="SubHeading1">
    <w:name w:val="SubHeading1"/>
    <w:basedOn w:val="HeadingBase"/>
    <w:rsid w:val="00106999"/>
    <w:pPr>
      <w:spacing w:before="240" w:after="60"/>
    </w:pPr>
    <w:rPr>
      <w:color w:val="918585"/>
      <w:sz w:val="22"/>
    </w:rPr>
  </w:style>
  <w:style w:type="paragraph" w:customStyle="1" w:styleId="SideHeading">
    <w:name w:val="Side Heading"/>
    <w:basedOn w:val="HeadingBase"/>
    <w:rsid w:val="00106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999"/>
    <w:pPr>
      <w:numPr>
        <w:numId w:val="12"/>
      </w:numPr>
    </w:pPr>
  </w:style>
  <w:style w:type="paragraph" w:styleId="PlainText">
    <w:name w:val="Plain Text"/>
    <w:basedOn w:val="Normal"/>
    <w:link w:val="PlainTextChar"/>
    <w:rsid w:val="00106999"/>
    <w:rPr>
      <w:sz w:val="20"/>
    </w:rPr>
  </w:style>
  <w:style w:type="character" w:customStyle="1" w:styleId="PlainTextChar">
    <w:name w:val="Plain Text Char"/>
    <w:basedOn w:val="DefaultParagraphFont"/>
    <w:link w:val="PlainText"/>
    <w:rsid w:val="00106999"/>
    <w:rPr>
      <w:rFonts w:ascii="Courier New" w:eastAsia="Times New Roman" w:hAnsi="Courier New" w:cs="Times New Roman"/>
      <w:sz w:val="20"/>
      <w:szCs w:val="20"/>
      <w:lang w:eastAsia="en-US"/>
    </w:rPr>
  </w:style>
  <w:style w:type="character" w:customStyle="1" w:styleId="MenuOption">
    <w:name w:val="Menu Option"/>
    <w:basedOn w:val="DefaultParagraphFont"/>
    <w:rsid w:val="00106999"/>
    <w:rPr>
      <w:b/>
      <w:smallCaps/>
    </w:rPr>
  </w:style>
  <w:style w:type="paragraph" w:customStyle="1" w:styleId="TableListNumber">
    <w:name w:val="Table List Number"/>
    <w:basedOn w:val="ListNumber"/>
    <w:rsid w:val="00106999"/>
    <w:pPr>
      <w:numPr>
        <w:numId w:val="0"/>
      </w:numPr>
    </w:pPr>
  </w:style>
  <w:style w:type="paragraph" w:styleId="TOC4">
    <w:name w:val="toc 4"/>
    <w:basedOn w:val="TOCBase"/>
    <w:next w:val="Normal"/>
    <w:semiHidden/>
    <w:rsid w:val="00106999"/>
    <w:pPr>
      <w:tabs>
        <w:tab w:val="right" w:leader="dot" w:pos="9071"/>
      </w:tabs>
      <w:ind w:left="1701"/>
    </w:pPr>
  </w:style>
  <w:style w:type="paragraph" w:customStyle="1" w:styleId="ListAlpha">
    <w:name w:val="List Alpha"/>
    <w:basedOn w:val="List"/>
    <w:rsid w:val="00106999"/>
    <w:pPr>
      <w:numPr>
        <w:numId w:val="9"/>
      </w:numPr>
    </w:pPr>
  </w:style>
  <w:style w:type="paragraph" w:customStyle="1" w:styleId="ListAlpha2">
    <w:name w:val="List Alpha 2"/>
    <w:basedOn w:val="List2"/>
    <w:rsid w:val="00106999"/>
    <w:pPr>
      <w:numPr>
        <w:numId w:val="8"/>
      </w:numPr>
    </w:pPr>
  </w:style>
  <w:style w:type="paragraph" w:styleId="List2">
    <w:name w:val="List 2"/>
    <w:basedOn w:val="BodyText"/>
    <w:rsid w:val="00106999"/>
    <w:pPr>
      <w:tabs>
        <w:tab w:val="left" w:pos="680"/>
      </w:tabs>
      <w:spacing w:before="60" w:after="60"/>
      <w:ind w:left="680" w:hanging="340"/>
    </w:pPr>
  </w:style>
  <w:style w:type="paragraph" w:styleId="List3">
    <w:name w:val="List 3"/>
    <w:basedOn w:val="BodyText"/>
    <w:rsid w:val="00106999"/>
    <w:pPr>
      <w:tabs>
        <w:tab w:val="left" w:pos="1021"/>
      </w:tabs>
      <w:spacing w:before="60" w:after="60"/>
      <w:ind w:left="1020" w:hanging="340"/>
    </w:pPr>
  </w:style>
  <w:style w:type="paragraph" w:styleId="List4">
    <w:name w:val="List 4"/>
    <w:basedOn w:val="BodyText"/>
    <w:rsid w:val="00106999"/>
    <w:pPr>
      <w:tabs>
        <w:tab w:val="left" w:pos="1361"/>
      </w:tabs>
      <w:spacing w:before="60" w:after="60"/>
      <w:ind w:left="1361" w:hanging="340"/>
    </w:pPr>
  </w:style>
  <w:style w:type="paragraph" w:styleId="List5">
    <w:name w:val="List 5"/>
    <w:basedOn w:val="BodyText"/>
    <w:rsid w:val="00106999"/>
    <w:pPr>
      <w:tabs>
        <w:tab w:val="left" w:pos="1701"/>
      </w:tabs>
      <w:spacing w:before="60" w:after="60"/>
      <w:ind w:left="1701" w:hanging="340"/>
    </w:pPr>
  </w:style>
  <w:style w:type="paragraph" w:styleId="ListBullet3">
    <w:name w:val="List Bullet 3"/>
    <w:basedOn w:val="List3"/>
    <w:rsid w:val="00106999"/>
    <w:pPr>
      <w:numPr>
        <w:numId w:val="15"/>
      </w:numPr>
      <w:tabs>
        <w:tab w:val="clear" w:pos="1021"/>
      </w:tabs>
      <w:ind w:left="1037" w:hanging="357"/>
    </w:pPr>
  </w:style>
  <w:style w:type="paragraph" w:styleId="ListBullet4">
    <w:name w:val="List Bullet 4"/>
    <w:basedOn w:val="List4"/>
    <w:rsid w:val="00106999"/>
    <w:pPr>
      <w:numPr>
        <w:numId w:val="3"/>
      </w:numPr>
    </w:pPr>
  </w:style>
  <w:style w:type="paragraph" w:styleId="ListBullet5">
    <w:name w:val="List Bullet 5"/>
    <w:basedOn w:val="List5"/>
    <w:rsid w:val="00106999"/>
    <w:pPr>
      <w:numPr>
        <w:numId w:val="4"/>
      </w:numPr>
    </w:pPr>
  </w:style>
  <w:style w:type="paragraph" w:styleId="ListContinue2">
    <w:name w:val="List Continue 2"/>
    <w:basedOn w:val="List2"/>
    <w:rsid w:val="00106999"/>
    <w:pPr>
      <w:ind w:firstLine="0"/>
    </w:pPr>
  </w:style>
  <w:style w:type="paragraph" w:styleId="ListContinue3">
    <w:name w:val="List Continue 3"/>
    <w:basedOn w:val="List3"/>
    <w:rsid w:val="00106999"/>
    <w:pPr>
      <w:ind w:left="1021" w:firstLine="0"/>
    </w:pPr>
  </w:style>
  <w:style w:type="paragraph" w:styleId="ListContinue4">
    <w:name w:val="List Continue 4"/>
    <w:basedOn w:val="List4"/>
    <w:rsid w:val="00106999"/>
    <w:pPr>
      <w:ind w:firstLine="0"/>
    </w:pPr>
  </w:style>
  <w:style w:type="paragraph" w:styleId="ListContinue5">
    <w:name w:val="List Continue 5"/>
    <w:basedOn w:val="List5"/>
    <w:rsid w:val="00106999"/>
    <w:pPr>
      <w:ind w:firstLine="0"/>
    </w:pPr>
  </w:style>
  <w:style w:type="paragraph" w:styleId="ListNumber3">
    <w:name w:val="List Number 3"/>
    <w:basedOn w:val="List3"/>
    <w:rsid w:val="00106999"/>
    <w:pPr>
      <w:numPr>
        <w:numId w:val="5"/>
      </w:numPr>
    </w:pPr>
  </w:style>
  <w:style w:type="paragraph" w:styleId="ListNumber4">
    <w:name w:val="List Number 4"/>
    <w:basedOn w:val="List4"/>
    <w:rsid w:val="00106999"/>
    <w:pPr>
      <w:numPr>
        <w:numId w:val="6"/>
      </w:numPr>
    </w:pPr>
  </w:style>
  <w:style w:type="paragraph" w:styleId="ListNumber5">
    <w:name w:val="List Number 5"/>
    <w:basedOn w:val="List5"/>
    <w:rsid w:val="00106999"/>
    <w:pPr>
      <w:numPr>
        <w:numId w:val="7"/>
      </w:numPr>
    </w:pPr>
  </w:style>
  <w:style w:type="paragraph" w:styleId="BlockText">
    <w:name w:val="Block Text"/>
    <w:basedOn w:val="Normal"/>
    <w:rsid w:val="00106999"/>
    <w:pPr>
      <w:spacing w:after="120"/>
      <w:ind w:left="1440" w:right="1440"/>
    </w:pPr>
  </w:style>
  <w:style w:type="character" w:customStyle="1" w:styleId="Subscript">
    <w:name w:val="Subscript"/>
    <w:basedOn w:val="DefaultParagraphFont"/>
    <w:rsid w:val="00106999"/>
    <w:rPr>
      <w:sz w:val="16"/>
      <w:vertAlign w:val="subscript"/>
    </w:rPr>
  </w:style>
  <w:style w:type="character" w:customStyle="1" w:styleId="Superscript">
    <w:name w:val="Superscript"/>
    <w:basedOn w:val="DefaultParagraphFont"/>
    <w:rsid w:val="00106999"/>
    <w:rPr>
      <w:sz w:val="16"/>
      <w:vertAlign w:val="superscript"/>
    </w:rPr>
  </w:style>
  <w:style w:type="character" w:customStyle="1" w:styleId="Symbols">
    <w:name w:val="Symbols"/>
    <w:basedOn w:val="DefaultParagraphFont"/>
    <w:rsid w:val="00106999"/>
    <w:rPr>
      <w:rFonts w:ascii="Symbol" w:hAnsi="Symbol"/>
    </w:rPr>
  </w:style>
  <w:style w:type="character" w:customStyle="1" w:styleId="MenuOptions">
    <w:name w:val="Menu Options"/>
    <w:basedOn w:val="DefaultParagraphFont"/>
    <w:rsid w:val="00106999"/>
    <w:rPr>
      <w:rFonts w:ascii="Arial Narrow" w:hAnsi="Arial Narrow"/>
      <w:smallCaps/>
    </w:rPr>
  </w:style>
  <w:style w:type="character" w:customStyle="1" w:styleId="Buttons">
    <w:name w:val="Buttons"/>
    <w:basedOn w:val="DefaultParagraphFont"/>
    <w:rsid w:val="00106999"/>
    <w:rPr>
      <w:b/>
    </w:rPr>
  </w:style>
  <w:style w:type="character" w:customStyle="1" w:styleId="Underlined">
    <w:name w:val="Underlined"/>
    <w:basedOn w:val="DefaultParagraphFont"/>
    <w:rsid w:val="00106999"/>
    <w:rPr>
      <w:u w:val="single"/>
    </w:rPr>
  </w:style>
  <w:style w:type="paragraph" w:customStyle="1" w:styleId="TableBodyTextRight">
    <w:name w:val="Table Body Text Right"/>
    <w:basedOn w:val="TableBodyText"/>
    <w:rsid w:val="00106999"/>
    <w:pPr>
      <w:widowControl w:val="0"/>
      <w:autoSpaceDE w:val="0"/>
      <w:autoSpaceDN w:val="0"/>
      <w:adjustRightInd w:val="0"/>
      <w:jc w:val="right"/>
    </w:pPr>
    <w:rPr>
      <w:rFonts w:cs="Arial"/>
      <w:szCs w:val="18"/>
    </w:rPr>
  </w:style>
  <w:style w:type="paragraph" w:customStyle="1" w:styleId="CopyrightText">
    <w:name w:val="Copyright Text"/>
    <w:basedOn w:val="BodyText"/>
    <w:rsid w:val="00106999"/>
    <w:rPr>
      <w:sz w:val="18"/>
    </w:rPr>
  </w:style>
  <w:style w:type="paragraph" w:customStyle="1" w:styleId="BodySmallRight">
    <w:name w:val="Body Small Right"/>
    <w:basedOn w:val="BodyTextRight"/>
    <w:rsid w:val="00106999"/>
    <w:rPr>
      <w:sz w:val="18"/>
      <w:szCs w:val="18"/>
    </w:rPr>
  </w:style>
  <w:style w:type="paragraph" w:customStyle="1" w:styleId="MarginEdition">
    <w:name w:val="Margin Edition"/>
    <w:basedOn w:val="MarginNote"/>
    <w:rsid w:val="00106999"/>
    <w:pPr>
      <w:spacing w:before="0" w:after="0"/>
    </w:pPr>
    <w:rPr>
      <w:rFonts w:ascii="Times New Roman" w:hAnsi="Times New Roman"/>
      <w:color w:val="999999"/>
    </w:rPr>
  </w:style>
  <w:style w:type="paragraph" w:customStyle="1" w:styleId="Spacer">
    <w:name w:val="Spacer"/>
    <w:basedOn w:val="Normal"/>
    <w:rsid w:val="00106999"/>
    <w:rPr>
      <w:sz w:val="2"/>
      <w:szCs w:val="2"/>
    </w:rPr>
  </w:style>
  <w:style w:type="character" w:customStyle="1" w:styleId="Small">
    <w:name w:val="Small"/>
    <w:basedOn w:val="DefaultParagraphFont"/>
    <w:rsid w:val="00106999"/>
    <w:rPr>
      <w:sz w:val="16"/>
    </w:rPr>
  </w:style>
  <w:style w:type="paragraph" w:customStyle="1" w:styleId="WideTable">
    <w:name w:val="Wide Table"/>
    <w:basedOn w:val="Normal"/>
    <w:rsid w:val="00106999"/>
    <w:pPr>
      <w:ind w:left="-1418"/>
    </w:pPr>
    <w:rPr>
      <w:sz w:val="2"/>
      <w:szCs w:val="2"/>
    </w:rPr>
  </w:style>
  <w:style w:type="character" w:styleId="PageNumber">
    <w:name w:val="page number"/>
    <w:basedOn w:val="DefaultParagraphFont"/>
    <w:rsid w:val="00106999"/>
  </w:style>
  <w:style w:type="paragraph" w:styleId="Quote">
    <w:name w:val="Quote"/>
    <w:basedOn w:val="Heading1"/>
    <w:link w:val="QuoteChar"/>
    <w:qFormat/>
    <w:rsid w:val="00106999"/>
    <w:rPr>
      <w:b w:val="0"/>
      <w:sz w:val="72"/>
      <w:szCs w:val="72"/>
      <w:lang w:val="en-NZ"/>
    </w:rPr>
  </w:style>
  <w:style w:type="character" w:customStyle="1" w:styleId="QuoteChar">
    <w:name w:val="Quote Char"/>
    <w:basedOn w:val="DefaultParagraphFont"/>
    <w:link w:val="Quote"/>
    <w:rsid w:val="00106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999"/>
    <w:pPr>
      <w:pageBreakBefore/>
    </w:pPr>
  </w:style>
  <w:style w:type="paragraph" w:customStyle="1" w:styleId="Border">
    <w:name w:val="Border"/>
    <w:basedOn w:val="Normal"/>
    <w:qFormat/>
    <w:rsid w:val="00106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999"/>
    <w:rPr>
      <w:b/>
      <w:bCs/>
      <w:i/>
      <w:iCs/>
      <w:color w:val="auto"/>
    </w:rPr>
  </w:style>
  <w:style w:type="paragraph" w:styleId="IntenseQuote">
    <w:name w:val="Intense Quote"/>
    <w:basedOn w:val="Normal"/>
    <w:next w:val="Normal"/>
    <w:link w:val="IntenseQuoteChar"/>
    <w:uiPriority w:val="30"/>
    <w:qFormat/>
    <w:rsid w:val="00106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999"/>
    <w:rPr>
      <w:smallCaps/>
      <w:color w:val="auto"/>
      <w:u w:val="single"/>
    </w:rPr>
  </w:style>
  <w:style w:type="character" w:styleId="IntenseReference">
    <w:name w:val="Intense Reference"/>
    <w:basedOn w:val="DefaultParagraphFont"/>
    <w:uiPriority w:val="32"/>
    <w:qFormat/>
    <w:rsid w:val="00106999"/>
    <w:rPr>
      <w:b/>
      <w:bCs/>
      <w:smallCaps/>
      <w:color w:val="auto"/>
      <w:spacing w:val="5"/>
      <w:u w:val="single"/>
    </w:rPr>
  </w:style>
  <w:style w:type="paragraph" w:customStyle="1" w:styleId="2ColumnHeading">
    <w:name w:val="2Column Heading"/>
    <w:basedOn w:val="BodyText"/>
    <w:qFormat/>
    <w:rsid w:val="00106999"/>
    <w:pPr>
      <w:spacing w:after="60"/>
      <w:ind w:left="-2268"/>
    </w:pPr>
    <w:rPr>
      <w:b/>
    </w:rPr>
  </w:style>
  <w:style w:type="paragraph" w:customStyle="1" w:styleId="Heading1TOC">
    <w:name w:val="Heading1 TOC"/>
    <w:basedOn w:val="Normal"/>
    <w:qFormat/>
    <w:rsid w:val="00106999"/>
    <w:pPr>
      <w:spacing w:before="240" w:after="120"/>
    </w:pPr>
    <w:rPr>
      <w:rFonts w:ascii="Times New Roman" w:hAnsi="Times New Roman"/>
      <w:b/>
      <w:sz w:val="32"/>
    </w:rPr>
  </w:style>
  <w:style w:type="paragraph" w:customStyle="1" w:styleId="Heading2TOC">
    <w:name w:val="Heading2 TOC"/>
    <w:basedOn w:val="Normal"/>
    <w:qFormat/>
    <w:rsid w:val="00106999"/>
    <w:pPr>
      <w:spacing w:before="240" w:after="60"/>
    </w:pPr>
    <w:rPr>
      <w:rFonts w:ascii="Times New Roman" w:hAnsi="Times New Roman"/>
      <w:b/>
      <w:sz w:val="28"/>
    </w:rPr>
  </w:style>
  <w:style w:type="character" w:customStyle="1" w:styleId="Underline">
    <w:name w:val="Underline"/>
    <w:basedOn w:val="DefaultParagraphFont"/>
    <w:qFormat/>
    <w:rsid w:val="00106999"/>
    <w:rPr>
      <w:u w:val="single"/>
    </w:rPr>
  </w:style>
  <w:style w:type="character" w:customStyle="1" w:styleId="BoldandItalics">
    <w:name w:val="Bold and Italics"/>
    <w:qFormat/>
    <w:rsid w:val="00106999"/>
    <w:rPr>
      <w:b/>
      <w:i/>
      <w:u w:val="none"/>
    </w:rPr>
  </w:style>
  <w:style w:type="paragraph" w:styleId="BalloonText">
    <w:name w:val="Balloon Text"/>
    <w:basedOn w:val="Normal"/>
    <w:link w:val="BalloonTextChar"/>
    <w:rsid w:val="00106999"/>
    <w:rPr>
      <w:rFonts w:ascii="Tahoma" w:hAnsi="Tahoma" w:cs="Tahoma"/>
      <w:sz w:val="16"/>
      <w:szCs w:val="16"/>
    </w:rPr>
  </w:style>
  <w:style w:type="character" w:customStyle="1" w:styleId="BalloonTextChar">
    <w:name w:val="Balloon Text Char"/>
    <w:basedOn w:val="DefaultParagraphFont"/>
    <w:link w:val="BalloonText"/>
    <w:rsid w:val="00106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9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999"/>
    <w:rPr>
      <w:b/>
      <w:color w:val="660033"/>
      <w:spacing w:val="0"/>
    </w:rPr>
  </w:style>
  <w:style w:type="paragraph" w:customStyle="1" w:styleId="Nameditemlist">
    <w:name w:val="Named item list"/>
    <w:basedOn w:val="BodyText"/>
    <w:qFormat/>
    <w:rsid w:val="001069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2492</Words>
  <Characters>15265</Characters>
  <Application>Microsoft Office Word</Application>
  <DocSecurity>0</DocSecurity>
  <Lines>620</Lines>
  <Paragraphs>251</Paragraphs>
  <ScaleCrop>false</ScaleCrop>
  <Company>Author-it Software Corporation Ltd.</Company>
  <LinksUpToDate>false</LinksUpToDate>
  <CharactersWithSpaces>17604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UEGNSG223A Construct and lay steel gas distribution pipelines</dc:title>
  <dc:subject>Approved</dc:subject>
  <dc:creator>E-Oz Training Standards</dc:creator>
  <cp:keywords>Release 1</cp:keywords>
  <dc:description>Review Date: 12 April 2008</dc:description>
  <cp:lastModifiedBy>HSD_TPCMSd.prod</cp:lastModifiedBy>
  <cp:revision>3</cp:revision>
  <dcterms:created xsi:type="dcterms:W3CDTF">2014-03-13T15:19:03Z</dcterms:created>
  <dcterms:modified xsi:type="dcterms:W3CDTF">2014-03-13T03:49:00Z</dcterms:modified>
</cp:coreProperties>
</file>