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B22" w:rsidP="00513B22">
      <w:pPr>
        <w:pStyle w:val="Title"/>
      </w:pPr>
      <w:r>
        <w:fldChar w:fldCharType="begin"/>
      </w:r>
      <w:r>
        <w:instrText xml:space="preserve"> TITLE   \* MERGEFORMAT </w:instrText>
      </w:r>
      <w:r>
        <w:fldChar w:fldCharType="separate"/>
      </w:r>
      <w:r>
        <w:t>UEGNSG221A First on site response to gas pipeline emergencies</w:t>
      </w:r>
      <w:r>
        <w:fldChar w:fldCharType="end"/>
      </w:r>
    </w:p>
    <w:p w:rsidR="00513B22" w:rsidP="00513B22">
      <w:pPr>
        <w:pStyle w:val="Version"/>
        <w:sectPr w:rsidSect="00FD69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9A6" w:rsidP="00FD69A6">
      <w:pPr>
        <w:pStyle w:val="SuperHeading"/>
      </w:pPr>
      <w:r w:rsidRPr="00FD69A6">
        <w:t>UEGNSG221A First on site response to gas pipeline emergencies</w:t>
      </w:r>
    </w:p>
    <w:p w:rsidR="00000000" w:rsidRPr="00FD69A6" w:rsidP="00FD69A6">
      <w:pPr>
        <w:pStyle w:val="Heading1"/>
      </w:pPr>
      <w:bookmarkStart w:id="1" w:name="O_619590"/>
      <w:bookmarkEnd w:id="1"/>
      <w:r w:rsidRPr="00FD69A6">
        <w:t>Modification History</w:t>
      </w:r>
    </w:p>
    <w:tbl>
      <w:tblPr>
        <w:tblW w:w="0" w:type="auto"/>
        <w:tblLayout w:type="fixed"/>
        <w:tblCellMar>
          <w:left w:w="62" w:type="dxa"/>
          <w:right w:w="62" w:type="dxa"/>
        </w:tblCellMar>
        <w:tblLook w:val="0000"/>
      </w:tblPr>
      <w:tblGrid>
        <w:gridCol w:w="8280"/>
      </w:tblGrid>
      <w:tr w:rsidTr="00513B22">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This is a new unit which replaces the UEG11 unit UEGNSG209B First on site emergency response on a distribution pipeline, and UEGNSG309B First on site emergency response on a transmission pipeline.</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2" w:name="O_619592"/>
      <w:bookmarkEnd w:id="2"/>
      <w:r w:rsidRPr="00FD69A6">
        <w:t>Unit Descriptor</w:t>
      </w:r>
    </w:p>
    <w:tbl>
      <w:tblPr>
        <w:tblW w:w="0" w:type="auto"/>
        <w:tblLayout w:type="fixed"/>
        <w:tblCellMar>
          <w:left w:w="62" w:type="dxa"/>
          <w:right w:w="62" w:type="dxa"/>
        </w:tblCellMar>
        <w:tblLook w:val="0000"/>
      </w:tblPr>
      <w:tblGrid>
        <w:gridCol w:w="1980"/>
        <w:gridCol w:w="6356"/>
      </w:tblGrid>
      <w:tr w:rsidTr="00FD69A6">
        <w:tblPrEx>
          <w:tblW w:w="0" w:type="auto"/>
          <w:tblLayout w:type="fixed"/>
          <w:tblCellMar>
            <w:left w:w="62" w:type="dxa"/>
            <w:right w:w="62" w:type="dxa"/>
          </w:tblCellMar>
          <w:tblLook w:val="0000"/>
        </w:tblPrEx>
        <w:trPr>
          <w:tblHeader/>
        </w:trPr>
        <w:tc>
          <w:tcPr>
            <w:tcW w:w="198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Unit Descriptor</w:t>
            </w:r>
          </w:p>
        </w:tc>
        <w:tc>
          <w:tcPr>
            <w:tcW w:w="635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1) Scope:</w:t>
            </w:r>
          </w:p>
        </w:tc>
      </w:tr>
      <w:tr w:rsidTr="00FD69A6">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FD69A6">
            <w:pPr>
              <w:pStyle w:val="BodyText"/>
              <w:keepNext w:val="0"/>
              <w:keepLines w:val="0"/>
              <w:contextualSpacing w:val="0"/>
            </w:pPr>
          </w:p>
        </w:tc>
        <w:tc>
          <w:tcPr>
            <w:tcW w:w="635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1.1) Descriptor</w:t>
            </w:r>
          </w:p>
        </w:tc>
      </w:tr>
      <w:tr w:rsidTr="00FD69A6">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This unit covers the first on site response requirements to a gas distribution or transmission pipeline emergency incident in accordance with </w:t>
            </w:r>
            <w:r w:rsidRPr="00FD69A6">
              <w:t xml:space="preserve">relevant legislation, code, regulations and procedures. These incidents may include but is not limited to, gas escapes, gas outages, security breaches, fires, injury and damage </w:t>
            </w:r>
          </w:p>
        </w:tc>
      </w:tr>
      <w:tr w:rsidTr="00FD69A6">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This encompasses assessing the situation extent and type of incident; making</w:t>
            </w:r>
            <w:r w:rsidRPr="00FD69A6">
              <w:t xml:space="preserve"> the area safe, identifying source of gas leaks, reporting back to the response/control centre, identifying and controlling potential ignition sources, ventilation/ evacuation from property, liaising with other authorities and emergency services, remaining</w:t>
            </w:r>
            <w:r w:rsidRPr="00FD69A6">
              <w:t xml:space="preserve"> on site and maintaining site safety until support arrives, should it be required.  This includes using approved Standard Operating Procedures and appropriate PPE.</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3" w:name="O_619593"/>
      <w:bookmarkEnd w:id="3"/>
      <w:r w:rsidRPr="00FD69A6">
        <w:t>Application of the Unit</w:t>
      </w:r>
    </w:p>
    <w:tbl>
      <w:tblPr>
        <w:tblW w:w="0" w:type="auto"/>
        <w:tblLayout w:type="fixed"/>
        <w:tblCellMar>
          <w:left w:w="62" w:type="dxa"/>
          <w:right w:w="62" w:type="dxa"/>
        </w:tblCellMar>
        <w:tblLook w:val="0000"/>
      </w:tblPr>
      <w:tblGrid>
        <w:gridCol w:w="2085"/>
        <w:gridCol w:w="5835"/>
      </w:tblGrid>
      <w:tr w:rsidTr="00FD69A6">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Application of the Unit</w:t>
            </w:r>
          </w:p>
        </w:tc>
        <w:tc>
          <w:tcPr>
            <w:tcW w:w="5835"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2)</w:t>
            </w:r>
          </w:p>
        </w:tc>
      </w:tr>
      <w:tr w:rsidTr="00FD69A6">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This competency stan</w:t>
            </w:r>
            <w:r w:rsidRPr="00FD69A6">
              <w:t>dard shall apply to Gas Industry work sites, subject to all Workplace Health and Safety (WHS) /Occupational Health and Safety (OHS) and duty of care requirements being met for the workplace.</w:t>
            </w:r>
          </w:p>
          <w:p w:rsidR="00000000" w:rsidRPr="00FD69A6" w:rsidP="00FD69A6">
            <w:pPr>
              <w:pStyle w:val="BodyText"/>
            </w:pPr>
          </w:p>
          <w:p w:rsidR="00000000" w:rsidRPr="00FD69A6" w:rsidP="00FD69A6">
            <w:pPr>
              <w:pStyle w:val="BodyText"/>
            </w:pPr>
            <w:r w:rsidRPr="00FD69A6">
              <w:t xml:space="preserve">This unit is intended as an AQF 2 competency for new and </w:t>
            </w:r>
            <w:r w:rsidRPr="00FD69A6">
              <w:t>existin</w:t>
            </w:r>
            <w:r w:rsidRPr="00FD69A6">
              <w:t>g workers in the gas industry. It is suitable for employment-based programs under an approved contract of training.</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4" w:name="O_619594"/>
      <w:bookmarkEnd w:id="4"/>
      <w:r w:rsidRPr="00FD69A6">
        <w:t>Licensing/Regulatory Information</w:t>
      </w:r>
    </w:p>
    <w:tbl>
      <w:tblPr>
        <w:tblW w:w="0" w:type="auto"/>
        <w:tblLayout w:type="fixed"/>
        <w:tblCellMar>
          <w:left w:w="62" w:type="dxa"/>
          <w:right w:w="62" w:type="dxa"/>
        </w:tblCellMar>
        <w:tblLook w:val="0000"/>
      </w:tblPr>
      <w:tblGrid>
        <w:gridCol w:w="2085"/>
        <w:gridCol w:w="5805"/>
      </w:tblGrid>
      <w:tr w:rsidTr="00FD69A6">
        <w:tblPrEx>
          <w:tblW w:w="0" w:type="auto"/>
          <w:tblLayout w:type="fixed"/>
          <w:tblCellMar>
            <w:left w:w="62" w:type="dxa"/>
            <w:right w:w="62" w:type="dxa"/>
          </w:tblCellMar>
          <w:tblLook w:val="0000"/>
        </w:tblPrEx>
        <w:trPr>
          <w:tblHeader/>
        </w:trPr>
        <w:tc>
          <w:tcPr>
            <w:tcW w:w="2085"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License to practice</w:t>
            </w:r>
          </w:p>
        </w:tc>
        <w:tc>
          <w:tcPr>
            <w:tcW w:w="5805"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 xml:space="preserve">3) </w:t>
            </w:r>
          </w:p>
        </w:tc>
      </w:tr>
      <w:tr w:rsidTr="00FD69A6">
        <w:tblPrEx>
          <w:tblW w:w="0" w:type="auto"/>
          <w:tblLayout w:type="fixed"/>
          <w:tblCellMar>
            <w:left w:w="62" w:type="dxa"/>
            <w:right w:w="62" w:type="dxa"/>
          </w:tblCellMar>
          <w:tblLook w:val="0000"/>
        </w:tblPrEx>
        <w:tc>
          <w:tcPr>
            <w:tcW w:w="2085" w:type="dxa"/>
            <w:tcBorders>
              <w:top w:val="nil"/>
              <w:left w:val="nil"/>
              <w:bottom w:val="nil"/>
              <w:right w:val="nil"/>
            </w:tcBorders>
            <w:tcMar>
              <w:top w:w="0" w:type="dxa"/>
              <w:left w:w="62" w:type="dxa"/>
              <w:bottom w:w="0" w:type="dxa"/>
              <w:right w:w="62" w:type="dxa"/>
            </w:tcMar>
          </w:tcPr>
          <w:p w:rsidR="00000000" w:rsidRPr="00FD69A6">
            <w:pPr>
              <w:pStyle w:val="BodyText"/>
              <w:keepNext w:val="0"/>
              <w:keepLines w:val="0"/>
              <w:contextualSpacing w:val="0"/>
            </w:pPr>
          </w:p>
        </w:tc>
        <w:tc>
          <w:tcPr>
            <w:tcW w:w="5805"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 xml:space="preserve">During Training: </w:t>
            </w:r>
          </w:p>
          <w:p w:rsidR="00000000" w:rsidRPr="00FD69A6" w:rsidP="00FD69A6">
            <w:pPr>
              <w:pStyle w:val="BodyText"/>
            </w:pPr>
            <w:r w:rsidRPr="00FD69A6">
              <w:t xml:space="preserve">Competency development activities are subject to regulations directly related to licensing, occupational health and safety, and where applicable contracts of training. </w:t>
            </w:r>
          </w:p>
          <w:p w:rsidR="00000000" w:rsidRPr="00FD69A6" w:rsidP="00FD69A6">
            <w:pPr>
              <w:pStyle w:val="BodyText"/>
            </w:pPr>
          </w:p>
          <w:p w:rsidR="00000000" w:rsidRPr="00FD69A6" w:rsidP="00FD69A6">
            <w:pPr>
              <w:pStyle w:val="BodyText"/>
            </w:pPr>
            <w:r w:rsidRPr="00FD69A6">
              <w:rPr>
                <w:rStyle w:val="SpecialBold"/>
              </w:rPr>
              <w:t>In the workplace:</w:t>
            </w:r>
          </w:p>
          <w:p w:rsidR="00000000" w:rsidRPr="00FD69A6" w:rsidP="00FD69A6">
            <w:pPr>
              <w:pStyle w:val="BodyText"/>
            </w:pPr>
            <w:r w:rsidRPr="00FD69A6">
              <w:t>The skills and knowledge described in this unit are not subject to l</w:t>
            </w:r>
            <w:r w:rsidRPr="00FD69A6">
              <w:t xml:space="preserve">icence regulation other than those directly related to WHS /Occupational Health and Safety (OHS), gas industry codes/guidelines, industrial relations, environmental protection, anti-discrimination and training laws. </w:t>
            </w:r>
          </w:p>
          <w:p w:rsidR="00000000" w:rsidRPr="00FD69A6" w:rsidP="00FD69A6">
            <w:pPr>
              <w:pStyle w:val="BodyText"/>
            </w:pPr>
          </w:p>
          <w:p w:rsidR="00000000" w:rsidRPr="00FD69A6" w:rsidP="00FD69A6">
            <w:pPr>
              <w:pStyle w:val="BodyText"/>
            </w:pPr>
            <w:r w:rsidRPr="00FD69A6">
              <w:t>Commonwealth, State/Territory or Local</w:t>
            </w:r>
            <w:r w:rsidRPr="00FD69A6">
              <w:t xml:space="preserve"> Government legislation and regulations may limit the age at which a person can operate certain equipment. Other conditions may apply to this competency under State and Territory legislative and regulatory requirements.</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5" w:name="O_619595"/>
      <w:bookmarkEnd w:id="5"/>
      <w:r w:rsidRPr="00FD69A6">
        <w:t>Pre-Requisites</w:t>
      </w:r>
    </w:p>
    <w:tbl>
      <w:tblPr>
        <w:tblW w:w="0" w:type="auto"/>
        <w:tblLayout w:type="fixed"/>
        <w:tblCellMar>
          <w:left w:w="62" w:type="dxa"/>
          <w:right w:w="62" w:type="dxa"/>
        </w:tblCellMar>
        <w:tblLook w:val="0000"/>
      </w:tblPr>
      <w:tblGrid>
        <w:gridCol w:w="2070"/>
        <w:gridCol w:w="1440"/>
        <w:gridCol w:w="4860"/>
      </w:tblGrid>
      <w:tr w:rsidTr="00FD69A6">
        <w:tblPrEx>
          <w:tblW w:w="0" w:type="auto"/>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Prerequisite Unit(s)</w:t>
            </w:r>
          </w:p>
        </w:tc>
        <w:tc>
          <w:tcPr>
            <w:tcW w:w="630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 xml:space="preserve">4) </w:t>
            </w:r>
          </w:p>
        </w:tc>
      </w:tr>
      <w:tr w:rsidTr="00FD69A6">
        <w:tblPrEx>
          <w:tblW w:w="0" w:type="auto"/>
          <w:tblLayout w:type="fixed"/>
          <w:tblCellMar>
            <w:left w:w="62" w:type="dxa"/>
            <w:right w:w="62" w:type="dxa"/>
          </w:tblCellMar>
          <w:tblLook w:val="0000"/>
        </w:tblPrEx>
        <w:trPr>
          <w:trHeight w:val="466"/>
        </w:trPr>
        <w:tc>
          <w:tcPr>
            <w:tcW w:w="207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Competencies</w:t>
            </w:r>
          </w:p>
        </w:tc>
        <w:tc>
          <w:tcPr>
            <w:tcW w:w="630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4.1)</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Granting of competency in this unit shall be made only after competency in the following unit(s) has/have been confirmed:</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UEGNSG005A</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Prepare to work in the gas industry</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UEGNSG132A</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Carry out basic work activities in a gas industry work environment</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UEGNSG134A</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Establish a utilities infrastructure work site</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UEGNSG140A</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Apply with environmental policies and procedures in the utilities industry</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UEGNSG141A</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Apply Workplace Health and Safety regulations, codes and practices in the gas industry</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HLTAID003</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Perform first aid</w:t>
            </w:r>
          </w:p>
        </w:tc>
      </w:tr>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CPPFES2005A</w:t>
            </w:r>
          </w:p>
        </w:tc>
        <w:tc>
          <w:tcPr>
            <w:tcW w:w="486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Demonstrate first attack fire fighting equipment</w:t>
            </w:r>
          </w:p>
        </w:tc>
      </w:tr>
    </w:tbl>
    <w:p w:rsidR="00000000" w:rsidRPr="00FD69A6" w:rsidP="00FD69A6">
      <w:pPr>
        <w:pStyle w:val="BodyText"/>
      </w:pPr>
    </w:p>
    <w:tbl>
      <w:tblPr>
        <w:tblW w:w="0" w:type="auto"/>
        <w:tblLayout w:type="fixed"/>
        <w:tblCellMar>
          <w:left w:w="62" w:type="dxa"/>
          <w:right w:w="62" w:type="dxa"/>
        </w:tblCellMar>
        <w:tblLook w:val="0000"/>
      </w:tblPr>
      <w:tblGrid>
        <w:gridCol w:w="2070"/>
        <w:gridCol w:w="1586"/>
        <w:gridCol w:w="810"/>
        <w:gridCol w:w="990"/>
        <w:gridCol w:w="900"/>
        <w:gridCol w:w="1260"/>
        <w:gridCol w:w="754"/>
        <w:gridCol w:w="28"/>
      </w:tblGrid>
      <w:tr w:rsidTr="00FD69A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Literacy and numeracy skills</w:t>
            </w:r>
          </w:p>
        </w:tc>
        <w:tc>
          <w:tcPr>
            <w:tcW w:w="6328" w:type="dxa"/>
            <w:gridSpan w:val="7"/>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 xml:space="preserve">4.2) </w:t>
            </w:r>
          </w:p>
          <w:p w:rsidR="00000000" w:rsidP="00FD69A6">
            <w:pPr>
              <w:pStyle w:val="BodyText"/>
              <w:rPr>
                <w:lang w:val="en-NZ"/>
              </w:rPr>
            </w:pPr>
            <w:r w:rsidRPr="00FD69A6">
              <w:t>Participants are best equipped to achieve this unit if they have reading, writing and numeracy skills indicated by the following scales. Description of each scale is given in Volume 2, Part 3 ‘Literacy and Numeracy’</w:t>
            </w:r>
          </w:p>
        </w:tc>
      </w:tr>
      <w:tr w:rsidTr="00FD69A6">
        <w:tblPrEx>
          <w:tblW w:w="0" w:type="auto"/>
          <w:tblLayout w:type="fixed"/>
          <w:tblCellMar>
            <w:left w:w="62" w:type="dxa"/>
            <w:right w:w="62" w:type="dxa"/>
          </w:tblCellMar>
          <w:tblLook w:val="0000"/>
        </w:tblPrEx>
        <w:trPr>
          <w:gridAfter w:val="1"/>
          <w:wAfter w:w="28" w:type="dxa"/>
        </w:trPr>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8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Reading</w:t>
            </w:r>
          </w:p>
        </w:tc>
        <w:tc>
          <w:tcPr>
            <w:tcW w:w="81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w:t>
            </w:r>
          </w:p>
        </w:tc>
        <w:tc>
          <w:tcPr>
            <w:tcW w:w="99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Writing</w:t>
            </w: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w:t>
            </w:r>
          </w:p>
        </w:tc>
        <w:tc>
          <w:tcPr>
            <w:tcW w:w="12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Numeracy</w:t>
            </w:r>
          </w:p>
        </w:tc>
        <w:tc>
          <w:tcPr>
            <w:tcW w:w="754"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3</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6" w:name="O_619596"/>
      <w:bookmarkEnd w:id="6"/>
      <w:r w:rsidRPr="00FD69A6">
        <w:t>Employability Skills Information</w:t>
      </w:r>
    </w:p>
    <w:tbl>
      <w:tblPr>
        <w:tblW w:w="0" w:type="auto"/>
        <w:tblLayout w:type="fixed"/>
        <w:tblCellMar>
          <w:left w:w="62" w:type="dxa"/>
          <w:right w:w="62" w:type="dxa"/>
        </w:tblCellMar>
        <w:tblLook w:val="0000"/>
      </w:tblPr>
      <w:tblGrid>
        <w:gridCol w:w="2576"/>
        <w:gridCol w:w="5760"/>
      </w:tblGrid>
      <w:tr w:rsidTr="00FD69A6">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 xml:space="preserve">5) </w:t>
            </w:r>
          </w:p>
        </w:tc>
      </w:tr>
      <w:tr w:rsidTr="00FD69A6">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This unit contains Employability Skills</w:t>
            </w:r>
          </w:p>
        </w:tc>
      </w:tr>
      <w:tr w:rsidTr="00FD69A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The required outcomes described in this unit of competency contain applicable facets of Employability Skills. The Employab</w:t>
            </w:r>
            <w:r w:rsidRPr="00FD69A6">
              <w:t>ility Skills Summary of the qualification in which this unit of competency is packaged will assist in identifying Employability Skill requirements.</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7" w:name="O_619597"/>
      <w:bookmarkEnd w:id="7"/>
      <w:r w:rsidRPr="00FD69A6">
        <w:t>Elements and Performance Criteria Pre-Content</w:t>
      </w:r>
    </w:p>
    <w:tbl>
      <w:tblPr>
        <w:tblW w:w="0" w:type="auto"/>
        <w:tblLayout w:type="fixed"/>
        <w:tblCellMar>
          <w:left w:w="62" w:type="dxa"/>
          <w:right w:w="62" w:type="dxa"/>
        </w:tblCellMar>
        <w:tblLook w:val="0000"/>
      </w:tblPr>
      <w:tblGrid>
        <w:gridCol w:w="2576"/>
        <w:gridCol w:w="5760"/>
      </w:tblGrid>
      <w:tr w:rsidTr="00FD69A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6)</w:t>
            </w:r>
            <w:r w:rsidRPr="00FD69A6">
              <w:rPr>
                <w:rStyle w:val="Emphasis"/>
              </w:rPr>
              <w:t xml:space="preserve"> Elements describe the essential outcomes</w:t>
            </w:r>
            <w:r w:rsidRPr="00FD69A6">
              <w:rPr>
                <w:rStyle w:val="Emphasis"/>
              </w:rPr>
              <w:t xml:space="preserve">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Emphasis"/>
              </w:rPr>
              <w:t>Performance Criteria describe the required performance needed to demonstrate achievement of the element. Assessment of performance is to be consistent with the Evidence Guide.</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8" w:name="O_619598"/>
      <w:bookmarkEnd w:id="8"/>
      <w:r w:rsidRPr="00FD69A6">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FD69A6">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PERFORMANCE CRITERIA</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 xml:space="preserve">Plan first on site emergency response </w:t>
            </w: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1.1</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WHS/OHS and environmental measures for the site are identified, obtained and understood.</w:t>
            </w:r>
          </w:p>
        </w:tc>
      </w:tr>
      <w:tr w:rsidTr="00FD69A6">
        <w:tblPrEx>
          <w:tblW w:w="0" w:type="auto"/>
          <w:tblLayout w:type="fixed"/>
          <w:tblCellMar>
            <w:left w:w="62" w:type="dxa"/>
            <w:right w:w="62" w:type="dxa"/>
          </w:tblCellMar>
          <w:tblLook w:val="0000"/>
        </w:tblPrEx>
        <w:trPr>
          <w:trHeight w:val="361"/>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1.2</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Details of incident are confirmed with supervisor, control centre or radio room.</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1.3</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Relevant requirements and established procedures for the incident response are discussed with relevant persons to establish and confirm the work schedule.</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1.4</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WHS/OHS, environmental and sustainable energy policies and procedures are received and confirmed</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1.5</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Hazards are identified, WHS/OHS risks assessed and control measures are reported, prioritised, implemented and monitored according to established proced</w:t>
            </w:r>
            <w:r w:rsidRPr="00FD69A6">
              <w:t>ures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1.6</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Relevant work permits and/or relevant notifications if required are secured to ensure the work is approved, recorded, coordinated and performed safely. </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1.7</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Resources including persons, equipment, tools and personal protective equipment required to carry out the work are identified, scheduled, obtained and checked to correct operation and safety</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1.8</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Effective liaison and communication is established with th</w:t>
            </w:r>
            <w:r w:rsidRPr="00FD69A6">
              <w:t>e supervisor, coordination centre, emergency authorities and land owners.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1.9</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Persons participating in the work, including plant operators and contractors are fully briefed and respective responsibilities coordinated and authorised in accordance with es</w:t>
            </w:r>
            <w:r w:rsidRPr="00FD69A6">
              <w:t>tablish procedures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1.10</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Site preparation, safety plan and the work schedule are confirmed in accordance with established procedures.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Carry out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2.1</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WHS/OHS and risk control measures, schedule of work and standard operating procedures for carrying out the work are followed.</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2.2</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A safe work zone is created in accordance with Standard Operating Procedures and reported back to relevant stakeholders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2.3</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First Aid and other related work procedures are performed according to requirements and established procedures </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2.4</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Hazardous activities such as lifting, climbing, working in confined spaces and aloft, use of power tools, techniques and practices ar</w:t>
            </w:r>
            <w:r w:rsidRPr="00FD69A6">
              <w:t xml:space="preserve">e conducted safely in accordance with given instructions and to requirements </w:t>
            </w:r>
          </w:p>
        </w:tc>
      </w:tr>
      <w:tr w:rsidTr="00FD69A6">
        <w:tblPrEx>
          <w:tblW w:w="0" w:type="auto"/>
          <w:tblLayout w:type="fixed"/>
          <w:tblCellMar>
            <w:left w:w="62" w:type="dxa"/>
            <w:right w:w="62" w:type="dxa"/>
          </w:tblCellMar>
          <w:tblLook w:val="0000"/>
        </w:tblPrEx>
        <w:trPr>
          <w:trHeight w:val="964"/>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2.5</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Hazard warnings and safety signs are recognised and hazards are assessed and WHS/OHS risks and incidents are reported to the immediate authorised </w:t>
            </w:r>
            <w:r w:rsidRPr="00FD69A6">
              <w:t>persons for directions according to established procedures</w:t>
            </w:r>
          </w:p>
        </w:tc>
      </w:tr>
      <w:tr w:rsidTr="00FD69A6">
        <w:tblPrEx>
          <w:tblW w:w="0" w:type="auto"/>
          <w:tblLayout w:type="fixed"/>
          <w:tblCellMar>
            <w:left w:w="62" w:type="dxa"/>
            <w:right w:w="62" w:type="dxa"/>
          </w:tblCellMar>
          <w:tblLook w:val="0000"/>
        </w:tblPrEx>
        <w:trPr>
          <w:trHeight w:val="361"/>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2.6</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General operating conditions of equipment are monitored in order to determine performance of equipment and system</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2.7</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Liaising with third parties concerning the threat to the pipeline occurs to ensure the pipeline can be monitored.</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2.8</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Communication with immediate supervisor, coordination centre, emergency authorities and property owners is undertaken in accordance wit</w:t>
            </w:r>
            <w:r w:rsidRPr="00FD69A6">
              <w:t>h established procedures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2.9</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Preliminary evidence is collected from the scene as per established procedures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2.10</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Basic fault finding and troubleshooting techniques are applied to identify any repairs or maintenance </w:t>
            </w:r>
            <w:r w:rsidRPr="00FD69A6">
              <w:t>that is required according to requirements and established procedures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2.11</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Stands by and maintains site safety until support arrives.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2.12</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Procedure</w:t>
            </w:r>
            <w:r w:rsidRPr="00FD69A6">
              <w:t>s for referring non-routine events to the immediate authorised persons for directions are followed, for example the emergency level being escalated.</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2.13</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Routine quality checks are carried out in accordance with work instructions. </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 xml:space="preserve">Complete response </w:t>
            </w:r>
            <w:r w:rsidRPr="00FD69A6">
              <w:rPr>
                <w:rStyle w:val="SpecialBold"/>
              </w:rPr>
              <w:t>and relevant documentation</w:t>
            </w: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3.1</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WHS/OHS risk control work completion measures and procedures are followed.</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3.2</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Incidents and injuries are reported and followed up in accordance with requirements and established procedures </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3.3</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The incident site is correctly handed over to the repair coordinator or relief response person, including all reports, risk control measures and permit conditions.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3.4</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Tools, equipment and any surplus resources and materials are cleaned, checked and sec</w:t>
            </w:r>
            <w:r w:rsidRPr="00FD69A6">
              <w:t xml:space="preserve">urely stored. </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3.5</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Relevant work permit(s) are completed and signed off in accordance with requirements</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3.6</w:t>
            </w:r>
          </w:p>
        </w:tc>
        <w:tc>
          <w:tcPr>
            <w:tcW w:w="48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Works completion documentation including records, reports as installed/modified drawing(s) and information is completed accurately and provided to appropriate persons in accordance with established procedures. </w:t>
            </w:r>
          </w:p>
        </w:tc>
      </w:tr>
      <w:tr w:rsidTr="00FD69A6">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3.7</w:t>
            </w:r>
          </w:p>
        </w:tc>
        <w:tc>
          <w:tcPr>
            <w:tcW w:w="486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 xml:space="preserve">Participates in debriefing to discuss </w:t>
            </w:r>
            <w:r w:rsidRPr="00FD69A6">
              <w:t>strengths and weaknesses of incident response.</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9" w:name="O_619599"/>
      <w:bookmarkEnd w:id="9"/>
      <w:r w:rsidRPr="00FD69A6">
        <w:t>Required Skills and Knowledge</w:t>
      </w:r>
    </w:p>
    <w:tbl>
      <w:tblPr>
        <w:tblW w:w="0" w:type="auto"/>
        <w:tblLayout w:type="fixed"/>
        <w:tblCellMar>
          <w:left w:w="62" w:type="dxa"/>
          <w:right w:w="62" w:type="dxa"/>
        </w:tblCellMar>
        <w:tblLook w:val="0000"/>
      </w:tblPr>
      <w:tblGrid>
        <w:gridCol w:w="8336"/>
      </w:tblGrid>
      <w:tr w:rsidTr="00FD69A6">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REQUIRED SKILLS AND KNOWLEDGE</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 xml:space="preserve">7) </w:t>
            </w:r>
            <w:r w:rsidRPr="00FD69A6">
              <w:rPr>
                <w:rStyle w:val="Emphasis"/>
              </w:rPr>
              <w:t>This describes the skills and knowledge and their level, required for this unit.</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Evidence shall show that knowledge has been acquired for first on site emergency response on a distribution and transmission pipelines.</w:t>
            </w:r>
          </w:p>
        </w:tc>
      </w:tr>
      <w:tr w:rsidTr="00FD69A6">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All knowledge and skills detailed in this unit should be contextualised to current industry practices and technologies.</w:t>
            </w:r>
            <w:r w:rsidRPr="00FD69A6">
              <w:t xml:space="preserve"> The extent of the required skills and knowledge is provided below. It forms an integral part of this unit.</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KS01-G221A</w:t>
            </w:r>
            <w:r w:rsidRPr="00FD69A6">
              <w:rPr>
                <w:rStyle w:val="SpecialBold"/>
              </w:rPr>
              <w:tab/>
              <w:t>Gas pipeline first on site emergency response</w:t>
            </w:r>
          </w:p>
        </w:tc>
      </w:tr>
      <w:tr w:rsidTr="00FD69A6">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Evidence shall show an understanding of first on site emergency response requirements for</w:t>
            </w:r>
            <w:r w:rsidRPr="00FD69A6">
              <w:t xml:space="preserve"> a gas distribution or transmission incident in accordance with relevant legislation, code, regulations and procedures. to an extent indicated by the following aspects:</w:t>
            </w:r>
          </w:p>
          <w:p w:rsidR="00000000" w:rsidRPr="00FD69A6" w:rsidP="00FD69A6">
            <w:pPr>
              <w:pStyle w:val="BodyText"/>
            </w:pPr>
            <w:r w:rsidRPr="00FD69A6">
              <w:t xml:space="preserve">T1. Security breaches and required action </w:t>
            </w:r>
          </w:p>
          <w:p w:rsidR="00000000" w:rsidRPr="00FD69A6" w:rsidP="00FD69A6">
            <w:pPr>
              <w:pStyle w:val="ListBullet"/>
            </w:pPr>
            <w:r w:rsidRPr="00FD69A6">
              <w:t>types of security incidents including but n</w:t>
            </w:r>
            <w:r w:rsidRPr="00FD69A6">
              <w:t xml:space="preserve">ot limited to physical security breaches at gas infrastructure </w:t>
            </w:r>
          </w:p>
          <w:p w:rsidR="00000000" w:rsidRPr="00FD69A6" w:rsidP="00FD69A6">
            <w:pPr>
              <w:pStyle w:val="ListBullet"/>
            </w:pPr>
            <w:r w:rsidRPr="00FD69A6">
              <w:t xml:space="preserve">threat assessment and management </w:t>
            </w:r>
          </w:p>
          <w:p w:rsidR="00000000" w:rsidRPr="00FD69A6" w:rsidP="00FD69A6">
            <w:pPr>
              <w:pStyle w:val="ListBullet"/>
            </w:pPr>
            <w:r w:rsidRPr="00FD69A6">
              <w:t xml:space="preserve">confidential information security </w:t>
            </w:r>
          </w:p>
          <w:p w:rsidR="00000000" w:rsidRPr="00FD69A6" w:rsidP="00FD69A6">
            <w:pPr>
              <w:pStyle w:val="ListBullet"/>
            </w:pPr>
            <w:r w:rsidRPr="00FD69A6">
              <w:t xml:space="preserve">communication with applicable emergency service and regulatory organisations </w:t>
            </w:r>
          </w:p>
          <w:p w:rsidR="00000000" w:rsidRPr="00FD69A6" w:rsidP="00FD69A6">
            <w:pPr>
              <w:pStyle w:val="ListBullet"/>
            </w:pPr>
            <w:r w:rsidRPr="00FD69A6">
              <w:t>compliance with applicable enterprise security policies and procedures</w:t>
            </w:r>
          </w:p>
          <w:p w:rsidR="00000000" w:rsidRPr="00FD69A6" w:rsidP="00FD69A6">
            <w:pPr>
              <w:pStyle w:val="BodyText"/>
            </w:pPr>
            <w:r w:rsidRPr="00FD69A6">
              <w:t xml:space="preserve">T2. Emergency/incident control procedures compliance with applicable enterprise </w:t>
            </w:r>
          </w:p>
          <w:p w:rsidR="00000000" w:rsidRPr="00FD69A6" w:rsidP="00FD69A6">
            <w:pPr>
              <w:pStyle w:val="ListBullet"/>
            </w:pPr>
            <w:r w:rsidRPr="00FD69A6">
              <w:t xml:space="preserve">policies and procedures </w:t>
            </w:r>
          </w:p>
          <w:p w:rsidR="00000000" w:rsidRPr="00FD69A6" w:rsidP="00FD69A6">
            <w:pPr>
              <w:pStyle w:val="ListBullet"/>
            </w:pPr>
            <w:r w:rsidRPr="00FD69A6">
              <w:t xml:space="preserve">communication with relevant stakeholders </w:t>
            </w:r>
          </w:p>
          <w:p w:rsidR="00000000" w:rsidRPr="00FD69A6" w:rsidP="00FD69A6">
            <w:pPr>
              <w:pStyle w:val="ListBullet"/>
            </w:pPr>
            <w:r w:rsidRPr="00FD69A6">
              <w:t>application of relevant procedures</w:t>
            </w:r>
          </w:p>
          <w:p w:rsidR="00000000" w:rsidRPr="00FD69A6" w:rsidP="00FD69A6">
            <w:pPr>
              <w:pStyle w:val="ListBullet2"/>
            </w:pPr>
            <w:r w:rsidRPr="00FD69A6">
              <w:t>isolate emergency site</w:t>
            </w:r>
          </w:p>
          <w:p w:rsidR="00000000" w:rsidRPr="00FD69A6" w:rsidP="00FD69A6">
            <w:pPr>
              <w:pStyle w:val="ListBullet2"/>
            </w:pPr>
            <w:r w:rsidRPr="00FD69A6">
              <w:t>initial traffic control measures in a gas emergency situation – vehicle and pedestrian</w:t>
            </w:r>
          </w:p>
          <w:p w:rsidR="00000000" w:rsidRPr="00FD69A6" w:rsidP="00FD69A6">
            <w:pPr>
              <w:pStyle w:val="ListBullet2"/>
            </w:pPr>
            <w:r w:rsidRPr="00FD69A6">
              <w:t>safe approach of a gas emergency site</w:t>
            </w:r>
          </w:p>
          <w:p w:rsidR="00000000" w:rsidRPr="00FD69A6" w:rsidP="00FD69A6">
            <w:pPr>
              <w:pStyle w:val="BodyText"/>
            </w:pPr>
            <w:r w:rsidRPr="00FD69A6">
              <w:t>T3. Emergency site assessment</w:t>
            </w:r>
          </w:p>
          <w:p w:rsidR="00000000" w:rsidRPr="00FD69A6" w:rsidP="00FD69A6">
            <w:pPr>
              <w:pStyle w:val="ListBullet"/>
            </w:pPr>
            <w:r w:rsidRPr="00FD69A6">
              <w:t>physical security breaches of gas infrastructure</w:t>
            </w:r>
          </w:p>
          <w:p w:rsidR="00000000" w:rsidRPr="00FD69A6" w:rsidP="00FD69A6">
            <w:pPr>
              <w:pStyle w:val="ListBullet"/>
            </w:pPr>
            <w:r w:rsidRPr="00FD69A6">
              <w:t xml:space="preserve">threat assessment and management </w:t>
            </w:r>
          </w:p>
          <w:p w:rsidR="00000000" w:rsidRPr="00FD69A6" w:rsidP="00FD69A6">
            <w:pPr>
              <w:pStyle w:val="BodyText"/>
            </w:pPr>
            <w:r w:rsidRPr="00FD69A6">
              <w:t>T4. Site investigation and evidence gathering techniques</w:t>
            </w:r>
          </w:p>
          <w:p w:rsidR="00000000" w:rsidRPr="00FD69A6" w:rsidP="00FD69A6">
            <w:pPr>
              <w:pStyle w:val="ListBullet"/>
            </w:pPr>
            <w:r w:rsidRPr="00FD69A6">
              <w:t>investigating events</w:t>
            </w:r>
          </w:p>
          <w:p w:rsidR="00000000" w:rsidRPr="00FD69A6" w:rsidP="00FD69A6">
            <w:pPr>
              <w:pStyle w:val="ListBullet"/>
            </w:pPr>
            <w:r w:rsidRPr="00FD69A6">
              <w:t>maintaining integrity of site</w:t>
            </w:r>
          </w:p>
          <w:p w:rsidR="00000000" w:rsidRPr="00FD69A6" w:rsidP="00FD69A6">
            <w:pPr>
              <w:pStyle w:val="ListBullet"/>
            </w:pPr>
            <w:r w:rsidRPr="00FD69A6">
              <w:t>gathering evidence from site</w:t>
            </w:r>
          </w:p>
          <w:p w:rsidR="00000000" w:rsidRPr="00FD69A6" w:rsidP="00FD69A6">
            <w:pPr>
              <w:pStyle w:val="ListBullet"/>
            </w:pPr>
            <w:r w:rsidRPr="00FD69A6">
              <w:t>preserving evidence and site for further investigation</w:t>
            </w:r>
          </w:p>
          <w:p w:rsidR="00000000" w:rsidRPr="00FD69A6" w:rsidP="00FD69A6">
            <w:pPr>
              <w:pStyle w:val="BodyText"/>
            </w:pPr>
            <w:r w:rsidRPr="00FD69A6">
              <w:t>T5. Problem solving in a firs</w:t>
            </w:r>
            <w:r w:rsidRPr="00FD69A6">
              <w:t>t response role</w:t>
            </w:r>
          </w:p>
          <w:p w:rsidR="00000000" w:rsidRPr="00FD69A6" w:rsidP="00FD69A6">
            <w:pPr>
              <w:pStyle w:val="ListBullet"/>
            </w:pPr>
            <w:r w:rsidRPr="00FD69A6">
              <w:t xml:space="preserve">likely problems /assets involved and possible solutions </w:t>
            </w:r>
          </w:p>
          <w:p w:rsidR="00000000" w:rsidRPr="00FD69A6" w:rsidP="00FD69A6">
            <w:pPr>
              <w:pStyle w:val="ListBullet"/>
            </w:pPr>
            <w:r w:rsidRPr="00FD69A6">
              <w:t xml:space="preserve">recommending probable solutions </w:t>
            </w:r>
          </w:p>
          <w:p w:rsidR="00000000" w:rsidRPr="00FD69A6" w:rsidP="00FD69A6">
            <w:pPr>
              <w:pStyle w:val="ListBullet"/>
            </w:pPr>
            <w:r w:rsidRPr="00FD69A6">
              <w:t>problem solving techniques</w:t>
            </w:r>
          </w:p>
          <w:p w:rsidR="00000000" w:rsidRPr="00FD69A6" w:rsidP="00FD69A6">
            <w:pPr>
              <w:pStyle w:val="ListBullet"/>
            </w:pPr>
            <w:r w:rsidRPr="00FD69A6">
              <w:t xml:space="preserve">understanding and interpreting relevant technical drawings including, but not limited to: </w:t>
            </w:r>
          </w:p>
          <w:p w:rsidR="00000000" w:rsidRPr="00FD69A6" w:rsidP="00FD69A6">
            <w:pPr>
              <w:pStyle w:val="ListBullet2"/>
            </w:pPr>
            <w:r w:rsidRPr="00FD69A6">
              <w:t>District plans</w:t>
            </w:r>
          </w:p>
          <w:p w:rsidR="00000000" w:rsidRPr="00FD69A6" w:rsidP="00FD69A6">
            <w:pPr>
              <w:pStyle w:val="ListBullet2"/>
            </w:pPr>
            <w:r w:rsidRPr="00FD69A6">
              <w:t>Mains detail plans</w:t>
            </w:r>
          </w:p>
          <w:p w:rsidR="00000000" w:rsidRPr="00FD69A6" w:rsidP="00FD69A6">
            <w:pPr>
              <w:pStyle w:val="ListBullet2"/>
            </w:pPr>
            <w:r w:rsidRPr="00FD69A6">
              <w:t>Easement Plans</w:t>
            </w:r>
          </w:p>
          <w:p w:rsidR="00000000" w:rsidRPr="00FD69A6" w:rsidP="00FD69A6">
            <w:pPr>
              <w:pStyle w:val="ListBullet2"/>
            </w:pPr>
            <w:r w:rsidRPr="00FD69A6">
              <w:t>Industrial Service Plans</w:t>
            </w:r>
          </w:p>
          <w:p w:rsidR="00000000" w:rsidRPr="00FD69A6" w:rsidP="00FD69A6">
            <w:pPr>
              <w:pStyle w:val="ListBullet"/>
            </w:pPr>
            <w:r w:rsidRPr="00FD69A6">
              <w:t>Pipeline route maps and alignment sheets</w:t>
            </w:r>
          </w:p>
          <w:p w:rsidR="00000000" w:rsidRPr="00FD69A6" w:rsidP="00FD69A6">
            <w:pPr>
              <w:pStyle w:val="BodyText"/>
            </w:pPr>
            <w:r w:rsidRPr="00FD69A6">
              <w:t>T6. Communications</w:t>
            </w:r>
          </w:p>
          <w:p w:rsidR="00000000" w:rsidRPr="00FD69A6" w:rsidP="00FD69A6">
            <w:pPr>
              <w:pStyle w:val="ListBullet"/>
            </w:pPr>
            <w:r w:rsidRPr="00FD69A6">
              <w:t>identify nature of situation and preliminary assessment</w:t>
            </w:r>
          </w:p>
          <w:p w:rsidR="00000000" w:rsidRPr="00FD69A6" w:rsidP="00FD69A6">
            <w:pPr>
              <w:pStyle w:val="ListBullet"/>
            </w:pPr>
            <w:r w:rsidRPr="00FD69A6">
              <w:t>internal</w:t>
            </w:r>
          </w:p>
          <w:p w:rsidR="00000000" w:rsidRPr="00FD69A6" w:rsidP="00FD69A6">
            <w:pPr>
              <w:pStyle w:val="ListBullet2"/>
            </w:pPr>
            <w:r w:rsidRPr="00FD69A6">
              <w:t>workplace colleagues and managers</w:t>
            </w:r>
          </w:p>
          <w:p w:rsidR="00000000" w:rsidRPr="00FD69A6" w:rsidP="00FD69A6">
            <w:pPr>
              <w:pStyle w:val="ListBullet"/>
            </w:pPr>
            <w:r w:rsidRPr="00FD69A6">
              <w:t xml:space="preserve">external </w:t>
            </w:r>
          </w:p>
          <w:p w:rsidR="00000000" w:rsidRPr="00FD69A6" w:rsidP="00FD69A6">
            <w:pPr>
              <w:pStyle w:val="ListBullet2"/>
            </w:pPr>
            <w:r w:rsidRPr="00FD69A6">
              <w:t xml:space="preserve">relevant customers and </w:t>
            </w:r>
            <w:r w:rsidRPr="00FD69A6">
              <w:t>suppliers</w:t>
            </w:r>
          </w:p>
          <w:p w:rsidR="00000000" w:rsidRPr="00FD69A6" w:rsidP="00FD69A6">
            <w:pPr>
              <w:pStyle w:val="ListBullet2"/>
            </w:pPr>
            <w:r w:rsidRPr="00FD69A6">
              <w:t>regulatory bodies</w:t>
            </w:r>
          </w:p>
          <w:p w:rsidR="00000000" w:rsidRPr="00FD69A6" w:rsidP="00FD69A6">
            <w:pPr>
              <w:pStyle w:val="ListBullet2"/>
            </w:pPr>
            <w:r w:rsidRPr="00FD69A6">
              <w:t>property/land owners (including traditional land owners) and tenants</w:t>
            </w:r>
          </w:p>
          <w:p w:rsidR="00000000" w:rsidRPr="00FD69A6" w:rsidP="00FD69A6">
            <w:pPr>
              <w:pStyle w:val="ListBullet2"/>
            </w:pPr>
            <w:r w:rsidRPr="00FD69A6">
              <w:t>emergency response organisations</w:t>
            </w:r>
          </w:p>
          <w:p w:rsidR="00000000" w:rsidRPr="00FD69A6" w:rsidP="00FD69A6">
            <w:pPr>
              <w:pStyle w:val="BodyText"/>
            </w:pPr>
            <w:r w:rsidRPr="00FD69A6">
              <w:t xml:space="preserve">T7. Reports </w:t>
            </w:r>
          </w:p>
          <w:p w:rsidR="00000000" w:rsidRPr="00FD69A6" w:rsidP="00FD69A6">
            <w:pPr>
              <w:pStyle w:val="ListBullet"/>
            </w:pPr>
            <w:r w:rsidRPr="00FD69A6">
              <w:t>procedures and legislative requirements for maintaining appropriate reporting and recording systems</w:t>
            </w:r>
          </w:p>
          <w:p w:rsidR="00000000" w:rsidRPr="00FD69A6" w:rsidP="00FD69A6">
            <w:pPr>
              <w:pStyle w:val="ListBullet"/>
            </w:pPr>
            <w:r w:rsidRPr="00FD69A6">
              <w:t>job records and process information to appropriate/relevant department</w:t>
            </w:r>
          </w:p>
          <w:p w:rsidR="00000000" w:rsidRPr="00FD69A6" w:rsidP="00FD69A6">
            <w:pPr>
              <w:pStyle w:val="ListBullet"/>
            </w:pPr>
            <w:r w:rsidRPr="00FD69A6">
              <w:t xml:space="preserve">non-conformance and incident reports including customer outages/ security breaches </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10" w:name="O_619600"/>
      <w:bookmarkEnd w:id="10"/>
      <w:r w:rsidRPr="00FD69A6">
        <w:t>Evidence Guide</w:t>
      </w:r>
    </w:p>
    <w:tbl>
      <w:tblPr>
        <w:tblW w:w="0" w:type="auto"/>
        <w:tblLayout w:type="fixed"/>
        <w:tblCellMar>
          <w:left w:w="62" w:type="dxa"/>
          <w:right w:w="62" w:type="dxa"/>
        </w:tblCellMar>
        <w:tblLook w:val="0000"/>
      </w:tblPr>
      <w:tblGrid>
        <w:gridCol w:w="8336"/>
      </w:tblGrid>
      <w:tr w:rsidTr="00FD69A6">
        <w:tblPrEx>
          <w:tblW w:w="0" w:type="auto"/>
          <w:tblLayout w:type="fixed"/>
          <w:tblCellMar>
            <w:left w:w="62" w:type="dxa"/>
            <w:right w:w="62" w:type="dxa"/>
          </w:tblCellMar>
          <w:tblLook w:val="0000"/>
        </w:tblPrEx>
        <w:trPr>
          <w:trHeight w:val="403"/>
          <w:tblHeader/>
        </w:trPr>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EVIDENCE GUIDE</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8)</w:t>
            </w:r>
            <w:r w:rsidRPr="00FD69A6">
              <w:t xml:space="preserve"> </w:t>
            </w:r>
            <w:r w:rsidRPr="00FD69A6">
              <w:rPr>
                <w:rStyle w:val="Emphasis"/>
              </w:rPr>
              <w:t>The Evidence G</w:t>
            </w:r>
            <w:r w:rsidRPr="00FD69A6">
              <w:rPr>
                <w:rStyle w:val="Emphasis"/>
              </w:rPr>
              <w:t>uide forms an integral part of this Competency Standard Unit and shall be used in conjunction with all components parts of this unit and performed in accordance with the Assessment Guidelines of this Training Package.</w:t>
            </w:r>
          </w:p>
        </w:tc>
      </w:tr>
    </w:tbl>
    <w:p w:rsidR="00000000" w:rsidRPr="00FD69A6" w:rsidP="00FD69A6">
      <w:pPr>
        <w:pStyle w:val="BodyText"/>
      </w:pPr>
    </w:p>
    <w:tbl>
      <w:tblPr>
        <w:tblW w:w="0" w:type="auto"/>
        <w:tblLayout w:type="fixed"/>
        <w:tblCellMar>
          <w:left w:w="62" w:type="dxa"/>
          <w:right w:w="62" w:type="dxa"/>
        </w:tblCellMar>
        <w:tblLook w:val="0000"/>
      </w:tblPr>
      <w:tblGrid>
        <w:gridCol w:w="1766"/>
        <w:gridCol w:w="6570"/>
      </w:tblGrid>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8.1)</w:t>
            </w:r>
          </w:p>
        </w:tc>
      </w:tr>
      <w:tr w:rsidTr="00FD69A6">
        <w:tblPrEx>
          <w:tblW w:w="0" w:type="auto"/>
          <w:tblLayout w:type="fixed"/>
          <w:tblCellMar>
            <w:left w:w="62" w:type="dxa"/>
            <w:right w:w="62" w:type="dxa"/>
          </w:tblCellMar>
          <w:tblLook w:val="0000"/>
        </w:tblPrEx>
        <w:trPr>
          <w:trHeight w:val="277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Longitudinal competency development approaches to assessment, such as Profiling, require data to be reliably gathered in a form that can be consistently interpreted over time. This approach is best utilised in Apprenticeship programs and reduces assessment</w:t>
            </w:r>
            <w:r w:rsidRPr="00FD69A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D69A6">
              <w:t>tency in a realistically simulated work environment. It is recognised that, in some circumstances, assessment in part or full can occur outside the workplace. However, it must be in accord with Industry regulatory policy in this regard.</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Methods chosen fo</w:t>
            </w:r>
            <w:r w:rsidRPr="00FD69A6">
              <w:t>r a particular assessment will be influenced by various factors. These include the extent of the assessment, the most effective locations for the assessment activities to take place, access to physical resources, additional safety measures that may be requ</w:t>
            </w:r>
            <w:r w:rsidRPr="00FD69A6">
              <w:t>ired and the critical nature of the competencies being assessed.</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The critical safety nature of working with electricity, electrical equipment, gas or any other hazardous substance/material carries risk in deeming a person competent. Hence, sources of evi</w:t>
            </w:r>
            <w:r w:rsidRPr="00FD69A6">
              <w:t>dence need to be ‘rich’ in nature so as to minimise error in judgment.</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Activities associated with normal every day work have a bearing on the decision as to how much and how detailed the data gathered will contribute to its ‘richness’. Some skills are mo</w:t>
            </w:r>
            <w:r w:rsidRPr="00FD69A6">
              <w:t>re critical to safety and operational requirements while the same skills may be more or less frequently practiced. These points are raised for the assessors to consider when choosing an assessment method and developing assessment instruments. Sample assess</w:t>
            </w:r>
            <w:r w:rsidRPr="00FD69A6">
              <w:t>ment instruments are included for Assessors in the Assessment Guidelines of this Training Package.</w:t>
            </w:r>
          </w:p>
        </w:tc>
      </w:tr>
    </w:tbl>
    <w:p w:rsidR="00000000" w:rsidRPr="00FD69A6" w:rsidP="00FD69A6">
      <w:pPr>
        <w:pStyle w:val="BodyText"/>
      </w:pPr>
    </w:p>
    <w:tbl>
      <w:tblPr>
        <w:tblW w:w="0" w:type="auto"/>
        <w:tblLayout w:type="fixed"/>
        <w:tblCellMar>
          <w:left w:w="62" w:type="dxa"/>
          <w:right w:w="62" w:type="dxa"/>
        </w:tblCellMar>
        <w:tblLook w:val="0000"/>
      </w:tblPr>
      <w:tblGrid>
        <w:gridCol w:w="1800"/>
        <w:gridCol w:w="810"/>
        <w:gridCol w:w="540"/>
        <w:gridCol w:w="5186"/>
        <w:gridCol w:w="34"/>
      </w:tblGrid>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Critical aspects of evidence required to demonstrate competency in this unit</w:t>
            </w: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8.2)</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Before the critical aspects of evidence are cons</w:t>
            </w:r>
            <w:r w:rsidRPr="00FD69A6">
              <w:t>idered all prerequisites shall be met.</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Evidence for competence in this unit shall be considered holistically. Each element and associated Performance Criteria shall be demonstrated on at least two occasions in accordance with the ‘Assessment Guidelines</w:t>
            </w:r>
            <w:r w:rsidRPr="00FD69A6">
              <w:t xml:space="preserve"> — UEG11’. Evidence shall also comprise.</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A representative body of Performance Criteria demonstrated within the timeframes typically expected of the discipline, work function and industrial environment. In particular this shall incorporate evidence tha</w:t>
            </w:r>
            <w:r w:rsidRPr="00FD69A6">
              <w:t>t shows a candidate is able to:</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ListBullet2"/>
              <w:rPr>
                <w:lang w:val="en-NZ"/>
              </w:rPr>
            </w:pPr>
            <w:r w:rsidRPr="00FD69A6">
              <w:t>Implement Occupational Health and Safety workplace procedures and practices including the use of risk control measures as specified in the Performance Criteria and range</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ListBullet2"/>
              <w:rPr>
                <w:lang w:val="en-NZ"/>
              </w:rPr>
            </w:pPr>
            <w:r w:rsidRPr="00FD69A6">
              <w:t>Apply sustainable energy principles and practices as specified in the Performance Criteria and range</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ListBullet2"/>
              <w:rPr>
                <w:lang w:val="en-NZ"/>
              </w:rPr>
            </w:pPr>
            <w:r w:rsidRPr="00FD69A6">
              <w:t>Demonstrate an understanding of the required skills and knowledge as described in this unit to such an extent that the learner’s performance outcome i</w:t>
            </w:r>
            <w:r w:rsidRPr="00FD69A6">
              <w:t>s reported in accordance with the preferred approach; namely a percentile graded result, where required by the regulated environment</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ListBullet2"/>
              <w:rPr>
                <w:lang w:val="en-NZ"/>
              </w:rPr>
            </w:pPr>
            <w:r w:rsidRPr="00FD69A6">
              <w:t>Demonstrate an appropriate level of employability skills</w:t>
            </w:r>
          </w:p>
        </w:tc>
      </w:tr>
      <w:tr w:rsidTr="00513B22">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FD69A6">
            <w:pPr>
              <w:pStyle w:val="ListBullet2"/>
              <w:rPr>
                <w:lang w:val="en-NZ"/>
              </w:rPr>
            </w:pPr>
            <w:r w:rsidRPr="00FD69A6">
              <w:t>Conduct work observing the relevant anti-discrimination legislation, regulations, polices and workplace procedures</w:t>
            </w:r>
          </w:p>
        </w:tc>
      </w:tr>
      <w:tr w:rsidTr="00513B22">
        <w:tblPrEx>
          <w:tblW w:w="0" w:type="auto"/>
          <w:tblLayout w:type="fixed"/>
          <w:tblCellMar>
            <w:left w:w="62" w:type="dxa"/>
            <w:right w:w="62" w:type="dxa"/>
          </w:tblCellMar>
          <w:tblLook w:val="0000"/>
        </w:tblPrEx>
        <w:trPr>
          <w:gridAfter w:val="1"/>
          <w:wAfter w:w="34" w:type="dxa"/>
          <w:trHeight w:val="522"/>
        </w:trPr>
        <w:tc>
          <w:tcPr>
            <w:tcW w:w="180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RPr="00FD69A6" w:rsidP="00FD69A6">
            <w:pPr>
              <w:pStyle w:val="ListBullet"/>
            </w:pPr>
            <w:r w:rsidRPr="00FD69A6">
              <w:t>Demonstrate performance across a representative range of contexts from the prescribed items below.</w:t>
            </w:r>
          </w:p>
          <w:p w:rsidR="00000000" w:rsidP="00FD69A6">
            <w:pPr>
              <w:pStyle w:val="ListBullet2"/>
              <w:rPr>
                <w:lang w:val="en-NZ"/>
              </w:rPr>
            </w:pPr>
            <w:r w:rsidRPr="00FD69A6">
              <w:t>Carrying out first on site emergency response for a gas distribution or transmission incident in accordance with relevant legislation, code, regulations and procedures as described in 9.) Range Statement and including:</w:t>
            </w:r>
          </w:p>
        </w:tc>
      </w:tr>
      <w:tr w:rsidTr="00513B2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A.</w:t>
            </w:r>
          </w:p>
        </w:tc>
        <w:tc>
          <w:tcPr>
            <w:tcW w:w="522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Identifying and evaluating threats to the integrity of gas pipelines  </w:t>
            </w:r>
          </w:p>
        </w:tc>
      </w:tr>
      <w:tr w:rsidTr="00513B2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B.</w:t>
            </w:r>
          </w:p>
        </w:tc>
        <w:tc>
          <w:tcPr>
            <w:tcW w:w="522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Assessing the incident and establishing a safe working site</w:t>
            </w:r>
          </w:p>
        </w:tc>
      </w:tr>
      <w:tr w:rsidTr="00513B2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C.</w:t>
            </w:r>
          </w:p>
        </w:tc>
        <w:tc>
          <w:tcPr>
            <w:tcW w:w="522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Monitoring gas concentrations and control ignition sources</w:t>
            </w:r>
          </w:p>
        </w:tc>
      </w:tr>
      <w:tr w:rsidTr="00513B2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D.</w:t>
            </w:r>
          </w:p>
        </w:tc>
        <w:tc>
          <w:tcPr>
            <w:tcW w:w="522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Initially investigating the incident and collect</w:t>
            </w:r>
            <w:r w:rsidRPr="00FD69A6">
              <w:t>ing evidence</w:t>
            </w:r>
          </w:p>
        </w:tc>
      </w:tr>
      <w:tr w:rsidTr="00513B2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E. </w:t>
            </w:r>
          </w:p>
        </w:tc>
        <w:tc>
          <w:tcPr>
            <w:tcW w:w="522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Completing required documentation and reporting.</w:t>
            </w:r>
          </w:p>
        </w:tc>
      </w:tr>
      <w:tr w:rsidTr="00513B2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F.</w:t>
            </w:r>
          </w:p>
        </w:tc>
        <w:tc>
          <w:tcPr>
            <w:tcW w:w="5220" w:type="dxa"/>
            <w:gridSpan w:val="2"/>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 xml:space="preserve">Dealing with unplanned events by drawing on required skills and knowledge, procedures/ protocols to provide appropriate solutions incorporated </w:t>
            </w:r>
            <w:r w:rsidRPr="00FD69A6">
              <w:t>in the holistic assessment with the above listed items, for example encroachment and/or contact with assets</w:t>
            </w:r>
          </w:p>
        </w:tc>
      </w:tr>
    </w:tbl>
    <w:p w:rsidR="00000000" w:rsidRPr="00FD69A6" w:rsidP="00FD69A6">
      <w:pPr>
        <w:pStyle w:val="BodyText"/>
      </w:pPr>
    </w:p>
    <w:tbl>
      <w:tblPr>
        <w:tblW w:w="0" w:type="auto"/>
        <w:tblLayout w:type="fixed"/>
        <w:tblCellMar>
          <w:left w:w="62" w:type="dxa"/>
          <w:right w:w="62" w:type="dxa"/>
        </w:tblCellMar>
        <w:tblLook w:val="0000"/>
      </w:tblPr>
      <w:tblGrid>
        <w:gridCol w:w="1704"/>
        <w:gridCol w:w="6570"/>
      </w:tblGrid>
      <w:tr w:rsidTr="00FD69A6">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8.3)</w:t>
            </w:r>
          </w:p>
        </w:tc>
      </w:tr>
      <w:tr w:rsidTr="00FD69A6">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This unit should be assessed as it relates to normal work practice using procedures, infor</w:t>
            </w:r>
            <w:r w:rsidRPr="00FD69A6">
              <w:t>mation and resources typical of a workplace. This should include:</w:t>
            </w:r>
          </w:p>
        </w:tc>
      </w:tr>
      <w:tr w:rsidTr="00FD69A6">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OHS/OHS policy and work procedures and instructions.</w:t>
            </w:r>
          </w:p>
        </w:tc>
      </w:tr>
      <w:tr w:rsidTr="00FD69A6">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 xml:space="preserve">Suitable work environment, facilities, equipment and materials to undertake actual </w:t>
            </w:r>
            <w:r w:rsidRPr="00FD69A6">
              <w:t>work as prescribed by this Competency Standard Unit.</w:t>
            </w:r>
          </w:p>
        </w:tc>
      </w:tr>
      <w:tr w:rsidTr="00FD69A6">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Appropriate environmental regulation and work practices.</w:t>
            </w:r>
          </w:p>
        </w:tc>
      </w:tr>
      <w:tr w:rsidTr="00FD69A6">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Appropriate work environment, equipment and tools.</w:t>
            </w:r>
          </w:p>
        </w:tc>
      </w:tr>
      <w:tr w:rsidTr="00FD69A6">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These should be part of the formal learning/assessment environment.</w:t>
            </w:r>
          </w:p>
          <w:p w:rsidR="00000000" w:rsidRPr="00FD69A6" w:rsidP="00FD69A6">
            <w:pPr>
              <w:pStyle w:val="BodyText"/>
            </w:pPr>
            <w:r w:rsidRPr="00FD69A6">
              <w:t xml:space="preserve">Assessment of this </w:t>
            </w:r>
            <w:r w:rsidRPr="00FD69A6">
              <w:t>competency must also be undertaken in either an actual workplace or under a simulated work environment. Assessment must also integrate the employability skills</w:t>
            </w:r>
          </w:p>
          <w:p w:rsidR="00000000" w:rsidRPr="00FD69A6" w:rsidP="00FD69A6">
            <w:pPr>
              <w:pStyle w:val="BodyText"/>
            </w:pPr>
            <w:r w:rsidRPr="00FD69A6">
              <w:t>Note:</w:t>
            </w:r>
          </w:p>
          <w:p w:rsidR="00000000" w:rsidRPr="00FD69A6" w:rsidP="00FD69A6">
            <w:pPr>
              <w:pStyle w:val="BodyText"/>
            </w:pPr>
            <w:r w:rsidRPr="00FD69A6">
              <w:t>Where simulation is considered a suitable strategy for assessment, conditions must be auth</w:t>
            </w:r>
            <w:r w:rsidRPr="00FD69A6">
              <w:t>entic and as far as possible reproduce and replicate the workplace and be consistent with the approved industry simulation policy.</w:t>
            </w:r>
          </w:p>
          <w:p w:rsidR="00000000" w:rsidRPr="00FD69A6" w:rsidP="00FD69A6">
            <w:pPr>
              <w:pStyle w:val="BodyText"/>
            </w:pPr>
            <w:r w:rsidRPr="00FD69A6">
              <w:t>The resources used for assessment should reflect current industry practices in relation to locating, proving and protecting utility assets.</w:t>
            </w:r>
          </w:p>
        </w:tc>
      </w:tr>
    </w:tbl>
    <w:p w:rsidR="00000000" w:rsidRPr="00FD69A6" w:rsidP="00FD69A6">
      <w:pPr>
        <w:pStyle w:val="BodyText"/>
      </w:pPr>
    </w:p>
    <w:tbl>
      <w:tblPr>
        <w:tblW w:w="0" w:type="auto"/>
        <w:tblLayout w:type="fixed"/>
        <w:tblCellMar>
          <w:left w:w="62" w:type="dxa"/>
          <w:right w:w="62" w:type="dxa"/>
        </w:tblCellMar>
        <w:tblLook w:val="0000"/>
      </w:tblPr>
      <w:tblGrid>
        <w:gridCol w:w="1766"/>
        <w:gridCol w:w="6570"/>
      </w:tblGrid>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8.4)</w:t>
            </w:r>
          </w:p>
        </w:tc>
      </w:tr>
      <w:tr w:rsidTr="00FD69A6">
        <w:tblPrEx>
          <w:tblW w:w="0" w:type="auto"/>
          <w:tblLayout w:type="fixed"/>
          <w:tblCellMar>
            <w:left w:w="62" w:type="dxa"/>
            <w:right w:w="62" w:type="dxa"/>
          </w:tblCellMar>
          <w:tblLook w:val="0000"/>
        </w:tblPrEx>
        <w:trPr>
          <w:trHeight w:val="60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This Competency Standard Unit shall be assessed by methods given in Volume 1, Part 3 ‘</w:t>
            </w:r>
            <w:r w:rsidRPr="00FD69A6">
              <w:t>Assessment Guidelines’.</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Note: Competent performance with inherent safe working practices is expected in the Industry to which this Competency Standard Unit applies. This requires that the required Skills and Knowledge s are assessed in a structured envir</w:t>
            </w:r>
            <w:r w:rsidRPr="00FD69A6">
              <w:t>onment which is primarily intended for learning/assessment and incorporates all necessary equipment and facilities for learners to develop and demonstrate the required skills and knowledge and associated skills described in this unit.</w:t>
            </w:r>
          </w:p>
        </w:tc>
      </w:tr>
    </w:tbl>
    <w:p w:rsidR="00000000" w:rsidRPr="00FD69A6" w:rsidP="00FD69A6">
      <w:pPr>
        <w:pStyle w:val="BodyText"/>
      </w:pPr>
    </w:p>
    <w:tbl>
      <w:tblPr>
        <w:tblW w:w="0" w:type="auto"/>
        <w:tblLayout w:type="fixed"/>
        <w:tblCellMar>
          <w:left w:w="62" w:type="dxa"/>
          <w:right w:w="62" w:type="dxa"/>
        </w:tblCellMar>
        <w:tblLook w:val="0000"/>
      </w:tblPr>
      <w:tblGrid>
        <w:gridCol w:w="1766"/>
        <w:gridCol w:w="1858"/>
        <w:gridCol w:w="4926"/>
        <w:gridCol w:w="24"/>
      </w:tblGrid>
      <w:tr w:rsidTr="00FD69A6">
        <w:tblPrEx>
          <w:tblW w:w="0" w:type="auto"/>
          <w:tblLayout w:type="fixed"/>
          <w:tblCellMar>
            <w:left w:w="62" w:type="dxa"/>
            <w:right w:w="62" w:type="dxa"/>
          </w:tblCellMar>
          <w:tblLook w:val="0000"/>
        </w:tblPrEx>
        <w:trPr>
          <w:gridAfter w:val="1"/>
          <w:wAfter w:w="24" w:type="dxa"/>
        </w:trPr>
        <w:tc>
          <w:tcPr>
            <w:tcW w:w="176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Concurrent assessment and relationship with other units</w:t>
            </w:r>
          </w:p>
        </w:tc>
        <w:tc>
          <w:tcPr>
            <w:tcW w:w="6784"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8.5)</w:t>
            </w:r>
          </w:p>
        </w:tc>
      </w:tr>
      <w:tr w:rsidTr="00FD69A6">
        <w:tblPrEx>
          <w:tblW w:w="0" w:type="auto"/>
          <w:tblLayout w:type="fixed"/>
          <w:tblCellMar>
            <w:left w:w="62" w:type="dxa"/>
            <w:right w:w="62" w:type="dxa"/>
          </w:tblCellMar>
          <w:tblLook w:val="0000"/>
        </w:tblPrEx>
        <w:trPr>
          <w:gridAfter w:val="1"/>
          <w:wAfter w:w="24" w:type="dxa"/>
          <w:trHeight w:val="1084"/>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4"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There are no recommended concurrent assessments with this unit, however in some cases efficiencies may be gained in terms of learning and assessment effort being concurrently managed with alli</w:t>
            </w:r>
            <w:r w:rsidRPr="00FD69A6">
              <w:t>ed Competency Standard Units where listed.</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UEGNSG132A</w:t>
            </w:r>
          </w:p>
        </w:tc>
        <w:tc>
          <w:tcPr>
            <w:tcW w:w="495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Carry out work activities in a gas industry work environment</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UEGNSG140A</w:t>
            </w:r>
          </w:p>
        </w:tc>
        <w:tc>
          <w:tcPr>
            <w:tcW w:w="495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Apply with environmental policies and procedures in the utilities industry</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UEGNSG134A</w:t>
            </w:r>
          </w:p>
        </w:tc>
        <w:tc>
          <w:tcPr>
            <w:tcW w:w="495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Establish a utilities infrastructure work site</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BSBFLM312B</w:t>
            </w:r>
          </w:p>
        </w:tc>
        <w:tc>
          <w:tcPr>
            <w:tcW w:w="4950" w:type="dxa"/>
            <w:gridSpan w:val="2"/>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 xml:space="preserve">Contribute to team effectiveness </w:t>
            </w:r>
          </w:p>
        </w:tc>
      </w:tr>
      <w:tr w:rsidTr="00FD69A6">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BSBFLM303C</w:t>
            </w:r>
          </w:p>
        </w:tc>
        <w:tc>
          <w:tcPr>
            <w:tcW w:w="4950" w:type="dxa"/>
            <w:gridSpan w:val="2"/>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Contribute to effective workplace relationships</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11" w:name="O_619601"/>
      <w:bookmarkEnd w:id="11"/>
      <w:r w:rsidRPr="00FD69A6">
        <w:t>Range Statement</w:t>
      </w:r>
    </w:p>
    <w:tbl>
      <w:tblPr>
        <w:tblW w:w="0" w:type="auto"/>
        <w:tblLayout w:type="fixed"/>
        <w:tblCellMar>
          <w:left w:w="62" w:type="dxa"/>
          <w:right w:w="62" w:type="dxa"/>
        </w:tblCellMar>
        <w:tblLook w:val="0000"/>
      </w:tblPr>
      <w:tblGrid>
        <w:gridCol w:w="8336"/>
      </w:tblGrid>
      <w:tr w:rsidTr="00FD69A6">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RANGE STATEMENT</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9)</w:t>
            </w:r>
            <w:r w:rsidRPr="00FD69A6">
              <w:t xml:space="preserve"> </w:t>
            </w:r>
            <w:r w:rsidRPr="00FD69A6">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This Competency Standard</w:t>
            </w:r>
            <w:r w:rsidRPr="00FD69A6">
              <w:t xml:space="preserve"> Unit shall be demonstrated in relation to first on site response to an emergency on a gas pipeline which may include but is not limited to, escapes, outages, security breaches, fires, injury and damages. </w:t>
            </w:r>
          </w:p>
          <w:p w:rsidR="00000000" w:rsidP="00FD69A6">
            <w:pPr>
              <w:pStyle w:val="BodyText"/>
              <w:rPr>
                <w:lang w:val="en-NZ"/>
              </w:rPr>
            </w:pPr>
            <w:r w:rsidRPr="00FD69A6">
              <w:t>This includes assessing the extent and type of inc</w:t>
            </w:r>
            <w:r w:rsidRPr="00FD69A6">
              <w:t>ident; making the area safe, identifying source of gas leaks, reporting back to the response/control centre, identifying and controlling potential ignition sources, ventilation/ evacuation from property, liaising with other authorities and emergency servic</w:t>
            </w:r>
            <w:r w:rsidRPr="00FD69A6">
              <w:t xml:space="preserve">es . </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t>The following constants and variables included in the Element/Performance Criteria in this unit are fully described in the Definitions Section of this volume and form an integral part of the Range Statement of this unit:</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Tools and equipment</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Maps and drawings</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Established procedures</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PPE and First Aid equipment</w:t>
            </w:r>
          </w:p>
        </w:tc>
      </w:tr>
      <w:tr w:rsidTr="00FD69A6">
        <w:tblPrEx>
          <w:tblW w:w="0" w:type="auto"/>
          <w:tblLayout w:type="fixed"/>
          <w:tblCellMar>
            <w:left w:w="62" w:type="dxa"/>
            <w:right w:w="62" w:type="dxa"/>
          </w:tblCellMar>
          <w:tblLook w:val="0000"/>
        </w:tblPrEx>
        <w:trPr>
          <w:trHeight w:val="361"/>
        </w:trPr>
        <w:tc>
          <w:tcPr>
            <w:tcW w:w="8336"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Traffic control</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FD69A6">
            <w:pPr>
              <w:pStyle w:val="ListBullet"/>
              <w:rPr>
                <w:lang w:val="en-NZ"/>
              </w:rPr>
            </w:pPr>
            <w:r w:rsidRPr="00FD69A6">
              <w:t>Emergency response manuals</w:t>
            </w:r>
          </w:p>
        </w:tc>
      </w:tr>
      <w:tr w:rsidTr="00FD69A6">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FD69A6" w:rsidP="00FD69A6">
            <w:pPr>
              <w:pStyle w:val="ListBullet"/>
            </w:pPr>
            <w:r w:rsidRPr="00FD69A6">
              <w:t>Security breach investigation practices</w:t>
            </w:r>
          </w:p>
        </w:tc>
      </w:tr>
    </w:tbl>
    <w:p w:rsidR="00000000" w:rsidRPr="00FD69A6" w:rsidP="00FD69A6">
      <w:pPr>
        <w:pStyle w:val="BodyText"/>
      </w:pPr>
    </w:p>
    <w:p w:rsidR="00000000" w:rsidRPr="00FD69A6" w:rsidP="00FD69A6">
      <w:pPr>
        <w:pStyle w:val="AllowPageBreak"/>
      </w:pPr>
    </w:p>
    <w:p w:rsidR="00000000" w:rsidRPr="00FD69A6" w:rsidP="00FD69A6">
      <w:pPr>
        <w:pStyle w:val="Heading1"/>
      </w:pPr>
      <w:bookmarkStart w:id="12" w:name="O_619602"/>
      <w:bookmarkEnd w:id="12"/>
      <w:r w:rsidRPr="00FD69A6">
        <w:t>Unit Sector(s)</w:t>
      </w:r>
    </w:p>
    <w:p w:rsidR="00000000" w:rsidRPr="00FD69A6" w:rsidP="00FD69A6">
      <w:pPr>
        <w:pStyle w:val="BodyText"/>
      </w:pPr>
      <w:r w:rsidRPr="00FD69A6">
        <w:t>Gas Industry</w:t>
      </w:r>
    </w:p>
    <w:p w:rsidR="00000000" w:rsidRPr="00FD69A6" w:rsidP="00FD69A6">
      <w:pPr>
        <w:pStyle w:val="AllowPageBreak"/>
      </w:pPr>
    </w:p>
    <w:p w:rsidR="00000000" w:rsidRPr="00FD69A6" w:rsidP="00FD69A6">
      <w:pPr>
        <w:pStyle w:val="Heading1"/>
      </w:pPr>
      <w:bookmarkStart w:id="13" w:name="O_619603"/>
      <w:bookmarkEnd w:id="13"/>
      <w:r w:rsidRPr="00FD69A6">
        <w:t>11. Competency Field</w:t>
      </w:r>
    </w:p>
    <w:tbl>
      <w:tblPr>
        <w:tblW w:w="0" w:type="auto"/>
        <w:tblLayout w:type="fixed"/>
        <w:tblCellMar>
          <w:left w:w="62" w:type="dxa"/>
          <w:right w:w="62" w:type="dxa"/>
        </w:tblCellMar>
        <w:tblLook w:val="0000"/>
      </w:tblPr>
      <w:tblGrid>
        <w:gridCol w:w="2576"/>
        <w:gridCol w:w="5760"/>
      </w:tblGrid>
      <w:tr w:rsidTr="00FD69A6">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D69A6">
            <w:pPr>
              <w:pStyle w:val="BodyText"/>
              <w:rPr>
                <w:lang w:val="en-NZ"/>
              </w:rPr>
            </w:pPr>
            <w:r w:rsidRPr="00FD69A6">
              <w:rPr>
                <w:rStyle w:val="SpecialBold"/>
              </w:rPr>
              <w:t xml:space="preserve">11) </w:t>
            </w:r>
          </w:p>
        </w:tc>
      </w:tr>
      <w:tr w:rsidTr="00FD69A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69A6" w:rsidP="00FD69A6">
            <w:pPr>
              <w:pStyle w:val="BodyText"/>
            </w:pPr>
            <w:r w:rsidRPr="00FD69A6">
              <w:t>Gas distribution and transmission</w:t>
            </w:r>
          </w:p>
        </w:tc>
      </w:tr>
    </w:tbl>
    <w:p w:rsidR="00000000" w:rsidRPr="00FD69A6" w:rsidP="00FD69A6">
      <w:pPr>
        <w:pStyle w:val="BodyText"/>
      </w:pPr>
    </w:p>
    <w:p w:rsidR="00000000" w:rsidRPr="00FD69A6" w:rsidP="00FD69A6"/>
    <w:sectPr w:rsidSect="00FD69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A6" w:rsidRPr="00513B22" w:rsidP="00513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22" w:rsidP="00FD6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13B22" w:rsidP="00FD69A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13B22" w:rsidP="00FD6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A6" w:rsidRPr="00513B22" w:rsidP="00513B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22" w:rsidRPr="002D2AF8" w:rsidP="00FD69A6">
    <w:pPr>
      <w:pStyle w:val="Header"/>
      <w:framePr w:wrap="around"/>
    </w:pPr>
    <w:r>
      <w:fldChar w:fldCharType="begin"/>
    </w:r>
    <w:r>
      <w:instrText xml:space="preserve"> TITLE   \* MERGEFORMAT </w:instrText>
    </w:r>
    <w:r>
      <w:fldChar w:fldCharType="separate"/>
    </w:r>
    <w:r>
      <w:t>UEGNSG221A First on site response to gas pipeline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513B22" w:rsidP="00FD6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03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60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649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9A6"/>
    <w:pPr>
      <w:spacing w:before="360" w:after="60"/>
      <w:outlineLvl w:val="0"/>
    </w:pPr>
    <w:rPr>
      <w:sz w:val="32"/>
    </w:rPr>
  </w:style>
  <w:style w:type="paragraph" w:styleId="Heading2">
    <w:name w:val="heading 2"/>
    <w:basedOn w:val="HeadingBase"/>
    <w:next w:val="BodyText"/>
    <w:link w:val="Heading2Char"/>
    <w:qFormat/>
    <w:rsid w:val="00FD69A6"/>
    <w:pPr>
      <w:keepLines/>
      <w:spacing w:before="240" w:after="120"/>
      <w:outlineLvl w:val="1"/>
    </w:pPr>
    <w:rPr>
      <w:sz w:val="28"/>
      <w:szCs w:val="40"/>
    </w:rPr>
  </w:style>
  <w:style w:type="paragraph" w:styleId="Heading3">
    <w:name w:val="heading 3"/>
    <w:basedOn w:val="HeadingBase"/>
    <w:next w:val="BodyText"/>
    <w:link w:val="Heading3Char"/>
    <w:qFormat/>
    <w:rsid w:val="00FD69A6"/>
    <w:pPr>
      <w:spacing w:before="180" w:after="120"/>
      <w:outlineLvl w:val="2"/>
    </w:pPr>
    <w:rPr>
      <w:spacing w:val="-10"/>
      <w:kern w:val="32"/>
    </w:rPr>
  </w:style>
  <w:style w:type="paragraph" w:styleId="Heading4">
    <w:name w:val="heading 4"/>
    <w:basedOn w:val="HeadingBase"/>
    <w:next w:val="BodyText"/>
    <w:link w:val="Heading4Char"/>
    <w:qFormat/>
    <w:rsid w:val="00FD69A6"/>
    <w:pPr>
      <w:spacing w:before="160" w:after="120"/>
      <w:outlineLvl w:val="3"/>
    </w:pPr>
    <w:rPr>
      <w:sz w:val="22"/>
    </w:rPr>
  </w:style>
  <w:style w:type="paragraph" w:styleId="Heading5">
    <w:name w:val="heading 5"/>
    <w:basedOn w:val="HeadingBase"/>
    <w:next w:val="Normal"/>
    <w:link w:val="Heading5Char"/>
    <w:qFormat/>
    <w:rsid w:val="00FD69A6"/>
    <w:pPr>
      <w:spacing w:before="80"/>
      <w:outlineLvl w:val="4"/>
    </w:pPr>
    <w:rPr>
      <w:color w:val="918585"/>
      <w:sz w:val="20"/>
    </w:rPr>
  </w:style>
  <w:style w:type="paragraph" w:styleId="Heading6">
    <w:name w:val="heading 6"/>
    <w:basedOn w:val="HeadingBase"/>
    <w:next w:val="Normal"/>
    <w:link w:val="Heading6Char"/>
    <w:qFormat/>
    <w:rsid w:val="00FD69A6"/>
    <w:pPr>
      <w:spacing w:before="60"/>
      <w:outlineLvl w:val="5"/>
    </w:pPr>
    <w:rPr>
      <w:color w:val="918585"/>
      <w:sz w:val="20"/>
    </w:rPr>
  </w:style>
  <w:style w:type="paragraph" w:styleId="Heading7">
    <w:name w:val="heading 7"/>
    <w:basedOn w:val="Normal"/>
    <w:next w:val="Normal"/>
    <w:link w:val="Heading7Char"/>
    <w:qFormat/>
    <w:rsid w:val="00FD69A6"/>
    <w:pPr>
      <w:ind w:left="720"/>
      <w:outlineLvl w:val="6"/>
    </w:pPr>
    <w:rPr>
      <w:i/>
    </w:rPr>
  </w:style>
  <w:style w:type="paragraph" w:styleId="Heading8">
    <w:name w:val="heading 8"/>
    <w:basedOn w:val="Normal"/>
    <w:next w:val="Normal"/>
    <w:link w:val="Heading8Char"/>
    <w:qFormat/>
    <w:rsid w:val="00FD69A6"/>
    <w:pPr>
      <w:ind w:left="720"/>
      <w:outlineLvl w:val="7"/>
    </w:pPr>
    <w:rPr>
      <w:i/>
    </w:rPr>
  </w:style>
  <w:style w:type="paragraph" w:styleId="Heading9">
    <w:name w:val="heading 9"/>
    <w:basedOn w:val="Normal"/>
    <w:next w:val="Normal"/>
    <w:link w:val="Heading9Char"/>
    <w:qFormat/>
    <w:rsid w:val="00FD69A6"/>
    <w:pPr>
      <w:ind w:left="720"/>
      <w:outlineLvl w:val="8"/>
    </w:pPr>
    <w:rPr>
      <w:i/>
    </w:rPr>
  </w:style>
  <w:style w:type="character" w:default="1" w:styleId="DefaultParagraphFont">
    <w:name w:val="Default Paragraph Font"/>
    <w:uiPriority w:val="1"/>
    <w:unhideWhenUsed/>
    <w:rsid w:val="00FD6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9A6"/>
  </w:style>
  <w:style w:type="character" w:customStyle="1" w:styleId="Heading1Char">
    <w:name w:val="Heading 1 Char"/>
    <w:basedOn w:val="DefaultParagraphFont"/>
    <w:link w:val="Heading1"/>
    <w:rsid w:val="00FD69A6"/>
    <w:rPr>
      <w:rFonts w:ascii="Times New Roman" w:eastAsia="Times New Roman" w:hAnsi="Times New Roman" w:cs="Times New Roman"/>
      <w:b/>
      <w:sz w:val="32"/>
      <w:szCs w:val="20"/>
      <w:lang w:eastAsia="en-US"/>
    </w:rPr>
  </w:style>
  <w:style w:type="paragraph" w:styleId="BodyText">
    <w:name w:val="Body Text"/>
    <w:basedOn w:val="Normal"/>
    <w:link w:val="BodyTextChar"/>
    <w:rsid w:val="00FD69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9A6"/>
    <w:rPr>
      <w:rFonts w:ascii="Times New Roman" w:eastAsia="Times New Roman" w:hAnsi="Times New Roman" w:cs="Times New Roman"/>
      <w:sz w:val="24"/>
      <w:lang w:eastAsia="en-US"/>
    </w:rPr>
  </w:style>
  <w:style w:type="paragraph" w:styleId="ListBullet">
    <w:name w:val="List Bullet"/>
    <w:basedOn w:val="List"/>
    <w:rsid w:val="00FD69A6"/>
    <w:pPr>
      <w:numPr>
        <w:numId w:val="13"/>
      </w:numPr>
      <w:tabs>
        <w:tab w:val="clear" w:pos="340"/>
      </w:tabs>
      <w:spacing w:before="40" w:after="40"/>
    </w:pPr>
  </w:style>
  <w:style w:type="character" w:customStyle="1" w:styleId="SpecialBold">
    <w:name w:val="Special Bold"/>
    <w:basedOn w:val="DefaultParagraphFont"/>
    <w:rsid w:val="00FD69A6"/>
    <w:rPr>
      <w:b/>
      <w:spacing w:val="0"/>
    </w:rPr>
  </w:style>
  <w:style w:type="paragraph" w:styleId="ListBullet2">
    <w:name w:val="List Bullet 2"/>
    <w:basedOn w:val="List2"/>
    <w:rsid w:val="00FD69A6"/>
    <w:pPr>
      <w:numPr>
        <w:numId w:val="14"/>
      </w:numPr>
      <w:tabs>
        <w:tab w:val="clear" w:pos="680"/>
      </w:tabs>
    </w:pPr>
  </w:style>
  <w:style w:type="character" w:styleId="Emphasis">
    <w:name w:val="Emphasis"/>
    <w:basedOn w:val="DefaultParagraphFont"/>
    <w:qFormat/>
    <w:rsid w:val="00FD69A6"/>
    <w:rPr>
      <w:i/>
    </w:rPr>
  </w:style>
  <w:style w:type="paragraph" w:customStyle="1" w:styleId="SuperHeading">
    <w:name w:val="SuperHeading"/>
    <w:basedOn w:val="Normal"/>
    <w:rsid w:val="00FD69A6"/>
    <w:pPr>
      <w:spacing w:before="240" w:after="120"/>
      <w:outlineLvl w:val="0"/>
    </w:pPr>
    <w:rPr>
      <w:rFonts w:ascii="Times New Roman" w:hAnsi="Times New Roman"/>
      <w:b/>
      <w:sz w:val="32"/>
    </w:rPr>
  </w:style>
  <w:style w:type="paragraph" w:customStyle="1" w:styleId="AllowPageBreak">
    <w:name w:val="AllowPageBreak"/>
    <w:rsid w:val="00FD6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9A6"/>
    <w:rPr>
      <w:rFonts w:ascii="Courier New" w:eastAsia="Times New Roman" w:hAnsi="Courier New" w:cs="Times New Roman"/>
      <w:i/>
      <w:szCs w:val="20"/>
      <w:lang w:eastAsia="en-US"/>
    </w:rPr>
  </w:style>
  <w:style w:type="paragraph" w:customStyle="1" w:styleId="HeadingBase">
    <w:name w:val="Heading Base"/>
    <w:rsid w:val="00FD6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9A6"/>
    <w:pPr>
      <w:tabs>
        <w:tab w:val="right" w:leader="dot" w:pos="9072"/>
      </w:tabs>
      <w:ind w:left="567"/>
    </w:pPr>
    <w:rPr>
      <w:szCs w:val="22"/>
    </w:rPr>
  </w:style>
  <w:style w:type="paragraph" w:customStyle="1" w:styleId="TOCBase">
    <w:name w:val="TOC Base"/>
    <w:rsid w:val="00FD6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9A6"/>
    <w:pPr>
      <w:tabs>
        <w:tab w:val="right" w:leader="dot" w:pos="9072"/>
      </w:tabs>
      <w:spacing w:before="40" w:after="40"/>
      <w:ind w:left="284"/>
    </w:pPr>
    <w:rPr>
      <w:rFonts w:ascii="Times New Roman" w:hAnsi="Times New Roman"/>
    </w:rPr>
  </w:style>
  <w:style w:type="paragraph" w:styleId="TOC1">
    <w:name w:val="toc 1"/>
    <w:basedOn w:val="TOCBase"/>
    <w:next w:val="Normal"/>
    <w:rsid w:val="00FD6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9A6"/>
    <w:rPr>
      <w:rFonts w:ascii="Times New Roman" w:eastAsia="Times New Roman" w:hAnsi="Times New Roman" w:cs="Times New Roman"/>
      <w:sz w:val="16"/>
      <w:lang w:eastAsia="en-US"/>
    </w:rPr>
  </w:style>
  <w:style w:type="paragraph" w:styleId="Title">
    <w:name w:val="Title"/>
    <w:basedOn w:val="HeadingBase"/>
    <w:link w:val="TitleChar"/>
    <w:qFormat/>
    <w:rsid w:val="00FD69A6"/>
    <w:pPr>
      <w:spacing w:before="5040"/>
      <w:jc w:val="center"/>
    </w:pPr>
    <w:rPr>
      <w:sz w:val="48"/>
      <w:szCs w:val="72"/>
      <w:lang w:val="en-US"/>
    </w:rPr>
  </w:style>
  <w:style w:type="character" w:customStyle="1" w:styleId="TitleChar">
    <w:name w:val="Title Char"/>
    <w:basedOn w:val="DefaultParagraphFont"/>
    <w:link w:val="Title"/>
    <w:rsid w:val="00FD6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9A6"/>
    <w:pPr>
      <w:tabs>
        <w:tab w:val="left" w:pos="3600"/>
        <w:tab w:val="left" w:pos="3958"/>
      </w:tabs>
    </w:pPr>
  </w:style>
  <w:style w:type="paragraph" w:styleId="List">
    <w:name w:val="List"/>
    <w:basedOn w:val="BodyText"/>
    <w:next w:val="BodyText"/>
    <w:rsid w:val="00FD69A6"/>
    <w:pPr>
      <w:tabs>
        <w:tab w:val="left" w:pos="340"/>
      </w:tabs>
      <w:spacing w:before="60" w:after="60"/>
      <w:ind w:left="340" w:hanging="340"/>
    </w:pPr>
  </w:style>
  <w:style w:type="paragraph" w:customStyle="1" w:styleId="Note">
    <w:name w:val="Note"/>
    <w:basedOn w:val="BodyText"/>
    <w:rsid w:val="00FD6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9A6"/>
    <w:pPr>
      <w:framePr w:wrap="auto" w:hAnchor="text" w:y="6049"/>
    </w:pPr>
    <w:rPr>
      <w:color w:val="000000"/>
      <w:sz w:val="40"/>
    </w:rPr>
  </w:style>
  <w:style w:type="paragraph" w:customStyle="1" w:styleId="TOCTitle">
    <w:name w:val="TOCTitle"/>
    <w:basedOn w:val="Heading1"/>
    <w:rsid w:val="00FD69A6"/>
    <w:pPr>
      <w:spacing w:after="240"/>
      <w:jc w:val="center"/>
      <w:outlineLvl w:val="9"/>
    </w:pPr>
    <w:rPr>
      <w:caps/>
    </w:rPr>
  </w:style>
  <w:style w:type="paragraph" w:customStyle="1" w:styleId="Version">
    <w:name w:val="Version"/>
    <w:rsid w:val="00FD69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9A6"/>
    <w:pPr>
      <w:keepNext w:val="0"/>
      <w:tabs>
        <w:tab w:val="right" w:pos="4176"/>
      </w:tabs>
      <w:ind w:left="198" w:hanging="198"/>
    </w:pPr>
    <w:rPr>
      <w:rFonts w:ascii="Garamond" w:hAnsi="Garamond"/>
    </w:rPr>
  </w:style>
  <w:style w:type="paragraph" w:styleId="IndexHeading">
    <w:name w:val="index heading"/>
    <w:basedOn w:val="Normal"/>
    <w:next w:val="Index1"/>
    <w:semiHidden/>
    <w:rsid w:val="00FD69A6"/>
    <w:pPr>
      <w:spacing w:before="120" w:after="120"/>
    </w:pPr>
    <w:rPr>
      <w:rFonts w:ascii="Arial" w:hAnsi="Arial"/>
      <w:b/>
      <w:color w:val="918585"/>
      <w:sz w:val="24"/>
    </w:rPr>
  </w:style>
  <w:style w:type="paragraph" w:styleId="Header">
    <w:name w:val="header"/>
    <w:basedOn w:val="Normal"/>
    <w:link w:val="HeaderChar"/>
    <w:rsid w:val="00FD6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9A6"/>
    <w:rPr>
      <w:rFonts w:ascii="Times New Roman" w:eastAsia="Times New Roman" w:hAnsi="Times New Roman" w:cs="Times New Roman"/>
      <w:sz w:val="16"/>
      <w:szCs w:val="20"/>
      <w:lang w:val="en-GB" w:eastAsia="en-US"/>
    </w:rPr>
  </w:style>
  <w:style w:type="paragraph" w:customStyle="1" w:styleId="Chapter">
    <w:name w:val="Chapter"/>
    <w:basedOn w:val="Normal"/>
    <w:rsid w:val="00FD69A6"/>
    <w:pPr>
      <w:spacing w:before="240"/>
    </w:pPr>
    <w:rPr>
      <w:rFonts w:ascii="Times New Roman" w:hAnsi="Times New Roman"/>
      <w:smallCaps/>
      <w:spacing w:val="80"/>
      <w:sz w:val="28"/>
    </w:rPr>
  </w:style>
  <w:style w:type="paragraph" w:customStyle="1" w:styleId="InChapter">
    <w:name w:val="InChapter"/>
    <w:basedOn w:val="Heading3"/>
    <w:rsid w:val="00FD69A6"/>
    <w:pPr>
      <w:spacing w:after="240"/>
      <w:outlineLvl w:val="9"/>
    </w:pPr>
    <w:rPr>
      <w:noProof/>
    </w:rPr>
  </w:style>
  <w:style w:type="paragraph" w:styleId="Index2">
    <w:name w:val="index 2"/>
    <w:basedOn w:val="Normal"/>
    <w:next w:val="Normal"/>
    <w:semiHidden/>
    <w:rsid w:val="00FD69A6"/>
    <w:pPr>
      <w:tabs>
        <w:tab w:val="right" w:pos="4176"/>
      </w:tabs>
      <w:ind w:left="568" w:hanging="284"/>
    </w:pPr>
    <w:rPr>
      <w:rFonts w:ascii="Garamond" w:hAnsi="Garamond"/>
    </w:rPr>
  </w:style>
  <w:style w:type="paragraph" w:customStyle="1" w:styleId="Byline">
    <w:name w:val="Byline"/>
    <w:rsid w:val="00FD6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9A6"/>
    <w:pPr>
      <w:tabs>
        <w:tab w:val="clear" w:pos="3600"/>
        <w:tab w:val="clear" w:pos="3958"/>
      </w:tabs>
      <w:jc w:val="right"/>
    </w:pPr>
  </w:style>
  <w:style w:type="paragraph" w:styleId="Caption">
    <w:name w:val="caption"/>
    <w:basedOn w:val="BodyText"/>
    <w:next w:val="Normal"/>
    <w:qFormat/>
    <w:rsid w:val="00FD69A6"/>
    <w:pPr>
      <w:framePr w:w="2268" w:hSpace="181" w:vSpace="181" w:wrap="around" w:vAnchor="text" w:hAnchor="page" w:x="1135" w:y="285" w:anchorLock="1"/>
    </w:pPr>
    <w:rPr>
      <w:i/>
    </w:rPr>
  </w:style>
  <w:style w:type="paragraph" w:customStyle="1" w:styleId="MiniTOCTitle">
    <w:name w:val="MiniTOCTitle"/>
    <w:basedOn w:val="Heading4"/>
    <w:rsid w:val="00FD69A6"/>
    <w:pPr>
      <w:spacing w:before="240"/>
      <w:outlineLvl w:val="9"/>
    </w:pPr>
    <w:rPr>
      <w:noProof/>
      <w:sz w:val="24"/>
    </w:rPr>
  </w:style>
  <w:style w:type="paragraph" w:customStyle="1" w:styleId="MiniTOCItem">
    <w:name w:val="MiniTOCItem"/>
    <w:basedOn w:val="ListBullet"/>
    <w:rsid w:val="00FD69A6"/>
    <w:pPr>
      <w:numPr>
        <w:numId w:val="0"/>
      </w:numPr>
      <w:tabs>
        <w:tab w:val="right" w:leader="dot" w:pos="6521"/>
      </w:tabs>
      <w:spacing w:before="0" w:after="0"/>
    </w:pPr>
  </w:style>
  <w:style w:type="paragraph" w:customStyle="1" w:styleId="TOFTitle">
    <w:name w:val="TOFTitle"/>
    <w:basedOn w:val="TOCTitle"/>
    <w:rsid w:val="00FD69A6"/>
  </w:style>
  <w:style w:type="paragraph" w:styleId="TableofFigures">
    <w:name w:val="table of figures"/>
    <w:basedOn w:val="Normal"/>
    <w:next w:val="Normal"/>
    <w:semiHidden/>
    <w:rsid w:val="00FD69A6"/>
    <w:pPr>
      <w:tabs>
        <w:tab w:val="right" w:leader="dot" w:pos="9072"/>
      </w:tabs>
      <w:ind w:left="970" w:hanging="403"/>
    </w:pPr>
    <w:rPr>
      <w:rFonts w:ascii="Times New Roman" w:hAnsi="Times New Roman"/>
      <w:b/>
    </w:rPr>
  </w:style>
  <w:style w:type="paragraph" w:styleId="ListNumber">
    <w:name w:val="List Number"/>
    <w:basedOn w:val="List"/>
    <w:rsid w:val="00FD69A6"/>
    <w:pPr>
      <w:numPr>
        <w:numId w:val="11"/>
      </w:numPr>
    </w:pPr>
  </w:style>
  <w:style w:type="character" w:customStyle="1" w:styleId="WingdingSymbols">
    <w:name w:val="Wingding Symbols"/>
    <w:rsid w:val="00FD69A6"/>
    <w:rPr>
      <w:rFonts w:ascii="Wingdings" w:hAnsi="Wingdings"/>
    </w:rPr>
  </w:style>
  <w:style w:type="paragraph" w:customStyle="1" w:styleId="TableHeading">
    <w:name w:val="Table Heading"/>
    <w:basedOn w:val="HeadingBase"/>
    <w:rsid w:val="00FD69A6"/>
    <w:pPr>
      <w:keepLines/>
      <w:pBdr>
        <w:bottom w:val="single" w:sz="6" w:space="1" w:color="918585"/>
      </w:pBdr>
      <w:spacing w:before="240"/>
    </w:pPr>
  </w:style>
  <w:style w:type="character" w:customStyle="1" w:styleId="HotSpot">
    <w:name w:val="HotSpot"/>
    <w:rsid w:val="00FD69A6"/>
    <w:rPr>
      <w:color w:val="0033CC"/>
      <w:u w:val="none"/>
    </w:rPr>
  </w:style>
  <w:style w:type="paragraph" w:customStyle="1" w:styleId="BodyTextRight">
    <w:name w:val="Body Text Right"/>
    <w:basedOn w:val="BodyText"/>
    <w:rsid w:val="00FD69A6"/>
    <w:pPr>
      <w:spacing w:before="0" w:after="0"/>
      <w:jc w:val="right"/>
    </w:pPr>
  </w:style>
  <w:style w:type="paragraph" w:styleId="Index3">
    <w:name w:val="index 3"/>
    <w:basedOn w:val="ListNumber2"/>
    <w:next w:val="Normal"/>
    <w:semiHidden/>
    <w:rsid w:val="00FD69A6"/>
    <w:pPr>
      <w:numPr>
        <w:numId w:val="0"/>
      </w:numPr>
      <w:tabs>
        <w:tab w:val="right" w:leader="dot" w:pos="4176"/>
      </w:tabs>
    </w:pPr>
  </w:style>
  <w:style w:type="paragraph" w:styleId="ListNumber2">
    <w:name w:val="List Number 2"/>
    <w:basedOn w:val="List2"/>
    <w:rsid w:val="00FD69A6"/>
    <w:pPr>
      <w:numPr>
        <w:numId w:val="10"/>
      </w:numPr>
      <w:tabs>
        <w:tab w:val="clear" w:pos="1060"/>
      </w:tabs>
    </w:pPr>
  </w:style>
  <w:style w:type="paragraph" w:customStyle="1" w:styleId="MarginNote">
    <w:name w:val="Margin Note"/>
    <w:basedOn w:val="BodyText"/>
    <w:rsid w:val="00FD6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9A6"/>
    <w:rPr>
      <w:sz w:val="32"/>
    </w:rPr>
  </w:style>
  <w:style w:type="paragraph" w:customStyle="1" w:styleId="HeadingProcedure">
    <w:name w:val="Heading Procedure"/>
    <w:basedOn w:val="HeadingBase"/>
    <w:next w:val="Normal"/>
    <w:rsid w:val="00FD69A6"/>
    <w:pPr>
      <w:tabs>
        <w:tab w:val="left" w:pos="0"/>
      </w:tabs>
      <w:spacing w:before="120" w:after="60"/>
    </w:pPr>
    <w:rPr>
      <w:i/>
      <w:color w:val="918585"/>
      <w:sz w:val="22"/>
    </w:rPr>
  </w:style>
  <w:style w:type="paragraph" w:customStyle="1" w:styleId="TableBodyText">
    <w:name w:val="Table Body Text"/>
    <w:basedOn w:val="BodyText"/>
    <w:rsid w:val="00FD69A6"/>
    <w:pPr>
      <w:spacing w:before="60" w:after="60"/>
    </w:pPr>
  </w:style>
  <w:style w:type="paragraph" w:styleId="ListContinue">
    <w:name w:val="List Continue"/>
    <w:basedOn w:val="List"/>
    <w:rsid w:val="00FD69A6"/>
    <w:pPr>
      <w:ind w:firstLine="0"/>
    </w:pPr>
  </w:style>
  <w:style w:type="paragraph" w:customStyle="1" w:styleId="ListNote">
    <w:name w:val="List Note"/>
    <w:basedOn w:val="List"/>
    <w:rsid w:val="00FD69A6"/>
    <w:pPr>
      <w:pBdr>
        <w:top w:val="single" w:sz="6" w:space="2" w:color="918585"/>
        <w:bottom w:val="single" w:sz="6" w:space="2" w:color="918585"/>
      </w:pBdr>
      <w:tabs>
        <w:tab w:val="left" w:pos="1021"/>
      </w:tabs>
      <w:ind w:firstLine="0"/>
    </w:pPr>
  </w:style>
  <w:style w:type="paragraph" w:customStyle="1" w:styleId="Warning">
    <w:name w:val="Warning"/>
    <w:basedOn w:val="BodyText"/>
    <w:rsid w:val="00FD69A6"/>
    <w:pPr>
      <w:shd w:val="clear" w:color="auto" w:fill="D9D9D9"/>
      <w:tabs>
        <w:tab w:val="left" w:pos="992"/>
      </w:tabs>
      <w:ind w:left="119" w:right="119"/>
    </w:pPr>
    <w:rPr>
      <w:sz w:val="20"/>
    </w:rPr>
  </w:style>
  <w:style w:type="paragraph" w:customStyle="1" w:styleId="MarginIcons">
    <w:name w:val="Margin Icons"/>
    <w:basedOn w:val="BodyText"/>
    <w:rsid w:val="00FD6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9A6"/>
    <w:rPr>
      <w:rFonts w:ascii="Courier New" w:hAnsi="Courier New"/>
    </w:rPr>
  </w:style>
  <w:style w:type="paragraph" w:customStyle="1" w:styleId="NoteBullet">
    <w:name w:val="Note Bullet"/>
    <w:basedOn w:val="Note"/>
    <w:rsid w:val="00FD69A6"/>
    <w:pPr>
      <w:tabs>
        <w:tab w:val="clear" w:pos="680"/>
      </w:tabs>
      <w:spacing w:before="60" w:after="60"/>
    </w:pPr>
  </w:style>
  <w:style w:type="paragraph" w:customStyle="1" w:styleId="SubHeading2">
    <w:name w:val="SubHeading2"/>
    <w:basedOn w:val="HeadingBase"/>
    <w:rsid w:val="00FD69A6"/>
    <w:pPr>
      <w:spacing w:before="240" w:after="60"/>
    </w:pPr>
    <w:rPr>
      <w:sz w:val="20"/>
    </w:rPr>
  </w:style>
  <w:style w:type="paragraph" w:customStyle="1" w:styleId="SubHeading1">
    <w:name w:val="SubHeading1"/>
    <w:basedOn w:val="HeadingBase"/>
    <w:rsid w:val="00FD69A6"/>
    <w:pPr>
      <w:spacing w:before="240" w:after="60"/>
    </w:pPr>
    <w:rPr>
      <w:color w:val="918585"/>
      <w:sz w:val="22"/>
    </w:rPr>
  </w:style>
  <w:style w:type="paragraph" w:customStyle="1" w:styleId="SideHeading">
    <w:name w:val="Side Heading"/>
    <w:basedOn w:val="HeadingBase"/>
    <w:rsid w:val="00FD6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9A6"/>
    <w:pPr>
      <w:numPr>
        <w:numId w:val="12"/>
      </w:numPr>
    </w:pPr>
  </w:style>
  <w:style w:type="paragraph" w:styleId="PlainText">
    <w:name w:val="Plain Text"/>
    <w:basedOn w:val="Normal"/>
    <w:link w:val="PlainTextChar"/>
    <w:rsid w:val="00FD69A6"/>
    <w:rPr>
      <w:sz w:val="20"/>
    </w:rPr>
  </w:style>
  <w:style w:type="character" w:customStyle="1" w:styleId="PlainTextChar">
    <w:name w:val="Plain Text Char"/>
    <w:basedOn w:val="DefaultParagraphFont"/>
    <w:link w:val="PlainText"/>
    <w:rsid w:val="00FD69A6"/>
    <w:rPr>
      <w:rFonts w:ascii="Courier New" w:eastAsia="Times New Roman" w:hAnsi="Courier New" w:cs="Times New Roman"/>
      <w:sz w:val="20"/>
      <w:szCs w:val="20"/>
      <w:lang w:eastAsia="en-US"/>
    </w:rPr>
  </w:style>
  <w:style w:type="character" w:customStyle="1" w:styleId="MenuOption">
    <w:name w:val="Menu Option"/>
    <w:basedOn w:val="DefaultParagraphFont"/>
    <w:rsid w:val="00FD69A6"/>
    <w:rPr>
      <w:b/>
      <w:smallCaps/>
    </w:rPr>
  </w:style>
  <w:style w:type="paragraph" w:customStyle="1" w:styleId="TableListNumber">
    <w:name w:val="Table List Number"/>
    <w:basedOn w:val="ListNumber"/>
    <w:rsid w:val="00FD69A6"/>
    <w:pPr>
      <w:numPr>
        <w:numId w:val="0"/>
      </w:numPr>
    </w:pPr>
  </w:style>
  <w:style w:type="paragraph" w:styleId="TOC4">
    <w:name w:val="toc 4"/>
    <w:basedOn w:val="TOCBase"/>
    <w:next w:val="Normal"/>
    <w:semiHidden/>
    <w:rsid w:val="00FD69A6"/>
    <w:pPr>
      <w:tabs>
        <w:tab w:val="right" w:leader="dot" w:pos="9071"/>
      </w:tabs>
      <w:ind w:left="1701"/>
    </w:pPr>
  </w:style>
  <w:style w:type="paragraph" w:customStyle="1" w:styleId="ListAlpha">
    <w:name w:val="List Alpha"/>
    <w:basedOn w:val="List"/>
    <w:rsid w:val="00FD69A6"/>
    <w:pPr>
      <w:numPr>
        <w:numId w:val="9"/>
      </w:numPr>
    </w:pPr>
  </w:style>
  <w:style w:type="paragraph" w:customStyle="1" w:styleId="ListAlpha2">
    <w:name w:val="List Alpha 2"/>
    <w:basedOn w:val="List2"/>
    <w:rsid w:val="00FD69A6"/>
    <w:pPr>
      <w:numPr>
        <w:numId w:val="8"/>
      </w:numPr>
    </w:pPr>
  </w:style>
  <w:style w:type="paragraph" w:styleId="List2">
    <w:name w:val="List 2"/>
    <w:basedOn w:val="BodyText"/>
    <w:rsid w:val="00FD69A6"/>
    <w:pPr>
      <w:tabs>
        <w:tab w:val="left" w:pos="680"/>
      </w:tabs>
      <w:spacing w:before="60" w:after="60"/>
      <w:ind w:left="680" w:hanging="340"/>
    </w:pPr>
  </w:style>
  <w:style w:type="paragraph" w:styleId="List3">
    <w:name w:val="List 3"/>
    <w:basedOn w:val="BodyText"/>
    <w:rsid w:val="00FD69A6"/>
    <w:pPr>
      <w:tabs>
        <w:tab w:val="left" w:pos="1021"/>
      </w:tabs>
      <w:spacing w:before="60" w:after="60"/>
      <w:ind w:left="1020" w:hanging="340"/>
    </w:pPr>
  </w:style>
  <w:style w:type="paragraph" w:styleId="List4">
    <w:name w:val="List 4"/>
    <w:basedOn w:val="BodyText"/>
    <w:rsid w:val="00FD69A6"/>
    <w:pPr>
      <w:tabs>
        <w:tab w:val="left" w:pos="1361"/>
      </w:tabs>
      <w:spacing w:before="60" w:after="60"/>
      <w:ind w:left="1361" w:hanging="340"/>
    </w:pPr>
  </w:style>
  <w:style w:type="paragraph" w:styleId="List5">
    <w:name w:val="List 5"/>
    <w:basedOn w:val="BodyText"/>
    <w:rsid w:val="00FD69A6"/>
    <w:pPr>
      <w:tabs>
        <w:tab w:val="left" w:pos="1701"/>
      </w:tabs>
      <w:spacing w:before="60" w:after="60"/>
      <w:ind w:left="1701" w:hanging="340"/>
    </w:pPr>
  </w:style>
  <w:style w:type="paragraph" w:styleId="ListBullet3">
    <w:name w:val="List Bullet 3"/>
    <w:basedOn w:val="List3"/>
    <w:rsid w:val="00FD69A6"/>
    <w:pPr>
      <w:numPr>
        <w:numId w:val="15"/>
      </w:numPr>
      <w:tabs>
        <w:tab w:val="clear" w:pos="1021"/>
      </w:tabs>
      <w:ind w:left="1037" w:hanging="357"/>
    </w:pPr>
  </w:style>
  <w:style w:type="paragraph" w:styleId="ListBullet4">
    <w:name w:val="List Bullet 4"/>
    <w:basedOn w:val="List4"/>
    <w:rsid w:val="00FD69A6"/>
    <w:pPr>
      <w:numPr>
        <w:numId w:val="3"/>
      </w:numPr>
    </w:pPr>
  </w:style>
  <w:style w:type="paragraph" w:styleId="ListBullet5">
    <w:name w:val="List Bullet 5"/>
    <w:basedOn w:val="List5"/>
    <w:rsid w:val="00FD69A6"/>
    <w:pPr>
      <w:numPr>
        <w:numId w:val="4"/>
      </w:numPr>
    </w:pPr>
  </w:style>
  <w:style w:type="paragraph" w:styleId="ListContinue2">
    <w:name w:val="List Continue 2"/>
    <w:basedOn w:val="List2"/>
    <w:rsid w:val="00FD69A6"/>
    <w:pPr>
      <w:ind w:firstLine="0"/>
    </w:pPr>
  </w:style>
  <w:style w:type="paragraph" w:styleId="ListContinue3">
    <w:name w:val="List Continue 3"/>
    <w:basedOn w:val="List3"/>
    <w:rsid w:val="00FD69A6"/>
    <w:pPr>
      <w:ind w:left="1021" w:firstLine="0"/>
    </w:pPr>
  </w:style>
  <w:style w:type="paragraph" w:styleId="ListContinue4">
    <w:name w:val="List Continue 4"/>
    <w:basedOn w:val="List4"/>
    <w:rsid w:val="00FD69A6"/>
    <w:pPr>
      <w:ind w:firstLine="0"/>
    </w:pPr>
  </w:style>
  <w:style w:type="paragraph" w:styleId="ListContinue5">
    <w:name w:val="List Continue 5"/>
    <w:basedOn w:val="List5"/>
    <w:rsid w:val="00FD69A6"/>
    <w:pPr>
      <w:ind w:firstLine="0"/>
    </w:pPr>
  </w:style>
  <w:style w:type="paragraph" w:styleId="ListNumber3">
    <w:name w:val="List Number 3"/>
    <w:basedOn w:val="List3"/>
    <w:rsid w:val="00FD69A6"/>
    <w:pPr>
      <w:numPr>
        <w:numId w:val="5"/>
      </w:numPr>
    </w:pPr>
  </w:style>
  <w:style w:type="paragraph" w:styleId="ListNumber4">
    <w:name w:val="List Number 4"/>
    <w:basedOn w:val="List4"/>
    <w:rsid w:val="00FD69A6"/>
    <w:pPr>
      <w:numPr>
        <w:numId w:val="6"/>
      </w:numPr>
    </w:pPr>
  </w:style>
  <w:style w:type="paragraph" w:styleId="ListNumber5">
    <w:name w:val="List Number 5"/>
    <w:basedOn w:val="List5"/>
    <w:rsid w:val="00FD69A6"/>
    <w:pPr>
      <w:numPr>
        <w:numId w:val="7"/>
      </w:numPr>
    </w:pPr>
  </w:style>
  <w:style w:type="paragraph" w:styleId="BlockText">
    <w:name w:val="Block Text"/>
    <w:basedOn w:val="Normal"/>
    <w:rsid w:val="00FD69A6"/>
    <w:pPr>
      <w:spacing w:after="120"/>
      <w:ind w:left="1440" w:right="1440"/>
    </w:pPr>
  </w:style>
  <w:style w:type="character" w:customStyle="1" w:styleId="Subscript">
    <w:name w:val="Subscript"/>
    <w:basedOn w:val="DefaultParagraphFont"/>
    <w:rsid w:val="00FD69A6"/>
    <w:rPr>
      <w:sz w:val="16"/>
      <w:vertAlign w:val="subscript"/>
    </w:rPr>
  </w:style>
  <w:style w:type="character" w:customStyle="1" w:styleId="Superscript">
    <w:name w:val="Superscript"/>
    <w:basedOn w:val="DefaultParagraphFont"/>
    <w:rsid w:val="00FD69A6"/>
    <w:rPr>
      <w:sz w:val="16"/>
      <w:vertAlign w:val="superscript"/>
    </w:rPr>
  </w:style>
  <w:style w:type="character" w:customStyle="1" w:styleId="Symbols">
    <w:name w:val="Symbols"/>
    <w:basedOn w:val="DefaultParagraphFont"/>
    <w:rsid w:val="00FD69A6"/>
    <w:rPr>
      <w:rFonts w:ascii="Symbol" w:hAnsi="Symbol"/>
    </w:rPr>
  </w:style>
  <w:style w:type="character" w:customStyle="1" w:styleId="MenuOptions">
    <w:name w:val="Menu Options"/>
    <w:basedOn w:val="DefaultParagraphFont"/>
    <w:rsid w:val="00FD69A6"/>
    <w:rPr>
      <w:rFonts w:ascii="Arial Narrow" w:hAnsi="Arial Narrow"/>
      <w:smallCaps/>
    </w:rPr>
  </w:style>
  <w:style w:type="character" w:customStyle="1" w:styleId="Buttons">
    <w:name w:val="Buttons"/>
    <w:basedOn w:val="DefaultParagraphFont"/>
    <w:rsid w:val="00FD69A6"/>
    <w:rPr>
      <w:b/>
    </w:rPr>
  </w:style>
  <w:style w:type="character" w:customStyle="1" w:styleId="Underlined">
    <w:name w:val="Underlined"/>
    <w:basedOn w:val="DefaultParagraphFont"/>
    <w:rsid w:val="00FD69A6"/>
    <w:rPr>
      <w:u w:val="single"/>
    </w:rPr>
  </w:style>
  <w:style w:type="paragraph" w:customStyle="1" w:styleId="TableBodyTextRight">
    <w:name w:val="Table Body Text Right"/>
    <w:basedOn w:val="TableBodyText"/>
    <w:rsid w:val="00FD69A6"/>
    <w:pPr>
      <w:widowControl w:val="0"/>
      <w:autoSpaceDE w:val="0"/>
      <w:autoSpaceDN w:val="0"/>
      <w:adjustRightInd w:val="0"/>
      <w:jc w:val="right"/>
    </w:pPr>
    <w:rPr>
      <w:rFonts w:cs="Arial"/>
      <w:szCs w:val="18"/>
    </w:rPr>
  </w:style>
  <w:style w:type="paragraph" w:customStyle="1" w:styleId="CopyrightText">
    <w:name w:val="Copyright Text"/>
    <w:basedOn w:val="BodyText"/>
    <w:rsid w:val="00FD69A6"/>
    <w:rPr>
      <w:sz w:val="18"/>
    </w:rPr>
  </w:style>
  <w:style w:type="paragraph" w:customStyle="1" w:styleId="BodySmallRight">
    <w:name w:val="Body Small Right"/>
    <w:basedOn w:val="BodyTextRight"/>
    <w:rsid w:val="00FD69A6"/>
    <w:rPr>
      <w:sz w:val="18"/>
      <w:szCs w:val="18"/>
    </w:rPr>
  </w:style>
  <w:style w:type="paragraph" w:customStyle="1" w:styleId="MarginEdition">
    <w:name w:val="Margin Edition"/>
    <w:basedOn w:val="MarginNote"/>
    <w:rsid w:val="00FD69A6"/>
    <w:pPr>
      <w:spacing w:before="0" w:after="0"/>
    </w:pPr>
    <w:rPr>
      <w:rFonts w:ascii="Times New Roman" w:hAnsi="Times New Roman"/>
      <w:color w:val="999999"/>
    </w:rPr>
  </w:style>
  <w:style w:type="paragraph" w:customStyle="1" w:styleId="Spacer">
    <w:name w:val="Spacer"/>
    <w:basedOn w:val="Normal"/>
    <w:rsid w:val="00FD69A6"/>
    <w:rPr>
      <w:sz w:val="2"/>
      <w:szCs w:val="2"/>
    </w:rPr>
  </w:style>
  <w:style w:type="character" w:customStyle="1" w:styleId="Small">
    <w:name w:val="Small"/>
    <w:basedOn w:val="DefaultParagraphFont"/>
    <w:rsid w:val="00FD69A6"/>
    <w:rPr>
      <w:sz w:val="16"/>
    </w:rPr>
  </w:style>
  <w:style w:type="paragraph" w:customStyle="1" w:styleId="WideTable">
    <w:name w:val="Wide Table"/>
    <w:basedOn w:val="Normal"/>
    <w:rsid w:val="00FD69A6"/>
    <w:pPr>
      <w:ind w:left="-1418"/>
    </w:pPr>
    <w:rPr>
      <w:sz w:val="2"/>
      <w:szCs w:val="2"/>
    </w:rPr>
  </w:style>
  <w:style w:type="character" w:styleId="PageNumber">
    <w:name w:val="page number"/>
    <w:basedOn w:val="DefaultParagraphFont"/>
    <w:rsid w:val="00FD69A6"/>
  </w:style>
  <w:style w:type="paragraph" w:styleId="Quote">
    <w:name w:val="Quote"/>
    <w:basedOn w:val="Heading1"/>
    <w:link w:val="QuoteChar"/>
    <w:qFormat/>
    <w:rsid w:val="00FD69A6"/>
    <w:rPr>
      <w:b w:val="0"/>
      <w:sz w:val="72"/>
      <w:szCs w:val="72"/>
      <w:lang w:val="en-NZ"/>
    </w:rPr>
  </w:style>
  <w:style w:type="character" w:customStyle="1" w:styleId="QuoteChar">
    <w:name w:val="Quote Char"/>
    <w:basedOn w:val="DefaultParagraphFont"/>
    <w:link w:val="Quote"/>
    <w:rsid w:val="00FD6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9A6"/>
    <w:pPr>
      <w:pageBreakBefore/>
    </w:pPr>
  </w:style>
  <w:style w:type="paragraph" w:customStyle="1" w:styleId="Border">
    <w:name w:val="Border"/>
    <w:basedOn w:val="Normal"/>
    <w:qFormat/>
    <w:rsid w:val="00FD6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9A6"/>
    <w:rPr>
      <w:b/>
      <w:bCs/>
      <w:i/>
      <w:iCs/>
      <w:color w:val="auto"/>
    </w:rPr>
  </w:style>
  <w:style w:type="paragraph" w:styleId="IntenseQuote">
    <w:name w:val="Intense Quote"/>
    <w:basedOn w:val="Normal"/>
    <w:next w:val="Normal"/>
    <w:link w:val="IntenseQuoteChar"/>
    <w:uiPriority w:val="30"/>
    <w:qFormat/>
    <w:rsid w:val="00FD6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9A6"/>
    <w:rPr>
      <w:smallCaps/>
      <w:color w:val="auto"/>
      <w:u w:val="single"/>
    </w:rPr>
  </w:style>
  <w:style w:type="character" w:styleId="IntenseReference">
    <w:name w:val="Intense Reference"/>
    <w:basedOn w:val="DefaultParagraphFont"/>
    <w:uiPriority w:val="32"/>
    <w:qFormat/>
    <w:rsid w:val="00FD69A6"/>
    <w:rPr>
      <w:b/>
      <w:bCs/>
      <w:smallCaps/>
      <w:color w:val="auto"/>
      <w:spacing w:val="5"/>
      <w:u w:val="single"/>
    </w:rPr>
  </w:style>
  <w:style w:type="paragraph" w:customStyle="1" w:styleId="2ColumnHeading">
    <w:name w:val="2Column Heading"/>
    <w:basedOn w:val="BodyText"/>
    <w:qFormat/>
    <w:rsid w:val="00FD69A6"/>
    <w:pPr>
      <w:spacing w:after="60"/>
      <w:ind w:left="-2268"/>
    </w:pPr>
    <w:rPr>
      <w:b/>
    </w:rPr>
  </w:style>
  <w:style w:type="paragraph" w:customStyle="1" w:styleId="Heading1TOC">
    <w:name w:val="Heading1 TOC"/>
    <w:basedOn w:val="Normal"/>
    <w:qFormat/>
    <w:rsid w:val="00FD69A6"/>
    <w:pPr>
      <w:spacing w:before="240" w:after="120"/>
    </w:pPr>
    <w:rPr>
      <w:rFonts w:ascii="Times New Roman" w:hAnsi="Times New Roman"/>
      <w:b/>
      <w:sz w:val="32"/>
    </w:rPr>
  </w:style>
  <w:style w:type="paragraph" w:customStyle="1" w:styleId="Heading2TOC">
    <w:name w:val="Heading2 TOC"/>
    <w:basedOn w:val="Normal"/>
    <w:qFormat/>
    <w:rsid w:val="00FD69A6"/>
    <w:pPr>
      <w:spacing w:before="240" w:after="60"/>
    </w:pPr>
    <w:rPr>
      <w:rFonts w:ascii="Times New Roman" w:hAnsi="Times New Roman"/>
      <w:b/>
      <w:sz w:val="28"/>
    </w:rPr>
  </w:style>
  <w:style w:type="character" w:customStyle="1" w:styleId="Underline">
    <w:name w:val="Underline"/>
    <w:basedOn w:val="DefaultParagraphFont"/>
    <w:qFormat/>
    <w:rsid w:val="00FD69A6"/>
    <w:rPr>
      <w:u w:val="single"/>
    </w:rPr>
  </w:style>
  <w:style w:type="character" w:customStyle="1" w:styleId="BoldandItalics">
    <w:name w:val="Bold and Italics"/>
    <w:qFormat/>
    <w:rsid w:val="00FD69A6"/>
    <w:rPr>
      <w:b/>
      <w:i/>
      <w:u w:val="none"/>
    </w:rPr>
  </w:style>
  <w:style w:type="paragraph" w:styleId="BalloonText">
    <w:name w:val="Balloon Text"/>
    <w:basedOn w:val="Normal"/>
    <w:link w:val="BalloonTextChar"/>
    <w:rsid w:val="00FD69A6"/>
    <w:rPr>
      <w:rFonts w:ascii="Tahoma" w:hAnsi="Tahoma" w:cs="Tahoma"/>
      <w:sz w:val="16"/>
      <w:szCs w:val="16"/>
    </w:rPr>
  </w:style>
  <w:style w:type="character" w:customStyle="1" w:styleId="BalloonTextChar">
    <w:name w:val="Balloon Text Char"/>
    <w:basedOn w:val="DefaultParagraphFont"/>
    <w:link w:val="BalloonText"/>
    <w:rsid w:val="00FD6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9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9A6"/>
    <w:rPr>
      <w:b/>
      <w:color w:val="660033"/>
      <w:spacing w:val="0"/>
    </w:rPr>
  </w:style>
  <w:style w:type="paragraph" w:customStyle="1" w:styleId="Nameditemlist">
    <w:name w:val="Named item list"/>
    <w:basedOn w:val="BodyText"/>
    <w:qFormat/>
    <w:rsid w:val="00FD69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2668</Words>
  <Characters>16464</Characters>
  <Application>Microsoft Office Word</Application>
  <DocSecurity>0</DocSecurity>
  <Lines>656</Lines>
  <Paragraphs>262</Paragraphs>
  <ScaleCrop>false</ScaleCrop>
  <Company>Author-it Software Corporation Ltd.</Company>
  <LinksUpToDate>false</LinksUpToDate>
  <CharactersWithSpaces>18967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UEGNSG221A First on site response to gas pipeline emergencies</dc:title>
  <dc:subject>Approved</dc:subject>
  <dc:creator>E-Oz Training Standards</dc:creator>
  <cp:keywords>Release 1</cp:keywords>
  <dc:description>Review Date: 12 April 2008</dc:description>
  <cp:lastModifiedBy>TPCMS</cp:lastModifiedBy>
  <cp:revision>3</cp:revision>
  <dcterms:created xsi:type="dcterms:W3CDTF">2014-03-13T15:18:04Z</dcterms:created>
  <dcterms:modified xsi:type="dcterms:W3CDTF">2014-03-13T03:50:00Z</dcterms:modified>
</cp:coreProperties>
</file>