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623" w:rsidP="00ED0623">
      <w:pPr>
        <w:pStyle w:val="Title"/>
      </w:pPr>
      <w:r>
        <w:fldChar w:fldCharType="begin"/>
      </w:r>
      <w:r>
        <w:instrText xml:space="preserve"> TITLE   \* MERGEFORMAT </w:instrText>
      </w:r>
      <w:r>
        <w:fldChar w:fldCharType="separate"/>
      </w:r>
      <w:r>
        <w:t>UEGNSG213B Construct, lay and connect a gas distribution service to a steel main</w:t>
      </w:r>
      <w:r>
        <w:fldChar w:fldCharType="end"/>
      </w:r>
    </w:p>
    <w:p w:rsidR="00ED0623" w:rsidP="00ED0623">
      <w:pPr>
        <w:pStyle w:val="Version"/>
        <w:sectPr w:rsidSect="000048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83E" w:rsidP="0000483E">
      <w:pPr>
        <w:pStyle w:val="SuperHeading"/>
      </w:pPr>
      <w:r w:rsidRPr="0000483E">
        <w:t>UEGNSG213B Construct, lay and connect a gas distribution service to a steel main</w:t>
      </w:r>
    </w:p>
    <w:p w:rsidR="00000000" w:rsidRPr="0000483E" w:rsidP="0000483E">
      <w:pPr>
        <w:pStyle w:val="Heading1"/>
      </w:pPr>
      <w:bookmarkStart w:id="1" w:name="O_613654"/>
      <w:bookmarkEnd w:id="1"/>
      <w:r w:rsidRPr="0000483E">
        <w:t>Modification History</w:t>
      </w:r>
    </w:p>
    <w:p w:rsidR="00000000" w:rsidRPr="0000483E" w:rsidP="0000483E">
      <w:pPr>
        <w:pStyle w:val="BodyText"/>
      </w:pPr>
      <w:r w:rsidRPr="0000483E">
        <w:t>Not applicable.</w:t>
      </w:r>
    </w:p>
    <w:p w:rsidR="00000000" w:rsidRPr="0000483E" w:rsidP="0000483E">
      <w:pPr>
        <w:pStyle w:val="AllowPageBreak"/>
      </w:pPr>
    </w:p>
    <w:p w:rsidR="00000000" w:rsidRPr="0000483E" w:rsidP="0000483E">
      <w:pPr>
        <w:pStyle w:val="Heading1"/>
      </w:pPr>
      <w:bookmarkStart w:id="2" w:name="O_613655"/>
      <w:bookmarkEnd w:id="2"/>
      <w:r w:rsidRPr="0000483E">
        <w:t>Unit Descriptor</w:t>
      </w:r>
    </w:p>
    <w:tbl>
      <w:tblPr>
        <w:tblW w:w="0" w:type="auto"/>
        <w:tblLayout w:type="fixed"/>
        <w:tblCellMar>
          <w:left w:w="62" w:type="dxa"/>
          <w:right w:w="62" w:type="dxa"/>
        </w:tblCellMar>
        <w:tblLook w:val="0000"/>
      </w:tblPr>
      <w:tblGrid>
        <w:gridCol w:w="2700"/>
        <w:gridCol w:w="5580"/>
      </w:tblGrid>
      <w:tr w:rsidTr="00ED06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1) Scope:</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483E">
            <w:pPr>
              <w:pStyle w:val="BodyText"/>
              <w:keepNext w:val="0"/>
              <w:keepLines w:val="0"/>
              <w:contextualSpacing w:val="0"/>
            </w:pPr>
          </w:p>
        </w:tc>
        <w:tc>
          <w:tcPr>
            <w:tcW w:w="55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1.1) Descriptor</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This unit covers excavated bed preparation and the construction, laying and connection of a gas service to a steel main.  This includes the installation of the meter to service riser, subject to local regulatory requirements.</w:t>
            </w:r>
          </w:p>
          <w:p w:rsidR="00000000" w:rsidRPr="0000483E" w:rsidP="0000483E">
            <w:pPr>
              <w:pStyle w:val="BodyText"/>
            </w:pPr>
            <w:r w:rsidRPr="0000483E">
              <w:t>It encompasses the use of rele</w:t>
            </w:r>
            <w:r w:rsidRPr="0000483E">
              <w:t>vant tools and equipment, working safely using standard operating procedures, complying with relevant legislative, standard and code requirements and completing necessary documentation.</w:t>
            </w:r>
          </w:p>
        </w:tc>
      </w:tr>
    </w:tbl>
    <w:p w:rsidR="00000000" w:rsidRPr="0000483E" w:rsidP="0000483E">
      <w:pPr>
        <w:pStyle w:val="BodyText"/>
      </w:pPr>
    </w:p>
    <w:p w:rsidR="00000000" w:rsidRPr="0000483E" w:rsidP="0000483E">
      <w:pPr>
        <w:pStyle w:val="AllowPageBreak"/>
      </w:pPr>
    </w:p>
    <w:p w:rsidR="00000000" w:rsidRPr="0000483E" w:rsidP="0000483E">
      <w:pPr>
        <w:pStyle w:val="Heading1"/>
      </w:pPr>
      <w:bookmarkStart w:id="3" w:name="O_613656"/>
      <w:bookmarkEnd w:id="3"/>
      <w:r w:rsidRPr="0000483E">
        <w:t>Application of the Unit</w:t>
      </w:r>
    </w:p>
    <w:tbl>
      <w:tblPr>
        <w:tblW w:w="0" w:type="auto"/>
        <w:tblLayout w:type="fixed"/>
        <w:tblCellMar>
          <w:left w:w="62" w:type="dxa"/>
          <w:right w:w="62" w:type="dxa"/>
        </w:tblCellMar>
        <w:tblLook w:val="0000"/>
      </w:tblPr>
      <w:tblGrid>
        <w:gridCol w:w="2672"/>
        <w:gridCol w:w="5699"/>
      </w:tblGrid>
      <w:tr w:rsidTr="00ED062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2)</w:t>
            </w:r>
          </w:p>
        </w:tc>
      </w:tr>
      <w:tr w:rsidTr="00ED062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This competency standard shall apply to any safe work site where the construction and laying of a gas service and connection to a steel main occur, subject to all Workplace Health and Safety (WHS)/Occupational Health and Safety (OHS) and duty of care req</w:t>
            </w:r>
            <w:r w:rsidRPr="0000483E">
              <w:t>uirements being met for the workplace.</w:t>
            </w:r>
          </w:p>
          <w:p w:rsidR="00000000" w:rsidRPr="0000483E" w:rsidP="0000483E">
            <w:pPr>
              <w:pStyle w:val="BodyText"/>
            </w:pPr>
            <w:r w:rsidRPr="0000483E">
              <w:t>This unit is intended as an entry level AQF 3 competency for new entrants in the gas industry. It is suitable for employment-based programs under an approved contract</w:t>
            </w:r>
          </w:p>
        </w:tc>
      </w:tr>
    </w:tbl>
    <w:p w:rsidR="00000000" w:rsidRPr="0000483E" w:rsidP="0000483E">
      <w:pPr>
        <w:pStyle w:val="BodyText"/>
      </w:pPr>
    </w:p>
    <w:p w:rsidR="00000000" w:rsidRPr="0000483E" w:rsidP="0000483E">
      <w:pPr>
        <w:pStyle w:val="AllowPageBreak"/>
      </w:pPr>
    </w:p>
    <w:p w:rsidR="00000000" w:rsidRPr="0000483E" w:rsidP="0000483E">
      <w:pPr>
        <w:pStyle w:val="Heading1"/>
      </w:pPr>
      <w:bookmarkStart w:id="4" w:name="O_613657"/>
      <w:bookmarkEnd w:id="4"/>
      <w:r w:rsidRPr="0000483E">
        <w:t>Licensing/Regulatory Informatio</w:t>
      </w:r>
      <w:r w:rsidRPr="0000483E">
        <w:t>n</w:t>
      </w:r>
    </w:p>
    <w:tbl>
      <w:tblPr>
        <w:tblW w:w="0" w:type="auto"/>
        <w:tblLayout w:type="fixed"/>
        <w:tblCellMar>
          <w:left w:w="62" w:type="dxa"/>
          <w:right w:w="62" w:type="dxa"/>
        </w:tblCellMar>
        <w:tblLook w:val="0000"/>
      </w:tblPr>
      <w:tblGrid>
        <w:gridCol w:w="2700"/>
        <w:gridCol w:w="5580"/>
      </w:tblGrid>
      <w:tr w:rsidTr="00ED06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License to practice</w:t>
            </w:r>
          </w:p>
        </w:tc>
        <w:tc>
          <w:tcPr>
            <w:tcW w:w="55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 xml:space="preserve">3) </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483E">
            <w:pPr>
              <w:pStyle w:val="BodyText"/>
              <w:keepNext w:val="0"/>
              <w:keepLines w:val="0"/>
              <w:contextualSpacing w:val="0"/>
            </w:pPr>
          </w:p>
        </w:tc>
        <w:tc>
          <w:tcPr>
            <w:tcW w:w="558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 xml:space="preserve">During Training: </w:t>
            </w:r>
          </w:p>
          <w:p w:rsidR="00000000" w:rsidRPr="0000483E" w:rsidP="0000483E">
            <w:pPr>
              <w:pStyle w:val="BodyText"/>
            </w:pPr>
            <w:r w:rsidRPr="0000483E">
              <w:t xml:space="preserve">Competency development activities are subject to regulations directly related to licensing, workplace health and safety and where applicable contracts of training such as apprenticeships. </w:t>
            </w:r>
          </w:p>
          <w:p w:rsidR="00000000" w:rsidRPr="0000483E" w:rsidP="0000483E">
            <w:pPr>
              <w:pStyle w:val="BodyText"/>
            </w:pPr>
          </w:p>
          <w:p w:rsidR="00000000" w:rsidRPr="0000483E" w:rsidP="0000483E">
            <w:pPr>
              <w:pStyle w:val="BodyText"/>
            </w:pPr>
            <w:r w:rsidRPr="0000483E">
              <w:rPr>
                <w:rStyle w:val="SpecialBold"/>
              </w:rPr>
              <w:t>In the workplace:</w:t>
            </w:r>
          </w:p>
          <w:p w:rsidR="00000000" w:rsidRPr="0000483E" w:rsidP="0000483E">
            <w:pPr>
              <w:pStyle w:val="BodyText"/>
            </w:pPr>
            <w:r w:rsidRPr="0000483E">
              <w:t>The skills and knowledge described in this unit are not subject to licence regulation other than those directly related to Workplace Health and Safety/Occupational Health and Safety, gas/electricity/water industry safety and compliance, industrial relation</w:t>
            </w:r>
            <w:r w:rsidRPr="0000483E">
              <w:t xml:space="preserve">s, environmental protection, telecommunications, anti-discrimination and training. </w:t>
            </w:r>
          </w:p>
          <w:p w:rsidR="00000000" w:rsidRPr="0000483E" w:rsidP="0000483E">
            <w:pPr>
              <w:pStyle w:val="BodyText"/>
            </w:pPr>
          </w:p>
          <w:p w:rsidR="00000000" w:rsidRPr="0000483E" w:rsidP="0000483E">
            <w:pPr>
              <w:pStyle w:val="BodyText"/>
            </w:pPr>
            <w:r w:rsidRPr="0000483E">
              <w:t>Commonwealth, State/Territory or Local Government legislation and regulations may exist that limit the age at which a person can operate certain equipment. Other condition</w:t>
            </w:r>
            <w:r w:rsidRPr="0000483E">
              <w:t>s may apply to this competency under State and Territory legislative and regulatory requirements.</w:t>
            </w:r>
          </w:p>
        </w:tc>
      </w:tr>
    </w:tbl>
    <w:p w:rsidR="00000000" w:rsidRPr="0000483E" w:rsidP="0000483E">
      <w:pPr>
        <w:pStyle w:val="BodyText"/>
      </w:pPr>
    </w:p>
    <w:p w:rsidR="00000000" w:rsidRPr="0000483E" w:rsidP="0000483E">
      <w:pPr>
        <w:pStyle w:val="AllowPageBreak"/>
      </w:pPr>
    </w:p>
    <w:p w:rsidR="00000000" w:rsidRPr="0000483E" w:rsidP="0000483E">
      <w:pPr>
        <w:pStyle w:val="Heading1"/>
      </w:pPr>
      <w:bookmarkStart w:id="5" w:name="O_613658"/>
      <w:bookmarkEnd w:id="5"/>
      <w:r w:rsidRPr="0000483E">
        <w:t>Pre-Requisites</w:t>
      </w:r>
    </w:p>
    <w:tbl>
      <w:tblPr>
        <w:tblW w:w="0" w:type="auto"/>
        <w:tblLayout w:type="fixed"/>
        <w:tblCellMar>
          <w:left w:w="62" w:type="dxa"/>
          <w:right w:w="62" w:type="dxa"/>
        </w:tblCellMar>
        <w:tblLook w:val="0000"/>
      </w:tblPr>
      <w:tblGrid>
        <w:gridCol w:w="2700"/>
        <w:gridCol w:w="1800"/>
        <w:gridCol w:w="3780"/>
      </w:tblGrid>
      <w:tr w:rsidTr="00ED06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Prerequisite Unit(s)</w:t>
            </w:r>
          </w:p>
        </w:tc>
        <w:tc>
          <w:tcPr>
            <w:tcW w:w="5580" w:type="dxa"/>
            <w:gridSpan w:val="2"/>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 xml:space="preserve">4) </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Competencies</w:t>
            </w:r>
          </w:p>
        </w:tc>
        <w:tc>
          <w:tcPr>
            <w:tcW w:w="5580" w:type="dxa"/>
            <w:gridSpan w:val="2"/>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4.1)</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Granting of competency in this unit shall be made only after competency in the following unit(s) has/have been confirmed:</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UEGNSG141A</w:t>
            </w:r>
          </w:p>
        </w:tc>
        <w:tc>
          <w:tcPr>
            <w:tcW w:w="37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Apply Workplace Health and Safety regulations, codes and practices in the gas industry</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UEGNSG005A</w:t>
            </w:r>
          </w:p>
        </w:tc>
        <w:tc>
          <w:tcPr>
            <w:tcW w:w="37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Prepare to work in the gas industry</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UEGNSG132A</w:t>
            </w:r>
          </w:p>
        </w:tc>
        <w:tc>
          <w:tcPr>
            <w:tcW w:w="37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Carry out basic work activities in a gas industry work environment</w:t>
            </w:r>
          </w:p>
        </w:tc>
      </w:tr>
      <w:tr w:rsidTr="00ED062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UEGNSG140A</w:t>
            </w:r>
          </w:p>
        </w:tc>
        <w:tc>
          <w:tcPr>
            <w:tcW w:w="37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Apply environmental policies and procedures in the utilities industry</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UEGNSG134A</w:t>
            </w:r>
          </w:p>
        </w:tc>
        <w:tc>
          <w:tcPr>
            <w:tcW w:w="378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Establish a utilities infrastructure work si</w:t>
            </w:r>
            <w:r w:rsidRPr="0000483E">
              <w:t>te</w:t>
            </w:r>
          </w:p>
        </w:tc>
      </w:tr>
    </w:tbl>
    <w:p w:rsidR="00000000" w:rsidRPr="0000483E" w:rsidP="0000483E">
      <w:pPr>
        <w:pStyle w:val="BodyText"/>
      </w:pPr>
    </w:p>
    <w:tbl>
      <w:tblPr>
        <w:tblW w:w="0" w:type="auto"/>
        <w:tblLayout w:type="fixed"/>
        <w:tblCellMar>
          <w:left w:w="62" w:type="dxa"/>
          <w:right w:w="62" w:type="dxa"/>
        </w:tblCellMar>
        <w:tblLook w:val="0000"/>
      </w:tblPr>
      <w:tblGrid>
        <w:gridCol w:w="2700"/>
        <w:gridCol w:w="1080"/>
        <w:gridCol w:w="810"/>
        <w:gridCol w:w="990"/>
        <w:gridCol w:w="900"/>
        <w:gridCol w:w="990"/>
        <w:gridCol w:w="810"/>
      </w:tblGrid>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Literacy and numeracy skills</w:t>
            </w:r>
          </w:p>
        </w:tc>
        <w:tc>
          <w:tcPr>
            <w:tcW w:w="5580" w:type="dxa"/>
            <w:gridSpan w:val="6"/>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 xml:space="preserve">4.2) </w:t>
            </w:r>
          </w:p>
          <w:p w:rsidR="00000000" w:rsidP="0000483E">
            <w:pPr>
              <w:pStyle w:val="BodyText"/>
              <w:rPr>
                <w:lang w:val="en-NZ"/>
              </w:rPr>
            </w:pPr>
            <w:r w:rsidRPr="0000483E">
              <w:t>Participants are best equipped to achieve this unit if they have reading, writing and numeracy skills indicated by the following scales. Description of each scale is given in Volume 2, Part 3 ‘Literacy and Numeracy’</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Reading</w:t>
            </w:r>
          </w:p>
        </w:tc>
        <w:tc>
          <w:tcPr>
            <w:tcW w:w="81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3</w:t>
            </w:r>
          </w:p>
        </w:tc>
        <w:tc>
          <w:tcPr>
            <w:tcW w:w="9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Writing</w:t>
            </w: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3</w:t>
            </w:r>
          </w:p>
        </w:tc>
        <w:tc>
          <w:tcPr>
            <w:tcW w:w="9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Numeracy</w:t>
            </w:r>
          </w:p>
        </w:tc>
        <w:tc>
          <w:tcPr>
            <w:tcW w:w="81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3</w:t>
            </w:r>
          </w:p>
        </w:tc>
      </w:tr>
    </w:tbl>
    <w:p w:rsidR="00000000" w:rsidRPr="0000483E" w:rsidP="0000483E">
      <w:pPr>
        <w:pStyle w:val="BodyText"/>
      </w:pPr>
    </w:p>
    <w:p w:rsidR="00000000" w:rsidRPr="0000483E" w:rsidP="0000483E">
      <w:pPr>
        <w:pStyle w:val="AllowPageBreak"/>
      </w:pPr>
    </w:p>
    <w:p w:rsidR="00000000" w:rsidRPr="0000483E" w:rsidP="0000483E">
      <w:pPr>
        <w:pStyle w:val="Heading1"/>
      </w:pPr>
      <w:bookmarkStart w:id="6" w:name="O_613659"/>
      <w:bookmarkEnd w:id="6"/>
      <w:r w:rsidRPr="0000483E">
        <w:t>Employability Skills Information</w:t>
      </w:r>
    </w:p>
    <w:tbl>
      <w:tblPr>
        <w:tblW w:w="0" w:type="auto"/>
        <w:tblLayout w:type="fixed"/>
        <w:tblCellMar>
          <w:left w:w="62" w:type="dxa"/>
          <w:right w:w="62" w:type="dxa"/>
        </w:tblCellMar>
        <w:tblLook w:val="0000"/>
      </w:tblPr>
      <w:tblGrid>
        <w:gridCol w:w="2700"/>
        <w:gridCol w:w="5670"/>
      </w:tblGrid>
      <w:tr w:rsidTr="00ED06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 xml:space="preserve">5) </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This competency standard shall apply to any basic and safe work site where Gas Industry operations occur. It could also apply, where applicable to other workplaces in the electricity supply industry (transmission and distribution and generation), the elect</w:t>
            </w:r>
            <w:r w:rsidRPr="0000483E">
              <w:t>rotechnology industry and the water industry, subject to all Occupational Health and Safety and duty of care requirements being met for the workplace.</w:t>
            </w:r>
          </w:p>
        </w:tc>
      </w:tr>
    </w:tbl>
    <w:p w:rsidR="00000000" w:rsidRPr="0000483E" w:rsidP="0000483E">
      <w:pPr>
        <w:pStyle w:val="BodyText"/>
      </w:pPr>
    </w:p>
    <w:p w:rsidR="00000000" w:rsidRPr="0000483E" w:rsidP="0000483E">
      <w:pPr>
        <w:pStyle w:val="AllowPageBreak"/>
      </w:pPr>
    </w:p>
    <w:p w:rsidR="00000000" w:rsidRPr="0000483E" w:rsidP="0000483E">
      <w:pPr>
        <w:pStyle w:val="Heading1"/>
      </w:pPr>
      <w:bookmarkStart w:id="7" w:name="O_613660"/>
      <w:bookmarkEnd w:id="7"/>
      <w:r w:rsidRPr="0000483E">
        <w:t>Elements and Performance Criteria Pre-Content</w:t>
      </w:r>
    </w:p>
    <w:tbl>
      <w:tblPr>
        <w:tblW w:w="0" w:type="auto"/>
        <w:tblLayout w:type="fixed"/>
        <w:tblCellMar>
          <w:left w:w="62" w:type="dxa"/>
          <w:right w:w="62" w:type="dxa"/>
        </w:tblCellMar>
        <w:tblLook w:val="0000"/>
      </w:tblPr>
      <w:tblGrid>
        <w:gridCol w:w="2700"/>
        <w:gridCol w:w="5670"/>
      </w:tblGrid>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 xml:space="preserve">6) </w:t>
            </w:r>
            <w:r w:rsidRPr="0000483E">
              <w:rPr>
                <w:rStyle w:val="Emphasis"/>
              </w:rPr>
              <w:t>Elements describe the essential outcomes of a competency standard unit</w:t>
            </w:r>
          </w:p>
        </w:tc>
        <w:tc>
          <w:tcPr>
            <w:tcW w:w="567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Emphasis"/>
              </w:rPr>
              <w:t>Performance Criteria describe the required performance needed to demonstrate achievement of the element. Assessment of performance is to be consistent with the Evidence Guide.</w:t>
            </w:r>
          </w:p>
        </w:tc>
      </w:tr>
    </w:tbl>
    <w:p w:rsidR="00000000" w:rsidRPr="0000483E" w:rsidP="0000483E">
      <w:pPr>
        <w:pStyle w:val="BodyText"/>
      </w:pPr>
    </w:p>
    <w:p w:rsidR="00000000" w:rsidRPr="0000483E" w:rsidP="0000483E">
      <w:pPr>
        <w:pStyle w:val="AllowPageBreak"/>
      </w:pPr>
    </w:p>
    <w:p w:rsidR="00000000" w:rsidRPr="0000483E" w:rsidP="0000483E">
      <w:pPr>
        <w:pStyle w:val="Heading1"/>
      </w:pPr>
      <w:bookmarkStart w:id="8" w:name="O_613661"/>
      <w:bookmarkEnd w:id="8"/>
      <w:r w:rsidRPr="0000483E">
        <w:t>Elements and Performance Criteria</w:t>
      </w:r>
    </w:p>
    <w:tbl>
      <w:tblPr>
        <w:tblW w:w="0" w:type="auto"/>
        <w:tblLayout w:type="fixed"/>
        <w:tblCellMar>
          <w:left w:w="62" w:type="dxa"/>
          <w:right w:w="62" w:type="dxa"/>
        </w:tblCellMar>
        <w:tblLook w:val="0000"/>
      </w:tblPr>
      <w:tblGrid>
        <w:gridCol w:w="404"/>
        <w:gridCol w:w="2296"/>
        <w:gridCol w:w="900"/>
        <w:gridCol w:w="4770"/>
      </w:tblGrid>
      <w:tr w:rsidTr="00ED062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ELEMENT</w:t>
            </w:r>
          </w:p>
        </w:tc>
        <w:tc>
          <w:tcPr>
            <w:tcW w:w="5670" w:type="dxa"/>
            <w:gridSpan w:val="2"/>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PERFORMANCE CRITERIA</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Prepare to construct and lay a service to a steel main</w:t>
            </w: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1.1</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WHS/OHS and environmental measures for the site are identified, obtained and understood.</w:t>
            </w:r>
          </w:p>
        </w:tc>
      </w:tr>
      <w:tr w:rsidTr="00ED0623">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1.2</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Relevant requirements and established procedures for the site are discussed with relevant persons to establish and confirm the work schedule.</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1.3</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 xml:space="preserve">WHS/OHS, environmental and sustainable energy policies and procedures are received and confirmed.  </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1.4</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Hazards are identified, WHS/OHS risks assessed and control measures are prioritised, implemented and monitored according to established procedures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1.5</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Scope of responsibility under the relevant work permit and/or relevant notification is received and co</w:t>
            </w:r>
            <w:r w:rsidRPr="0000483E">
              <w:t>nfirmed with relevant persons according to requirements and established procedures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1.6</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 xml:space="preserve">Equipment, plant, tools and personal protective equipment needed to construct and lay gas services are identified, obtained and checked for operation and safety. </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1.7</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Appropriate persons are consulted to ensure the work is coordinated effectively with others involved</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1.8</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Materials, plans, diagrams, drawings and resources required  to construct and lay gas services are confirmed, scheduled and obtained in accordan</w:t>
            </w:r>
            <w:r w:rsidRPr="0000483E">
              <w:t>ce with established procedures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1.9</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Relevant responsibilities associated with safety and emergency procedures for an incident at the worksite are checked and confirmed.</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1.10</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Third party issues are referred to appropriate pe</w:t>
            </w:r>
            <w:r w:rsidRPr="0000483E">
              <w:t xml:space="preserve">rsons in accordance with established procedures. </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1.11</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Site preparation, safety plan and the work schedule are confirmed in accordance with established procedures.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Carry out construction and laying of a service to a steel main</w:t>
            </w: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2.1</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WHS/OHS risk contro</w:t>
            </w:r>
            <w:r w:rsidRPr="0000483E">
              <w:t>l measures, schedule of work and standard operating procedures for carrying out the work are followed.</w:t>
            </w:r>
          </w:p>
        </w:tc>
      </w:tr>
      <w:tr w:rsidTr="00ED0623">
        <w:tblPrEx>
          <w:tblW w:w="0" w:type="auto"/>
          <w:tblLayout w:type="fixed"/>
          <w:tblCellMar>
            <w:left w:w="62" w:type="dxa"/>
            <w:right w:w="62" w:type="dxa"/>
          </w:tblCellMar>
          <w:tblLook w:val="0000"/>
        </w:tblPrEx>
        <w:trPr>
          <w:trHeight w:val="72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2.2</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Appropriate materials, tools, equipment and measuring devices are selected and used correctly and safely.</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2.3</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Hazardous activities such as lifting, climbing, working in confined spaces, excavations, trenches and use of power tools, techniques and practices are conducted safely in accordance with given instructions and to requirements.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2.4</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Excavation is prepared</w:t>
            </w:r>
            <w:r w:rsidRPr="0000483E">
              <w:t xml:space="preserve"> for laying of pipe according to appropriate standards and procedures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2.5</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Construction and laying of gas services are conducted according to appropriate standards and procedures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2.6</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Work is carried out efficiently, to the required standard without waste of materials or damage to apparatus, equipment, the surrounding environment or services and using sustainable energy principles.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2.7</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 xml:space="preserve">WHS/OHS risks and incidents are reported to the </w:t>
            </w:r>
            <w:r w:rsidRPr="0000483E">
              <w:t>immediate authorised persons for directions according to established procedures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2.8</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Procedures for referring non-routine events to the immediate authorised persons for directions are followed.</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2.9</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 xml:space="preserve">Routine quality checks are carried out in accordance </w:t>
            </w:r>
            <w:r w:rsidRPr="0000483E">
              <w:t>with work instructions including testing of pipework.</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Complete the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3.1</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WHS/OHS risk control work completion measures and procedures are followed.</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3.2</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Appropriate persons are notified of completion of the work according to established procedures.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3.3</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Tools, equipment and any surplus resources and materials are cleaned, checked and securely stored</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3.4</w:t>
            </w:r>
          </w:p>
        </w:tc>
        <w:tc>
          <w:tcPr>
            <w:tcW w:w="47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Work site  is tidied and made safe in accordance</w:t>
            </w:r>
            <w:r w:rsidRPr="0000483E">
              <w:t xml:space="preserve"> with established procedures</w:t>
            </w:r>
          </w:p>
        </w:tc>
      </w:tr>
      <w:tr w:rsidTr="00ED06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3.5</w:t>
            </w:r>
          </w:p>
        </w:tc>
        <w:tc>
          <w:tcPr>
            <w:tcW w:w="477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Work completion  documentation is completed and provided to appropriate persons in accordance with established procedures</w:t>
            </w:r>
          </w:p>
        </w:tc>
      </w:tr>
    </w:tbl>
    <w:p w:rsidR="00000000" w:rsidRPr="0000483E" w:rsidP="0000483E">
      <w:pPr>
        <w:pStyle w:val="BodyText"/>
      </w:pPr>
    </w:p>
    <w:p w:rsidR="00000000" w:rsidRPr="0000483E" w:rsidP="0000483E">
      <w:pPr>
        <w:pStyle w:val="AllowPageBreak"/>
      </w:pPr>
    </w:p>
    <w:p w:rsidR="00000000" w:rsidRPr="0000483E" w:rsidP="0000483E">
      <w:pPr>
        <w:pStyle w:val="Heading1"/>
      </w:pPr>
      <w:bookmarkStart w:id="9" w:name="O_613662"/>
      <w:bookmarkEnd w:id="9"/>
      <w:r w:rsidRPr="0000483E">
        <w:t>Required Skills and Knowledge</w:t>
      </w:r>
    </w:p>
    <w:tbl>
      <w:tblPr>
        <w:tblW w:w="0" w:type="auto"/>
        <w:tblLayout w:type="fixed"/>
        <w:tblCellMar>
          <w:left w:w="62" w:type="dxa"/>
          <w:right w:w="62" w:type="dxa"/>
        </w:tblCellMar>
        <w:tblLook w:val="0000"/>
      </w:tblPr>
      <w:tblGrid>
        <w:gridCol w:w="8280"/>
      </w:tblGrid>
      <w:tr w:rsidTr="00ED0623">
        <w:tblPrEx>
          <w:tblW w:w="0" w:type="auto"/>
          <w:tblLayout w:type="fixed"/>
          <w:tblCellMar>
            <w:left w:w="62" w:type="dxa"/>
            <w:right w:w="62" w:type="dxa"/>
          </w:tblCellMar>
          <w:tblLook w:val="0000"/>
        </w:tblPrEx>
        <w:trPr>
          <w:tblHeader/>
        </w:trPr>
        <w:tc>
          <w:tcPr>
            <w:tcW w:w="82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REQUIRED SKILLS AND KNOWLEDGE</w:t>
            </w:r>
          </w:p>
        </w:tc>
      </w:tr>
      <w:tr w:rsidTr="00ED0623">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7)</w:t>
            </w:r>
            <w:r w:rsidRPr="0000483E">
              <w:t xml:space="preserve"> </w:t>
            </w:r>
            <w:r w:rsidRPr="0000483E">
              <w:rPr>
                <w:rStyle w:val="Emphasis"/>
              </w:rPr>
              <w:t>This describes the skills and knowledge and their level, required for this unit.</w:t>
            </w:r>
          </w:p>
        </w:tc>
      </w:tr>
      <w:tr w:rsidTr="00ED0623">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Evidence shall show that knowledge has been acquired of safe working practices for carrying out work activities in a utilities industry work environment. The extent of the re</w:t>
            </w:r>
            <w:r w:rsidRPr="0000483E">
              <w:t>quired skills and knowledge is provided below. It forms an integral part of this unit.</w:t>
            </w:r>
          </w:p>
        </w:tc>
      </w:tr>
    </w:tbl>
    <w:p w:rsidR="00000000" w:rsidRPr="0000483E" w:rsidP="0000483E">
      <w:pPr>
        <w:pStyle w:val="BodyText"/>
      </w:pPr>
    </w:p>
    <w:tbl>
      <w:tblPr>
        <w:tblW w:w="0" w:type="auto"/>
        <w:tblLayout w:type="fixed"/>
        <w:tblCellMar>
          <w:left w:w="62" w:type="dxa"/>
          <w:right w:w="62" w:type="dxa"/>
        </w:tblCellMar>
        <w:tblLook w:val="0000"/>
      </w:tblPr>
      <w:tblGrid>
        <w:gridCol w:w="8280"/>
        <w:gridCol w:w="680"/>
      </w:tblGrid>
      <w:tr w:rsidTr="00ED0623">
        <w:tblPrEx>
          <w:tblW w:w="0" w:type="auto"/>
          <w:tblLayout w:type="fixed"/>
          <w:tblCellMar>
            <w:left w:w="62" w:type="dxa"/>
            <w:right w:w="62" w:type="dxa"/>
          </w:tblCellMar>
          <w:tblLook w:val="0000"/>
        </w:tblPrEx>
        <w:trPr>
          <w:gridAfter w:val="1"/>
          <w:wAfter w:w="680" w:type="dxa"/>
          <w:trHeight w:val="346"/>
        </w:trPr>
        <w:tc>
          <w:tcPr>
            <w:tcW w:w="82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KS01-G212B         Gas distribution service to a steel main</w:t>
            </w:r>
          </w:p>
        </w:tc>
      </w:tr>
      <w:tr w:rsidTr="00ED0623">
        <w:tblPrEx>
          <w:tblW w:w="0" w:type="auto"/>
          <w:tblLayout w:type="fixed"/>
          <w:tblCellMar>
            <w:left w:w="62" w:type="dxa"/>
            <w:right w:w="62" w:type="dxa"/>
          </w:tblCellMar>
          <w:tblLook w:val="0000"/>
        </w:tblPrEx>
        <w:trPr>
          <w:gridAfter w:val="1"/>
          <w:wAfter w:w="680" w:type="dxa"/>
          <w:trHeight w:val="336"/>
        </w:trPr>
        <w:tc>
          <w:tcPr>
            <w:tcW w:w="8280" w:type="dxa"/>
            <w:vMerge w:val="restart"/>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Evidence shall show an understanding of constructing, laying and connecting a gas distribution service to a steel main in accordance with relevant legislation, standards, codes and established procedures to an extent indicated by the following aspects:</w:t>
            </w:r>
          </w:p>
          <w:p w:rsidR="00000000" w:rsidRPr="0000483E" w:rsidP="0000483E">
            <w:pPr>
              <w:pStyle w:val="BodyText"/>
            </w:pPr>
            <w:r w:rsidRPr="0000483E">
              <w:t>T1.</w:t>
            </w:r>
            <w:r w:rsidRPr="0000483E">
              <w:t xml:space="preserve">    Gas service pipelines</w:t>
            </w:r>
          </w:p>
          <w:p w:rsidR="00000000" w:rsidRPr="0000483E" w:rsidP="0000483E">
            <w:pPr>
              <w:pStyle w:val="ListBullet2"/>
            </w:pPr>
            <w:r w:rsidRPr="0000483E">
              <w:t>types and characteristics</w:t>
            </w:r>
          </w:p>
          <w:p w:rsidR="00000000" w:rsidRPr="0000483E" w:rsidP="0000483E">
            <w:pPr>
              <w:pStyle w:val="ListBullet2"/>
            </w:pPr>
            <w:r w:rsidRPr="0000483E">
              <w:t xml:space="preserve">pipe sizes </w:t>
            </w:r>
          </w:p>
          <w:p w:rsidR="00000000" w:rsidRPr="0000483E" w:rsidP="0000483E">
            <w:pPr>
              <w:pStyle w:val="ListBullet2"/>
            </w:pPr>
            <w:r w:rsidRPr="0000483E">
              <w:t xml:space="preserve">fittings </w:t>
            </w:r>
          </w:p>
          <w:p w:rsidR="00000000" w:rsidRPr="0000483E" w:rsidP="0000483E">
            <w:pPr>
              <w:pStyle w:val="ListBullet2"/>
            </w:pPr>
            <w:r w:rsidRPr="0000483E">
              <w:t>accessories</w:t>
            </w:r>
          </w:p>
          <w:p w:rsidR="00000000" w:rsidRPr="0000483E" w:rsidP="0000483E">
            <w:pPr>
              <w:pStyle w:val="ListBullet2"/>
            </w:pPr>
            <w:r w:rsidRPr="0000483E">
              <w:t>material specifications</w:t>
            </w:r>
          </w:p>
          <w:p w:rsidR="00000000" w:rsidRPr="0000483E" w:rsidP="0000483E">
            <w:pPr>
              <w:pStyle w:val="ListBullet2"/>
            </w:pPr>
            <w:r w:rsidRPr="0000483E">
              <w:t>applications</w:t>
            </w:r>
          </w:p>
          <w:p w:rsidR="00000000" w:rsidRPr="0000483E" w:rsidP="0000483E">
            <w:pPr>
              <w:pStyle w:val="ListBullet2"/>
            </w:pPr>
            <w:r w:rsidRPr="0000483E">
              <w:t>handling and storage</w:t>
            </w:r>
          </w:p>
          <w:p w:rsidR="00000000" w:rsidRPr="0000483E" w:rsidP="0000483E">
            <w:pPr>
              <w:pStyle w:val="ListBullet2"/>
            </w:pPr>
            <w:r w:rsidRPr="0000483E">
              <w:t>advantages and disadvantages</w:t>
            </w:r>
          </w:p>
          <w:p w:rsidR="00000000" w:rsidRPr="0000483E" w:rsidP="0000483E">
            <w:pPr>
              <w:pStyle w:val="ListBullet2"/>
            </w:pPr>
            <w:r w:rsidRPr="0000483E">
              <w:t>MSDS/SDS</w:t>
            </w:r>
          </w:p>
          <w:p w:rsidR="00000000" w:rsidRPr="0000483E" w:rsidP="0000483E">
            <w:pPr>
              <w:pStyle w:val="BodyText"/>
            </w:pPr>
            <w:r w:rsidRPr="0000483E">
              <w:t>T2.    Steel gas main pipelines</w:t>
            </w:r>
          </w:p>
          <w:p w:rsidR="00000000" w:rsidRPr="0000483E" w:rsidP="0000483E">
            <w:pPr>
              <w:pStyle w:val="ListBullet2"/>
            </w:pPr>
            <w:r w:rsidRPr="0000483E">
              <w:t>Types and characteristics</w:t>
            </w:r>
          </w:p>
          <w:p w:rsidR="00000000" w:rsidRPr="0000483E" w:rsidP="0000483E">
            <w:pPr>
              <w:pStyle w:val="ListBullet2"/>
            </w:pPr>
            <w:r w:rsidRPr="0000483E">
              <w:t xml:space="preserve">pipe sizes </w:t>
            </w:r>
          </w:p>
          <w:p w:rsidR="00000000" w:rsidRPr="0000483E" w:rsidP="0000483E">
            <w:pPr>
              <w:pStyle w:val="ListBullet2"/>
            </w:pPr>
            <w:r w:rsidRPr="0000483E">
              <w:t xml:space="preserve">fittings </w:t>
            </w:r>
          </w:p>
          <w:p w:rsidR="00000000" w:rsidRPr="0000483E" w:rsidP="0000483E">
            <w:pPr>
              <w:pStyle w:val="ListBullet2"/>
            </w:pPr>
            <w:r w:rsidRPr="0000483E">
              <w:t>accessories</w:t>
            </w:r>
          </w:p>
          <w:p w:rsidR="00000000" w:rsidRPr="0000483E" w:rsidP="0000483E">
            <w:pPr>
              <w:pStyle w:val="ListBullet2"/>
            </w:pPr>
            <w:r w:rsidRPr="0000483E">
              <w:t>material specifications</w:t>
            </w:r>
          </w:p>
          <w:p w:rsidR="00000000" w:rsidRPr="0000483E" w:rsidP="0000483E">
            <w:pPr>
              <w:pStyle w:val="ListBullet2"/>
            </w:pPr>
            <w:r w:rsidRPr="0000483E">
              <w:t>applications</w:t>
            </w:r>
          </w:p>
          <w:p w:rsidR="00000000" w:rsidRPr="0000483E" w:rsidP="0000483E">
            <w:pPr>
              <w:pStyle w:val="BodyText"/>
            </w:pPr>
            <w:r w:rsidRPr="0000483E">
              <w:t>T3.    Relevant Australian Standards</w:t>
            </w:r>
          </w:p>
          <w:p w:rsidR="00000000" w:rsidRPr="0000483E" w:rsidP="0000483E">
            <w:pPr>
              <w:pStyle w:val="BodyText"/>
            </w:pPr>
            <w:r w:rsidRPr="0000483E">
              <w:t>T4.    Safety requirements</w:t>
            </w:r>
          </w:p>
          <w:p w:rsidR="00000000" w:rsidRPr="0000483E" w:rsidP="0000483E">
            <w:pPr>
              <w:pStyle w:val="ListBullet2"/>
            </w:pPr>
            <w:r w:rsidRPr="0000483E">
              <w:t>hazards, risk assessment and control measures</w:t>
            </w:r>
          </w:p>
          <w:p w:rsidR="00000000" w:rsidRPr="0000483E" w:rsidP="0000483E">
            <w:pPr>
              <w:pStyle w:val="ListBullet2"/>
            </w:pPr>
            <w:r w:rsidRPr="0000483E">
              <w:t>dangers of working with live gas</w:t>
            </w:r>
          </w:p>
          <w:p w:rsidR="00000000" w:rsidRPr="0000483E" w:rsidP="0000483E">
            <w:pPr>
              <w:pStyle w:val="ListBullet2"/>
            </w:pPr>
            <w:r w:rsidRPr="0000483E">
              <w:t>MSDS/SDS and handling of Solvents and jointing materi</w:t>
            </w:r>
            <w:r w:rsidRPr="0000483E">
              <w:t>als</w:t>
            </w:r>
          </w:p>
          <w:p w:rsidR="00000000" w:rsidRPr="0000483E" w:rsidP="0000483E">
            <w:pPr>
              <w:pStyle w:val="BodyText"/>
            </w:pPr>
            <w:r w:rsidRPr="0000483E">
              <w:t>T5.    Cutting, tapping and joining steel mains pipelines and fittings</w:t>
            </w:r>
          </w:p>
          <w:p w:rsidR="00000000" w:rsidRPr="0000483E" w:rsidP="0000483E">
            <w:pPr>
              <w:pStyle w:val="ListBullet2"/>
            </w:pPr>
            <w:r w:rsidRPr="0000483E">
              <w:t xml:space="preserve">requirements under various conditions, inclement weather etc. </w:t>
            </w:r>
          </w:p>
          <w:p w:rsidR="00000000" w:rsidRPr="0000483E" w:rsidP="0000483E">
            <w:pPr>
              <w:pStyle w:val="ListBullet2"/>
            </w:pPr>
            <w:r w:rsidRPr="0000483E">
              <w:t>methods, procedures and safety requirements</w:t>
            </w:r>
          </w:p>
          <w:p w:rsidR="00000000" w:rsidRPr="0000483E" w:rsidP="0000483E">
            <w:pPr>
              <w:pStyle w:val="ListBullet2"/>
            </w:pPr>
            <w:r w:rsidRPr="0000483E">
              <w:t xml:space="preserve">selection and use of equipment, tools and materials </w:t>
            </w:r>
          </w:p>
          <w:p w:rsidR="00000000" w:rsidRPr="0000483E" w:rsidP="0000483E">
            <w:pPr>
              <w:pStyle w:val="BodyText"/>
            </w:pPr>
            <w:r w:rsidRPr="0000483E">
              <w:t>T6.    Transition fittings and adaptors to other piping materials</w:t>
            </w:r>
          </w:p>
          <w:p w:rsidR="00000000" w:rsidRPr="0000483E" w:rsidP="0000483E">
            <w:pPr>
              <w:pStyle w:val="ListBullet2"/>
            </w:pPr>
            <w:r w:rsidRPr="0000483E">
              <w:t>types</w:t>
            </w:r>
          </w:p>
          <w:p w:rsidR="00000000" w:rsidRPr="0000483E" w:rsidP="0000483E">
            <w:pPr>
              <w:pStyle w:val="ListBullet2"/>
            </w:pPr>
            <w:r w:rsidRPr="0000483E">
              <w:t>selection</w:t>
            </w:r>
          </w:p>
          <w:p w:rsidR="00000000" w:rsidRPr="0000483E" w:rsidP="0000483E">
            <w:pPr>
              <w:pStyle w:val="ListBullet2"/>
            </w:pPr>
            <w:r w:rsidRPr="0000483E">
              <w:t>Adapting risers to installation requirements, bending and cutting to fit above ground requirements</w:t>
            </w:r>
          </w:p>
          <w:p w:rsidR="00000000" w:rsidRPr="0000483E" w:rsidP="0000483E">
            <w:pPr>
              <w:pStyle w:val="BodyText"/>
            </w:pPr>
            <w:r w:rsidRPr="0000483E">
              <w:t xml:space="preserve">T7.    Bedding requirements for service pipelines </w:t>
            </w:r>
          </w:p>
          <w:p w:rsidR="00000000" w:rsidRPr="0000483E" w:rsidP="0000483E">
            <w:pPr>
              <w:pStyle w:val="ListBullet2"/>
            </w:pPr>
            <w:r w:rsidRPr="0000483E">
              <w:t>trench width and depth</w:t>
            </w:r>
            <w:r w:rsidRPr="0000483E">
              <w:t xml:space="preserve"> </w:t>
            </w:r>
          </w:p>
          <w:p w:rsidR="00000000" w:rsidRPr="0000483E" w:rsidP="0000483E">
            <w:pPr>
              <w:pStyle w:val="ListBullet2"/>
            </w:pPr>
            <w:r w:rsidRPr="0000483E">
              <w:t>required coverage depth in various locations</w:t>
            </w:r>
          </w:p>
          <w:p w:rsidR="00000000" w:rsidRPr="0000483E" w:rsidP="0000483E">
            <w:pPr>
              <w:pStyle w:val="ListBullet2"/>
            </w:pPr>
            <w:r w:rsidRPr="0000483E">
              <w:t>obstacles affecting minimum depth of cover for pipeline</w:t>
            </w:r>
          </w:p>
          <w:p w:rsidR="00000000" w:rsidRPr="0000483E" w:rsidP="0000483E">
            <w:pPr>
              <w:pStyle w:val="ListBullet2"/>
            </w:pPr>
            <w:r w:rsidRPr="0000483E">
              <w:t>solutions for dealing with obstacles affecting the depth of cover including transitioning to other approved materials and applying protection.</w:t>
            </w:r>
          </w:p>
          <w:p w:rsidR="00000000" w:rsidRPr="0000483E" w:rsidP="0000483E">
            <w:pPr>
              <w:pStyle w:val="ListBullet2"/>
            </w:pPr>
            <w:r w:rsidRPr="0000483E">
              <w:t>pipeline s</w:t>
            </w:r>
            <w:r w:rsidRPr="0000483E">
              <w:t>upport</w:t>
            </w:r>
          </w:p>
          <w:p w:rsidR="00000000" w:rsidRPr="0000483E" w:rsidP="0000483E">
            <w:pPr>
              <w:pStyle w:val="ListBullet2"/>
            </w:pPr>
            <w:r w:rsidRPr="0000483E">
              <w:t>backfilling requirements</w:t>
            </w:r>
          </w:p>
          <w:p w:rsidR="00000000" w:rsidRPr="0000483E" w:rsidP="0000483E">
            <w:pPr>
              <w:pStyle w:val="BodyText"/>
            </w:pPr>
            <w:r w:rsidRPr="0000483E">
              <w:t>T8.    Installation and testing of service pipelines</w:t>
            </w:r>
          </w:p>
          <w:p w:rsidR="00000000" w:rsidRPr="0000483E" w:rsidP="0000483E">
            <w:pPr>
              <w:pStyle w:val="ListBullet2"/>
            </w:pPr>
            <w:r w:rsidRPr="0000483E">
              <w:t>requirements</w:t>
            </w:r>
          </w:p>
          <w:p w:rsidR="00000000" w:rsidRPr="0000483E" w:rsidP="0000483E">
            <w:pPr>
              <w:pStyle w:val="ListBullet2"/>
            </w:pPr>
            <w:r w:rsidRPr="0000483E">
              <w:t>procedures</w:t>
            </w:r>
          </w:p>
          <w:p w:rsidR="00000000" w:rsidRPr="0000483E" w:rsidP="0000483E">
            <w:pPr>
              <w:pStyle w:val="ListBullet2"/>
            </w:pPr>
            <w:r w:rsidRPr="0000483E">
              <w:t xml:space="preserve">trace wire </w:t>
            </w:r>
          </w:p>
          <w:p w:rsidR="00000000" w:rsidRPr="0000483E" w:rsidP="0000483E">
            <w:pPr>
              <w:pStyle w:val="ListBullet2"/>
            </w:pPr>
            <w:r w:rsidRPr="0000483E">
              <w:t>marker tape</w:t>
            </w:r>
          </w:p>
          <w:p w:rsidR="00000000" w:rsidRPr="0000483E" w:rsidP="0000483E">
            <w:pPr>
              <w:pStyle w:val="BodyText"/>
            </w:pPr>
            <w:r w:rsidRPr="0000483E">
              <w:t>T9.    Termination of service pipeline</w:t>
            </w:r>
          </w:p>
          <w:p w:rsidR="00000000" w:rsidRPr="0000483E" w:rsidP="0000483E">
            <w:pPr>
              <w:pStyle w:val="ListBullet2"/>
            </w:pPr>
            <w:r w:rsidRPr="0000483E">
              <w:t>requirements</w:t>
            </w:r>
          </w:p>
          <w:p w:rsidR="00000000" w:rsidRPr="0000483E" w:rsidP="0000483E">
            <w:pPr>
              <w:pStyle w:val="ListBullet2"/>
            </w:pPr>
            <w:r w:rsidRPr="0000483E">
              <w:t>procedures</w:t>
            </w:r>
          </w:p>
          <w:p w:rsidR="00000000" w:rsidRPr="0000483E" w:rsidP="0000483E">
            <w:pPr>
              <w:pStyle w:val="BodyText"/>
            </w:pPr>
            <w:r w:rsidRPr="0000483E">
              <w:t>T10.    Static Electricity in steel gas pipes</w:t>
            </w:r>
          </w:p>
          <w:p w:rsidR="00000000" w:rsidRPr="0000483E" w:rsidP="0000483E">
            <w:pPr>
              <w:pStyle w:val="ListBullet2"/>
            </w:pPr>
            <w:r w:rsidRPr="0000483E">
              <w:t>causes</w:t>
            </w:r>
          </w:p>
          <w:p w:rsidR="00000000" w:rsidRPr="0000483E" w:rsidP="0000483E">
            <w:pPr>
              <w:pStyle w:val="ListBullet2"/>
            </w:pPr>
            <w:r w:rsidRPr="0000483E">
              <w:t>dangers</w:t>
            </w:r>
          </w:p>
          <w:p w:rsidR="00000000" w:rsidP="0000483E">
            <w:pPr>
              <w:pStyle w:val="ListBullet2"/>
              <w:rPr>
                <w:lang w:val="en-NZ"/>
              </w:rPr>
            </w:pPr>
            <w:r w:rsidRPr="0000483E">
              <w:t>prevention</w:t>
            </w: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rsidP="0000483E">
            <w:pPr>
              <w:pStyle w:val="ListBullet2"/>
              <w:rPr>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r>
      <w:tr w:rsidTr="00ED0623">
        <w:tblPrEx>
          <w:tblW w:w="0" w:type="auto"/>
          <w:tblLayout w:type="fixed"/>
          <w:tblCellMar>
            <w:left w:w="62" w:type="dxa"/>
            <w:right w:w="62" w:type="dxa"/>
          </w:tblCellMar>
          <w:tblLook w:val="0000"/>
        </w:tblPrEx>
        <w:tc>
          <w:tcPr>
            <w:tcW w:w="8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 w:type="dxa"/>
            <w:tcBorders>
              <w:top w:val="nil"/>
              <w:left w:val="nil"/>
              <w:bottom w:val="nil"/>
              <w:right w:val="nil"/>
            </w:tcBorders>
            <w:tcMar>
              <w:top w:w="0" w:type="dxa"/>
              <w:left w:w="62" w:type="dxa"/>
              <w:bottom w:w="0" w:type="dxa"/>
              <w:right w:w="62" w:type="dxa"/>
            </w:tcMar>
          </w:tcPr>
          <w:p w:rsidR="00000000" w:rsidRPr="0000483E" w:rsidP="0000483E">
            <w:pPr>
              <w:pStyle w:val="BodyText"/>
            </w:pPr>
          </w:p>
        </w:tc>
      </w:tr>
    </w:tbl>
    <w:p w:rsidR="00000000" w:rsidRPr="0000483E" w:rsidP="0000483E">
      <w:pPr>
        <w:pStyle w:val="BodyText"/>
      </w:pPr>
    </w:p>
    <w:p w:rsidR="00000000" w:rsidRPr="0000483E" w:rsidP="0000483E">
      <w:pPr>
        <w:pStyle w:val="AllowPageBreak"/>
      </w:pPr>
    </w:p>
    <w:p w:rsidR="00000000" w:rsidRPr="0000483E" w:rsidP="0000483E">
      <w:pPr>
        <w:pStyle w:val="Heading1"/>
      </w:pPr>
      <w:bookmarkStart w:id="10" w:name="O_613663"/>
      <w:bookmarkEnd w:id="10"/>
      <w:r w:rsidRPr="0000483E">
        <w:t>Evidence Guide</w:t>
      </w:r>
    </w:p>
    <w:tbl>
      <w:tblPr>
        <w:tblW w:w="0" w:type="auto"/>
        <w:tblLayout w:type="fixed"/>
        <w:tblCellMar>
          <w:left w:w="62" w:type="dxa"/>
          <w:right w:w="62" w:type="dxa"/>
        </w:tblCellMar>
        <w:tblLook w:val="0000"/>
      </w:tblPr>
      <w:tblGrid>
        <w:gridCol w:w="8370"/>
      </w:tblGrid>
      <w:tr w:rsidTr="00ED0623">
        <w:tblPrEx>
          <w:tblW w:w="0" w:type="auto"/>
          <w:tblLayout w:type="fixed"/>
          <w:tblCellMar>
            <w:left w:w="62" w:type="dxa"/>
            <w:right w:w="62" w:type="dxa"/>
          </w:tblCellMar>
          <w:tblLook w:val="0000"/>
        </w:tblPrEx>
        <w:trPr>
          <w:tblHeader/>
        </w:trPr>
        <w:tc>
          <w:tcPr>
            <w:tcW w:w="83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EVIDENCE GUIDE</w:t>
            </w:r>
          </w:p>
        </w:tc>
      </w:tr>
      <w:tr w:rsidTr="00ED0623">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 xml:space="preserve">8) </w:t>
            </w:r>
            <w:r w:rsidRPr="0000483E">
              <w:t xml:space="preserve">The Evidence Guide forms an integral part of this Unit and shall be used in conjunction with all </w:t>
            </w:r>
            <w:r w:rsidRPr="0000483E">
              <w:t>components parts of this unit and performed in accordance with the Assessment Guidelines of this Training Package.</w:t>
            </w:r>
          </w:p>
        </w:tc>
      </w:tr>
    </w:tbl>
    <w:p w:rsidR="00000000" w:rsidRPr="0000483E" w:rsidP="0000483E">
      <w:pPr>
        <w:pStyle w:val="BodyText"/>
      </w:pPr>
    </w:p>
    <w:tbl>
      <w:tblPr>
        <w:tblW w:w="0" w:type="auto"/>
        <w:tblLayout w:type="fixed"/>
        <w:tblCellMar>
          <w:left w:w="62" w:type="dxa"/>
          <w:right w:w="62" w:type="dxa"/>
        </w:tblCellMar>
        <w:tblLook w:val="0000"/>
      </w:tblPr>
      <w:tblGrid>
        <w:gridCol w:w="1890"/>
        <w:gridCol w:w="6480"/>
      </w:tblGrid>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Overview of Assessment</w:t>
            </w:r>
          </w:p>
        </w:tc>
        <w:tc>
          <w:tcPr>
            <w:tcW w:w="64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8.1)</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 xml:space="preserve">Longitudinal competency development approaches to assessment, such as Profiling, require data to be reliably </w:t>
            </w:r>
            <w:r w:rsidRPr="0000483E">
              <w:t xml:space="preserve">gathered in a form that can be consistently interpreted over time. This approach is best utilised in Apprenticeship programs and reduces assessment intervention. It is the Industry’s preferred model for apprenticeships. However, where summative (or final) </w:t>
            </w:r>
            <w:r w:rsidRPr="0000483E">
              <w:t>assessment is used it is to include the application of the competency in the normal work environment or, at a minimum, the application of the competency in a realistically simulated work environment. It is recognised that, in some circumstances, assessment</w:t>
            </w:r>
            <w:r w:rsidRPr="0000483E">
              <w:t xml:space="preserve"> in part or full can occur outside the workplace. However, it must be in accord with industry and regulatory policy in this regard.</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Methods chosen for a particular assessment will be influenced by various factors. These include the extent of the assessme</w:t>
            </w:r>
            <w:r w:rsidRPr="0000483E">
              <w:t>nt, the most effective locations for the assessment activities to take place, access to physical resources, additional safety measures that may be required and the critical nature of the competencies being assessed.</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The critical safety nature of working with electricity, electrical equipment, gas or any other hazardous substance/material carries risk in deeming a person competent. Hence, sources of evidence need to be ‘rich’ in nature so as to minimise error in judgme</w:t>
            </w:r>
            <w:r w:rsidRPr="0000483E">
              <w:t>nt.</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Activities associated with normal every day work have a bearing on the decision as to how much and how detailed the data gathered will contribute to its ‘richness’. Some skills are more critical to safety and operational requirements while the same s</w:t>
            </w:r>
            <w:r w:rsidRPr="0000483E">
              <w:t xml:space="preserve">kills may be more or less frequently practised. These points are raised for the assessors to consider when choosing an assessment method and developing assessment instruments. Sample assessment instruments are included in the Assessment Guidelines of this </w:t>
            </w:r>
            <w:r w:rsidRPr="0000483E">
              <w:t>Training Package.</w:t>
            </w:r>
          </w:p>
        </w:tc>
      </w:tr>
    </w:tbl>
    <w:p w:rsidR="00000000" w:rsidRPr="0000483E" w:rsidP="0000483E">
      <w:pPr>
        <w:pStyle w:val="BodyText"/>
      </w:pPr>
    </w:p>
    <w:tbl>
      <w:tblPr>
        <w:tblW w:w="0" w:type="auto"/>
        <w:tblLayout w:type="fixed"/>
        <w:tblCellMar>
          <w:left w:w="62" w:type="dxa"/>
          <w:right w:w="62" w:type="dxa"/>
        </w:tblCellMar>
        <w:tblLook w:val="0000"/>
      </w:tblPr>
      <w:tblGrid>
        <w:gridCol w:w="1890"/>
        <w:gridCol w:w="810"/>
        <w:gridCol w:w="450"/>
        <w:gridCol w:w="5220"/>
      </w:tblGrid>
      <w:tr w:rsidTr="00ED0623">
        <w:tblPrEx>
          <w:tblW w:w="0" w:type="auto"/>
          <w:tblLayout w:type="fixed"/>
          <w:tblCellMar>
            <w:left w:w="62" w:type="dxa"/>
            <w:right w:w="62" w:type="dxa"/>
          </w:tblCellMar>
          <w:tblLook w:val="0000"/>
        </w:tblPrEx>
        <w:trPr>
          <w:trHeight w:val="1385"/>
        </w:trPr>
        <w:tc>
          <w:tcPr>
            <w:tcW w:w="189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Critical aspects of evidence required to demonstrate competency in this unit</w:t>
            </w: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8.2)</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Before the critical aspects of evidence are considered all prerequisites shall be met.</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 xml:space="preserve">Evidence for competence in this unit shall be considered holistically. Each element and associated Performance Criteria shall be demonstrated on at least two occasions in accordance with the ‘Assessment Guidelines — UEG11’. Evidence shall also comprise: </w:t>
            </w:r>
          </w:p>
        </w:tc>
      </w:tr>
      <w:tr w:rsidTr="00ED0623">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A representative body of Performance Criteria demonstrated within the timeframes typically expected of the discipline, work function and industrial environment. In particular this shall incorporate evidence that shows a candidate is able to:</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ListBullet2"/>
              <w:rPr>
                <w:lang w:val="en-NZ"/>
              </w:rPr>
            </w:pPr>
            <w:r w:rsidRPr="0000483E">
              <w:t>Implement Occupational Health and Safety workplace procedures and practices including the use of risk control measures as specified in the Performance Criteria and range</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ListBullet2"/>
              <w:rPr>
                <w:lang w:val="en-NZ"/>
              </w:rPr>
            </w:pPr>
            <w:r w:rsidRPr="0000483E">
              <w:t>Apply sustainable energy principles and practices as specified in the Performance</w:t>
            </w:r>
            <w:r w:rsidRPr="0000483E">
              <w:t xml:space="preserve"> Criteria and range</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ListBullet2"/>
              <w:rPr>
                <w:lang w:val="en-NZ"/>
              </w:rPr>
            </w:pPr>
            <w:r w:rsidRPr="0000483E">
              <w:t>Demonstrate an understanding of the required knowledge and skills as described in this unit to such an extent that the learner’s performance out</w:t>
            </w:r>
            <w:r w:rsidRPr="0000483E">
              <w:t>come is reported in accordance with the preferred approach; namely a percentile graded result, where required by the regulated environment</w:t>
            </w:r>
          </w:p>
        </w:tc>
      </w:tr>
      <w:tr w:rsidTr="00ED0623">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ListBullet2"/>
              <w:rPr>
                <w:lang w:val="en-NZ"/>
              </w:rPr>
            </w:pPr>
            <w:r w:rsidRPr="0000483E">
              <w:t>Demonstrate an appropriate level of skills enabling employment</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ListBullet2"/>
              <w:rPr>
                <w:lang w:val="en-NZ"/>
              </w:rPr>
            </w:pPr>
            <w:r w:rsidRPr="0000483E">
              <w:t>Conduct work observing the relevant An</w:t>
            </w:r>
            <w:r w:rsidRPr="0000483E">
              <w:t>ti-discrimination legislation, regulations, polices and workplace procedures</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Demonstrate performance across a representative range of contexts from the prescribed items below:</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00483E">
            <w:pPr>
              <w:pStyle w:val="ListBullet2"/>
              <w:rPr>
                <w:lang w:val="en-NZ"/>
              </w:rPr>
            </w:pPr>
            <w:r w:rsidRPr="0000483E">
              <w:t>Construct and lay gas services and connection to a steel main in accordance with relevant legislation, code, regulations and procedures as described as described in 9.) Range Statement and including:</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A.</w:t>
            </w:r>
          </w:p>
        </w:tc>
        <w:tc>
          <w:tcPr>
            <w:tcW w:w="522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Identifying and interpreting correctly drawings, diagrams, schedules, procedures and manuals relevant to the work to be undertaken.</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B.</w:t>
            </w:r>
          </w:p>
        </w:tc>
        <w:tc>
          <w:tcPr>
            <w:tcW w:w="522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Identifying the plant and equipment and their safe operating parameters/requirements</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C.</w:t>
            </w:r>
          </w:p>
        </w:tc>
        <w:tc>
          <w:tcPr>
            <w:tcW w:w="522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Cutting, joining, laying, covering and connecting gas distribution services pipelines in accordance with requirements</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D.</w:t>
            </w:r>
          </w:p>
        </w:tc>
        <w:tc>
          <w:tcPr>
            <w:tcW w:w="522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 xml:space="preserve">Isolating, venting, purging and testing for soundness and leaks, commissioning and making safe gas services </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E.</w:t>
            </w:r>
          </w:p>
        </w:tc>
        <w:tc>
          <w:tcPr>
            <w:tcW w:w="522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Completing requir</w:t>
            </w:r>
            <w:r w:rsidRPr="0000483E">
              <w:t>ed documentation and reporting.</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 xml:space="preserve">F. </w:t>
            </w:r>
          </w:p>
        </w:tc>
        <w:tc>
          <w:tcPr>
            <w:tcW w:w="522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Dealing with unplanned events by drawing on essential knowledge and skills, procedures/ protocols to provide appropriate solutions incorporated in the holistic assessment with the above listed items, for e</w:t>
            </w:r>
            <w:r w:rsidRPr="0000483E">
              <w:t>xample encroachment and/or contact with assets</w:t>
            </w:r>
          </w:p>
        </w:tc>
      </w:tr>
    </w:tbl>
    <w:p w:rsidR="00000000" w:rsidRPr="0000483E" w:rsidP="0000483E">
      <w:pPr>
        <w:pStyle w:val="BodyText"/>
      </w:pPr>
    </w:p>
    <w:tbl>
      <w:tblPr>
        <w:tblW w:w="0" w:type="auto"/>
        <w:tblLayout w:type="fixed"/>
        <w:tblCellMar>
          <w:left w:w="62" w:type="dxa"/>
          <w:right w:w="62" w:type="dxa"/>
        </w:tblCellMar>
        <w:tblLook w:val="0000"/>
      </w:tblPr>
      <w:tblGrid>
        <w:gridCol w:w="1890"/>
        <w:gridCol w:w="6480"/>
      </w:tblGrid>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Context of and specific resources for assessment</w:t>
            </w:r>
          </w:p>
        </w:tc>
        <w:tc>
          <w:tcPr>
            <w:tcW w:w="64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8.3)</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This unit should be assessed as it relates to normal work practice using procedures, information and resources typical of a workplace. This should incl</w:t>
            </w:r>
            <w:r w:rsidRPr="0000483E">
              <w:t>ude:</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WHS/OHS policy and work procedures and instructions.</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Suitable work environment, facilities, equipment and materials to undertake actual work as prescribed by this Unit.</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Appropriate environmental regulation and work practices.</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Appropriate organisational requirements</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Appropriate work environment, equipment and tools.</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steel</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These should be part of the formal learning/assessment environment.</w:t>
            </w:r>
          </w:p>
          <w:p w:rsidR="00000000" w:rsidRPr="0000483E" w:rsidP="0000483E">
            <w:pPr>
              <w:pStyle w:val="BodyText"/>
            </w:pPr>
          </w:p>
          <w:p w:rsidR="00000000" w:rsidRPr="0000483E" w:rsidP="0000483E">
            <w:pPr>
              <w:pStyle w:val="BodyText"/>
            </w:pPr>
            <w:r w:rsidRPr="0000483E">
              <w:t xml:space="preserve">Assessment of this competency must also be undertaken in either an actual workplace or under a simulated work environment. </w:t>
            </w:r>
          </w:p>
          <w:p w:rsidR="00000000" w:rsidRPr="0000483E" w:rsidP="0000483E">
            <w:pPr>
              <w:pStyle w:val="BodyText"/>
            </w:pPr>
            <w:r w:rsidRPr="0000483E">
              <w:t>Assessment must also integrate the key competencies.</w:t>
            </w:r>
          </w:p>
          <w:p w:rsidR="00000000" w:rsidRPr="0000483E" w:rsidP="0000483E">
            <w:pPr>
              <w:pStyle w:val="BodyText"/>
            </w:pPr>
          </w:p>
          <w:p w:rsidR="00000000" w:rsidRPr="0000483E" w:rsidP="0000483E">
            <w:pPr>
              <w:pStyle w:val="BodyText"/>
            </w:pPr>
            <w:r w:rsidRPr="0000483E">
              <w:t>Note:</w:t>
            </w:r>
          </w:p>
          <w:p w:rsidR="00000000" w:rsidRPr="0000483E" w:rsidP="0000483E">
            <w:pPr>
              <w:pStyle w:val="BodyText"/>
            </w:pPr>
            <w:r w:rsidRPr="0000483E">
              <w:t>Where simulation is considered a suitable strategy for assessment, condi</w:t>
            </w:r>
            <w:r w:rsidRPr="0000483E">
              <w:t>tions must be authentic and as far as possible reproduce and replicate the workplace and be consistent with the approved industry simulation policy.</w:t>
            </w:r>
          </w:p>
          <w:p w:rsidR="00000000" w:rsidRPr="0000483E" w:rsidP="0000483E">
            <w:pPr>
              <w:pStyle w:val="BodyText"/>
            </w:pPr>
          </w:p>
          <w:p w:rsidR="00000000" w:rsidRPr="0000483E" w:rsidP="0000483E">
            <w:pPr>
              <w:pStyle w:val="BodyText"/>
            </w:pPr>
            <w:r w:rsidRPr="0000483E">
              <w:t>The resources used for assessment should reflect current industry practices in relation to locating, provi</w:t>
            </w:r>
            <w:r w:rsidRPr="0000483E">
              <w:t>ng and protecting utility assets.</w:t>
            </w:r>
          </w:p>
        </w:tc>
      </w:tr>
    </w:tbl>
    <w:p w:rsidR="00000000" w:rsidRPr="0000483E" w:rsidP="0000483E">
      <w:pPr>
        <w:pStyle w:val="BodyText"/>
      </w:pPr>
    </w:p>
    <w:tbl>
      <w:tblPr>
        <w:tblW w:w="0" w:type="auto"/>
        <w:tblLayout w:type="fixed"/>
        <w:tblCellMar>
          <w:left w:w="62" w:type="dxa"/>
          <w:right w:w="62" w:type="dxa"/>
        </w:tblCellMar>
        <w:tblLook w:val="0000"/>
      </w:tblPr>
      <w:tblGrid>
        <w:gridCol w:w="1890"/>
        <w:gridCol w:w="6480"/>
      </w:tblGrid>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Method of assessment</w:t>
            </w:r>
          </w:p>
        </w:tc>
        <w:tc>
          <w:tcPr>
            <w:tcW w:w="64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8.4)</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This Unit shall be assessed by methods given in Volume 1 Part 3 ‘Assessment Guidelines’.</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Note: Competent performance with inherent safe working practices is expected in the Industry to which</w:t>
            </w:r>
            <w:r w:rsidRPr="0000483E">
              <w:t xml:space="preserve"> this Unit applies. This requires that the specified Required Knowledge and Associated Skills are assessed in a structured environment which is primarily intended for learning/assessment and incorporates all necessary equipment and facilities for learners </w:t>
            </w:r>
            <w:r w:rsidRPr="0000483E">
              <w:t>to develop and demonstrate the Required Knowledge and Associated Skills described in this unit.</w:t>
            </w:r>
          </w:p>
        </w:tc>
      </w:tr>
    </w:tbl>
    <w:p w:rsidR="00000000" w:rsidRPr="0000483E" w:rsidP="0000483E">
      <w:pPr>
        <w:pStyle w:val="BodyText"/>
      </w:pPr>
    </w:p>
    <w:tbl>
      <w:tblPr>
        <w:tblW w:w="0" w:type="auto"/>
        <w:tblLayout w:type="fixed"/>
        <w:tblCellMar>
          <w:left w:w="62" w:type="dxa"/>
          <w:right w:w="62" w:type="dxa"/>
        </w:tblCellMar>
        <w:tblLook w:val="0000"/>
      </w:tblPr>
      <w:tblGrid>
        <w:gridCol w:w="1890"/>
        <w:gridCol w:w="2070"/>
        <w:gridCol w:w="4410"/>
      </w:tblGrid>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Concurrent assessment and relationship with other units</w:t>
            </w:r>
          </w:p>
        </w:tc>
        <w:tc>
          <w:tcPr>
            <w:tcW w:w="6480" w:type="dxa"/>
            <w:gridSpan w:val="2"/>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8.5)</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There are no recommended concurrent assessment</w:t>
            </w:r>
            <w:r w:rsidRPr="0000483E">
              <w:t>s with this unit, however in some cases efficiencies may be gained in terms of learning and assessment effort being concurrently managed with allied Units where listed.</w:t>
            </w:r>
          </w:p>
        </w:tc>
      </w:tr>
      <w:tr w:rsidTr="00ED0623">
        <w:tblPrEx>
          <w:tblW w:w="0" w:type="auto"/>
          <w:tblLayout w:type="fixed"/>
          <w:tblCellMar>
            <w:left w:w="62" w:type="dxa"/>
            <w:right w:w="62" w:type="dxa"/>
          </w:tblCellMar>
          <w:tblLook w:val="0000"/>
        </w:tblPrEx>
        <w:trPr>
          <w:trHeight w:val="73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UEGNSG132A</w:t>
            </w:r>
          </w:p>
        </w:tc>
        <w:tc>
          <w:tcPr>
            <w:tcW w:w="441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Carry out basic work activities in a gas industry work environment</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UEGNSG140A</w:t>
            </w:r>
          </w:p>
        </w:tc>
        <w:tc>
          <w:tcPr>
            <w:tcW w:w="441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Apply with environmental policies and procedures in the utilities industry</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UEGNSG134A</w:t>
            </w:r>
          </w:p>
        </w:tc>
        <w:tc>
          <w:tcPr>
            <w:tcW w:w="441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Establish a utilities infrastructure work site</w:t>
            </w:r>
          </w:p>
        </w:tc>
      </w:tr>
      <w:tr w:rsidTr="00ED062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UEGNSG219A</w:t>
            </w:r>
          </w:p>
        </w:tc>
        <w:tc>
          <w:tcPr>
            <w:tcW w:w="441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Conduct excavations in the utilities industry</w:t>
            </w:r>
          </w:p>
        </w:tc>
      </w:tr>
    </w:tbl>
    <w:p w:rsidR="00ED0623" w:rsidP="0000483E">
      <w:pPr>
        <w:pStyle w:val="BodyText"/>
      </w:pPr>
    </w:p>
    <w:p w:rsidR="00ED0623" w:rsidP="0000483E">
      <w:pPr>
        <w:pStyle w:val="BodyText"/>
      </w:pPr>
    </w:p>
    <w:p w:rsidR="00000000" w:rsidRPr="0000483E" w:rsidP="0000483E">
      <w:pPr>
        <w:pStyle w:val="Heading1"/>
      </w:pPr>
      <w:bookmarkStart w:id="11" w:name="O_613664"/>
      <w:bookmarkEnd w:id="11"/>
      <w:r w:rsidRPr="0000483E">
        <w:t>Range Statement</w:t>
      </w:r>
    </w:p>
    <w:tbl>
      <w:tblPr>
        <w:tblW w:w="0" w:type="auto"/>
        <w:tblLayout w:type="fixed"/>
        <w:tblCellMar>
          <w:left w:w="62" w:type="dxa"/>
          <w:right w:w="62" w:type="dxa"/>
        </w:tblCellMar>
        <w:tblLook w:val="0000"/>
      </w:tblPr>
      <w:tblGrid>
        <w:gridCol w:w="8460"/>
      </w:tblGrid>
      <w:tr w:rsidTr="00ED062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RANGE STATEMENT</w:t>
            </w:r>
          </w:p>
        </w:tc>
      </w:tr>
      <w:tr w:rsidTr="00ED06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9)</w:t>
            </w:r>
            <w:r w:rsidRPr="0000483E">
              <w:t xml:space="preserve"> </w:t>
            </w:r>
            <w:r w:rsidRPr="0000483E">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ED06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This</w:t>
            </w:r>
            <w:r w:rsidRPr="0000483E">
              <w:t xml:space="preserve"> Unit shall/may be demonstrated in relation to preparing an excavation bed, constructing and laying of a gas service and connection to a steel main. This includes the installation of the meter to service riser.</w:t>
            </w:r>
          </w:p>
        </w:tc>
      </w:tr>
      <w:tr w:rsidTr="00ED0623">
        <w:tblPrEx>
          <w:tblW w:w="0" w:type="auto"/>
          <w:tblLayout w:type="fixed"/>
          <w:tblCellMar>
            <w:left w:w="62" w:type="dxa"/>
            <w:right w:w="62" w:type="dxa"/>
          </w:tblCellMar>
          <w:tblLook w:val="0000"/>
        </w:tblPrEx>
        <w:trPr>
          <w:trHeight w:val="963"/>
        </w:trPr>
        <w:tc>
          <w:tcPr>
            <w:tcW w:w="846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t>The following constants and variables includ</w:t>
            </w:r>
            <w:r w:rsidRPr="0000483E">
              <w:t>ed in the element/Performance Criteria in this unit are fully described in the Definitions Section of this volume and form an integral part of the Range Statement of this unit:</w:t>
            </w:r>
          </w:p>
        </w:tc>
      </w:tr>
      <w:tr w:rsidTr="00ED0623">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 xml:space="preserve">Services </w:t>
            </w:r>
          </w:p>
        </w:tc>
      </w:tr>
      <w:tr w:rsidTr="00ED06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 xml:space="preserve">Appropriate persons </w:t>
            </w:r>
          </w:p>
        </w:tc>
      </w:tr>
      <w:tr w:rsidTr="00ED06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 xml:space="preserve">Materials </w:t>
            </w:r>
          </w:p>
        </w:tc>
      </w:tr>
      <w:tr w:rsidTr="00ED06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 xml:space="preserve">Tools and equipment </w:t>
            </w:r>
          </w:p>
        </w:tc>
      </w:tr>
      <w:tr w:rsidTr="00ED06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 xml:space="preserve">Safe working procedures </w:t>
            </w:r>
          </w:p>
        </w:tc>
      </w:tr>
      <w:tr w:rsidTr="00ED0623">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P="0000483E">
            <w:pPr>
              <w:pStyle w:val="ListBullet"/>
              <w:rPr>
                <w:lang w:val="en-NZ"/>
              </w:rPr>
            </w:pPr>
            <w:r w:rsidRPr="0000483E">
              <w:t xml:space="preserve">Legislative requirements </w:t>
            </w:r>
          </w:p>
        </w:tc>
      </w:tr>
      <w:tr w:rsidTr="00ED062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483E" w:rsidP="0000483E">
            <w:pPr>
              <w:pStyle w:val="ListBullet"/>
            </w:pPr>
            <w:r w:rsidRPr="0000483E">
              <w:t>Standards</w:t>
            </w:r>
          </w:p>
        </w:tc>
      </w:tr>
    </w:tbl>
    <w:p w:rsidR="00000000" w:rsidRPr="0000483E" w:rsidP="0000483E">
      <w:pPr>
        <w:pStyle w:val="BodyText"/>
      </w:pPr>
    </w:p>
    <w:p w:rsidR="00000000" w:rsidRPr="0000483E" w:rsidP="0000483E">
      <w:pPr>
        <w:pStyle w:val="AllowPageBreak"/>
      </w:pPr>
    </w:p>
    <w:p w:rsidR="00000000" w:rsidRPr="0000483E" w:rsidP="0000483E">
      <w:pPr>
        <w:pStyle w:val="Heading1"/>
      </w:pPr>
      <w:bookmarkStart w:id="12" w:name="O_613665"/>
      <w:bookmarkEnd w:id="12"/>
      <w:r w:rsidRPr="0000483E">
        <w:t>Unit Sector(s)</w:t>
      </w:r>
    </w:p>
    <w:p w:rsidR="00000000" w:rsidRPr="0000483E" w:rsidP="0000483E">
      <w:pPr>
        <w:pStyle w:val="BodyText"/>
      </w:pPr>
      <w:r w:rsidRPr="0000483E">
        <w:t>Gas industry</w:t>
      </w:r>
    </w:p>
    <w:p w:rsidR="00000000" w:rsidRPr="0000483E" w:rsidP="0000483E">
      <w:pPr>
        <w:pStyle w:val="AllowPageBreak"/>
      </w:pPr>
    </w:p>
    <w:p w:rsidR="00000000" w:rsidRPr="0000483E" w:rsidP="0000483E">
      <w:pPr>
        <w:pStyle w:val="Heading1"/>
      </w:pPr>
      <w:bookmarkStart w:id="13" w:name="O_613666"/>
      <w:bookmarkEnd w:id="13"/>
      <w:r w:rsidRPr="0000483E">
        <w:t>Competency Field</w:t>
      </w:r>
    </w:p>
    <w:tbl>
      <w:tblPr>
        <w:tblW w:w="0" w:type="auto"/>
        <w:tblLayout w:type="fixed"/>
        <w:tblCellMar>
          <w:left w:w="62" w:type="dxa"/>
          <w:right w:w="62" w:type="dxa"/>
        </w:tblCellMar>
        <w:tblLook w:val="0000"/>
      </w:tblPr>
      <w:tblGrid>
        <w:gridCol w:w="2700"/>
        <w:gridCol w:w="5760"/>
      </w:tblGrid>
      <w:tr w:rsidTr="00ED06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483E">
            <w:pPr>
              <w:pStyle w:val="BodyText"/>
              <w:rPr>
                <w:lang w:val="en-NZ"/>
              </w:rPr>
            </w:pPr>
            <w:r w:rsidRPr="0000483E">
              <w:rPr>
                <w:rStyle w:val="SpecialBold"/>
              </w:rPr>
              <w:t xml:space="preserve">11) </w:t>
            </w:r>
          </w:p>
        </w:tc>
      </w:tr>
      <w:tr w:rsidTr="00ED06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483E" w:rsidP="0000483E">
            <w:pPr>
              <w:pStyle w:val="BodyText"/>
            </w:pPr>
            <w:r w:rsidRPr="0000483E">
              <w:t>Gas Distribution discipline.</w:t>
            </w:r>
          </w:p>
        </w:tc>
      </w:tr>
    </w:tbl>
    <w:p w:rsidR="00000000" w:rsidRPr="0000483E" w:rsidP="0000483E">
      <w:pPr>
        <w:pStyle w:val="BodyText"/>
      </w:pPr>
    </w:p>
    <w:p w:rsidR="00000000" w:rsidRPr="0000483E" w:rsidP="0000483E"/>
    <w:sectPr w:rsidSect="000048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3E" w:rsidRPr="00ED0623" w:rsidP="00ED0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23" w:rsidP="00004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D0623" w:rsidP="0000483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D0623" w:rsidP="000048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3E" w:rsidRPr="00ED0623" w:rsidP="00ED06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623" w:rsidRPr="002D2AF8" w:rsidP="0000483E">
    <w:pPr>
      <w:pStyle w:val="Header"/>
      <w:framePr w:wrap="around"/>
    </w:pPr>
    <w:r>
      <w:fldChar w:fldCharType="begin"/>
    </w:r>
    <w:r>
      <w:instrText xml:space="preserve"> TITLE   \* MERGEFORMAT </w:instrText>
    </w:r>
    <w:r>
      <w:fldChar w:fldCharType="separate"/>
    </w:r>
    <w:r>
      <w:t>UEGNSG213B Construct, lay and connect a gas distribution service to a steel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ED0623" w:rsidP="000048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61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01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78D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8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83E"/>
    <w:pPr>
      <w:spacing w:before="360" w:after="60"/>
      <w:outlineLvl w:val="0"/>
    </w:pPr>
    <w:rPr>
      <w:sz w:val="32"/>
    </w:rPr>
  </w:style>
  <w:style w:type="paragraph" w:styleId="Heading2">
    <w:name w:val="heading 2"/>
    <w:basedOn w:val="HeadingBase"/>
    <w:next w:val="BodyText"/>
    <w:link w:val="Heading2Char"/>
    <w:qFormat/>
    <w:rsid w:val="0000483E"/>
    <w:pPr>
      <w:keepLines/>
      <w:spacing w:before="240" w:after="120"/>
      <w:outlineLvl w:val="1"/>
    </w:pPr>
    <w:rPr>
      <w:sz w:val="28"/>
      <w:szCs w:val="40"/>
    </w:rPr>
  </w:style>
  <w:style w:type="paragraph" w:styleId="Heading3">
    <w:name w:val="heading 3"/>
    <w:basedOn w:val="HeadingBase"/>
    <w:next w:val="BodyText"/>
    <w:link w:val="Heading3Char"/>
    <w:qFormat/>
    <w:rsid w:val="0000483E"/>
    <w:pPr>
      <w:spacing w:before="180" w:after="120"/>
      <w:outlineLvl w:val="2"/>
    </w:pPr>
    <w:rPr>
      <w:spacing w:val="-10"/>
      <w:kern w:val="32"/>
    </w:rPr>
  </w:style>
  <w:style w:type="paragraph" w:styleId="Heading4">
    <w:name w:val="heading 4"/>
    <w:basedOn w:val="HeadingBase"/>
    <w:next w:val="BodyText"/>
    <w:link w:val="Heading4Char"/>
    <w:qFormat/>
    <w:rsid w:val="0000483E"/>
    <w:pPr>
      <w:spacing w:before="160" w:after="120"/>
      <w:outlineLvl w:val="3"/>
    </w:pPr>
    <w:rPr>
      <w:sz w:val="22"/>
    </w:rPr>
  </w:style>
  <w:style w:type="paragraph" w:styleId="Heading5">
    <w:name w:val="heading 5"/>
    <w:basedOn w:val="HeadingBase"/>
    <w:next w:val="Normal"/>
    <w:link w:val="Heading5Char"/>
    <w:qFormat/>
    <w:rsid w:val="0000483E"/>
    <w:pPr>
      <w:spacing w:before="80"/>
      <w:outlineLvl w:val="4"/>
    </w:pPr>
    <w:rPr>
      <w:color w:val="918585"/>
      <w:sz w:val="20"/>
    </w:rPr>
  </w:style>
  <w:style w:type="paragraph" w:styleId="Heading6">
    <w:name w:val="heading 6"/>
    <w:basedOn w:val="HeadingBase"/>
    <w:next w:val="Normal"/>
    <w:link w:val="Heading6Char"/>
    <w:qFormat/>
    <w:rsid w:val="0000483E"/>
    <w:pPr>
      <w:spacing w:before="60"/>
      <w:outlineLvl w:val="5"/>
    </w:pPr>
    <w:rPr>
      <w:color w:val="918585"/>
      <w:sz w:val="20"/>
    </w:rPr>
  </w:style>
  <w:style w:type="paragraph" w:styleId="Heading7">
    <w:name w:val="heading 7"/>
    <w:basedOn w:val="Normal"/>
    <w:next w:val="Normal"/>
    <w:link w:val="Heading7Char"/>
    <w:qFormat/>
    <w:rsid w:val="0000483E"/>
    <w:pPr>
      <w:ind w:left="720"/>
      <w:outlineLvl w:val="6"/>
    </w:pPr>
    <w:rPr>
      <w:i/>
    </w:rPr>
  </w:style>
  <w:style w:type="paragraph" w:styleId="Heading8">
    <w:name w:val="heading 8"/>
    <w:basedOn w:val="Normal"/>
    <w:next w:val="Normal"/>
    <w:link w:val="Heading8Char"/>
    <w:qFormat/>
    <w:rsid w:val="0000483E"/>
    <w:pPr>
      <w:ind w:left="720"/>
      <w:outlineLvl w:val="7"/>
    </w:pPr>
    <w:rPr>
      <w:i/>
    </w:rPr>
  </w:style>
  <w:style w:type="paragraph" w:styleId="Heading9">
    <w:name w:val="heading 9"/>
    <w:basedOn w:val="Normal"/>
    <w:next w:val="Normal"/>
    <w:link w:val="Heading9Char"/>
    <w:qFormat/>
    <w:rsid w:val="0000483E"/>
    <w:pPr>
      <w:ind w:left="720"/>
      <w:outlineLvl w:val="8"/>
    </w:pPr>
    <w:rPr>
      <w:i/>
    </w:rPr>
  </w:style>
  <w:style w:type="character" w:default="1" w:styleId="DefaultParagraphFont">
    <w:name w:val="Default Paragraph Font"/>
    <w:uiPriority w:val="1"/>
    <w:unhideWhenUsed/>
    <w:rsid w:val="00004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83E"/>
  </w:style>
  <w:style w:type="character" w:customStyle="1" w:styleId="Heading1Char">
    <w:name w:val="Heading 1 Char"/>
    <w:basedOn w:val="DefaultParagraphFont"/>
    <w:link w:val="Heading1"/>
    <w:rsid w:val="0000483E"/>
    <w:rPr>
      <w:rFonts w:ascii="Times New Roman" w:eastAsia="Times New Roman" w:hAnsi="Times New Roman" w:cs="Times New Roman"/>
      <w:b/>
      <w:sz w:val="32"/>
      <w:szCs w:val="20"/>
      <w:lang w:eastAsia="en-US"/>
    </w:rPr>
  </w:style>
  <w:style w:type="paragraph" w:styleId="BodyText">
    <w:name w:val="Body Text"/>
    <w:basedOn w:val="Normal"/>
    <w:link w:val="BodyTextChar"/>
    <w:rsid w:val="000048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83E"/>
    <w:rPr>
      <w:rFonts w:ascii="Times New Roman" w:eastAsia="Times New Roman" w:hAnsi="Times New Roman" w:cs="Times New Roman"/>
      <w:sz w:val="24"/>
      <w:lang w:eastAsia="en-US"/>
    </w:rPr>
  </w:style>
  <w:style w:type="paragraph" w:styleId="ListBullet">
    <w:name w:val="List Bullet"/>
    <w:basedOn w:val="List"/>
    <w:rsid w:val="0000483E"/>
    <w:pPr>
      <w:numPr>
        <w:numId w:val="13"/>
      </w:numPr>
      <w:tabs>
        <w:tab w:val="clear" w:pos="340"/>
      </w:tabs>
      <w:spacing w:before="40" w:after="40"/>
    </w:pPr>
  </w:style>
  <w:style w:type="character" w:customStyle="1" w:styleId="SpecialBold">
    <w:name w:val="Special Bold"/>
    <w:basedOn w:val="DefaultParagraphFont"/>
    <w:rsid w:val="0000483E"/>
    <w:rPr>
      <w:b/>
      <w:spacing w:val="0"/>
    </w:rPr>
  </w:style>
  <w:style w:type="paragraph" w:styleId="ListBullet2">
    <w:name w:val="List Bullet 2"/>
    <w:basedOn w:val="List2"/>
    <w:rsid w:val="0000483E"/>
    <w:pPr>
      <w:numPr>
        <w:numId w:val="14"/>
      </w:numPr>
      <w:tabs>
        <w:tab w:val="clear" w:pos="680"/>
      </w:tabs>
    </w:pPr>
  </w:style>
  <w:style w:type="character" w:styleId="Emphasis">
    <w:name w:val="Emphasis"/>
    <w:basedOn w:val="DefaultParagraphFont"/>
    <w:qFormat/>
    <w:rsid w:val="0000483E"/>
    <w:rPr>
      <w:i/>
    </w:rPr>
  </w:style>
  <w:style w:type="paragraph" w:customStyle="1" w:styleId="SuperHeading">
    <w:name w:val="SuperHeading"/>
    <w:basedOn w:val="Normal"/>
    <w:rsid w:val="0000483E"/>
    <w:pPr>
      <w:spacing w:before="240" w:after="120"/>
      <w:outlineLvl w:val="0"/>
    </w:pPr>
    <w:rPr>
      <w:rFonts w:ascii="Times New Roman" w:hAnsi="Times New Roman"/>
      <w:b/>
      <w:sz w:val="32"/>
    </w:rPr>
  </w:style>
  <w:style w:type="paragraph" w:customStyle="1" w:styleId="AllowPageBreak">
    <w:name w:val="AllowPageBreak"/>
    <w:rsid w:val="000048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8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8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83E"/>
    <w:rPr>
      <w:rFonts w:ascii="Courier New" w:eastAsia="Times New Roman" w:hAnsi="Courier New" w:cs="Times New Roman"/>
      <w:i/>
      <w:szCs w:val="20"/>
      <w:lang w:eastAsia="en-US"/>
    </w:rPr>
  </w:style>
  <w:style w:type="paragraph" w:customStyle="1" w:styleId="HeadingBase">
    <w:name w:val="Heading Base"/>
    <w:rsid w:val="00004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83E"/>
    <w:pPr>
      <w:tabs>
        <w:tab w:val="right" w:leader="dot" w:pos="9072"/>
      </w:tabs>
      <w:ind w:left="567"/>
    </w:pPr>
    <w:rPr>
      <w:szCs w:val="22"/>
    </w:rPr>
  </w:style>
  <w:style w:type="paragraph" w:customStyle="1" w:styleId="TOCBase">
    <w:name w:val="TOC Base"/>
    <w:rsid w:val="00004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83E"/>
    <w:pPr>
      <w:tabs>
        <w:tab w:val="right" w:leader="dot" w:pos="9072"/>
      </w:tabs>
      <w:spacing w:before="40" w:after="40"/>
      <w:ind w:left="284"/>
    </w:pPr>
    <w:rPr>
      <w:rFonts w:ascii="Times New Roman" w:hAnsi="Times New Roman"/>
    </w:rPr>
  </w:style>
  <w:style w:type="paragraph" w:styleId="TOC1">
    <w:name w:val="toc 1"/>
    <w:basedOn w:val="TOCBase"/>
    <w:next w:val="Normal"/>
    <w:rsid w:val="000048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83E"/>
    <w:rPr>
      <w:rFonts w:ascii="Times New Roman" w:eastAsia="Times New Roman" w:hAnsi="Times New Roman" w:cs="Times New Roman"/>
      <w:sz w:val="16"/>
      <w:lang w:eastAsia="en-US"/>
    </w:rPr>
  </w:style>
  <w:style w:type="paragraph" w:styleId="Title">
    <w:name w:val="Title"/>
    <w:basedOn w:val="HeadingBase"/>
    <w:link w:val="TitleChar"/>
    <w:qFormat/>
    <w:rsid w:val="0000483E"/>
    <w:pPr>
      <w:spacing w:before="5040"/>
      <w:jc w:val="center"/>
    </w:pPr>
    <w:rPr>
      <w:sz w:val="48"/>
      <w:szCs w:val="72"/>
      <w:lang w:val="en-US"/>
    </w:rPr>
  </w:style>
  <w:style w:type="character" w:customStyle="1" w:styleId="TitleChar">
    <w:name w:val="Title Char"/>
    <w:basedOn w:val="DefaultParagraphFont"/>
    <w:link w:val="Title"/>
    <w:rsid w:val="00004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83E"/>
    <w:pPr>
      <w:tabs>
        <w:tab w:val="left" w:pos="3600"/>
        <w:tab w:val="left" w:pos="3958"/>
      </w:tabs>
    </w:pPr>
  </w:style>
  <w:style w:type="paragraph" w:styleId="List">
    <w:name w:val="List"/>
    <w:basedOn w:val="BodyText"/>
    <w:next w:val="BodyText"/>
    <w:rsid w:val="0000483E"/>
    <w:pPr>
      <w:tabs>
        <w:tab w:val="left" w:pos="340"/>
      </w:tabs>
      <w:spacing w:before="60" w:after="60"/>
      <w:ind w:left="340" w:hanging="340"/>
    </w:pPr>
  </w:style>
  <w:style w:type="paragraph" w:customStyle="1" w:styleId="Note">
    <w:name w:val="Note"/>
    <w:basedOn w:val="BodyText"/>
    <w:rsid w:val="00004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83E"/>
    <w:pPr>
      <w:framePr w:wrap="auto" w:hAnchor="text" w:y="6049"/>
    </w:pPr>
    <w:rPr>
      <w:color w:val="000000"/>
      <w:sz w:val="40"/>
    </w:rPr>
  </w:style>
  <w:style w:type="paragraph" w:customStyle="1" w:styleId="TOCTitle">
    <w:name w:val="TOCTitle"/>
    <w:basedOn w:val="Heading1"/>
    <w:rsid w:val="0000483E"/>
    <w:pPr>
      <w:spacing w:after="240"/>
      <w:jc w:val="center"/>
      <w:outlineLvl w:val="9"/>
    </w:pPr>
    <w:rPr>
      <w:caps/>
    </w:rPr>
  </w:style>
  <w:style w:type="paragraph" w:customStyle="1" w:styleId="Version">
    <w:name w:val="Version"/>
    <w:rsid w:val="000048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83E"/>
    <w:pPr>
      <w:keepNext w:val="0"/>
      <w:tabs>
        <w:tab w:val="right" w:pos="4176"/>
      </w:tabs>
      <w:ind w:left="198" w:hanging="198"/>
    </w:pPr>
    <w:rPr>
      <w:rFonts w:ascii="Garamond" w:hAnsi="Garamond"/>
    </w:rPr>
  </w:style>
  <w:style w:type="paragraph" w:styleId="IndexHeading">
    <w:name w:val="index heading"/>
    <w:basedOn w:val="Normal"/>
    <w:next w:val="Index1"/>
    <w:semiHidden/>
    <w:rsid w:val="0000483E"/>
    <w:pPr>
      <w:spacing w:before="120" w:after="120"/>
    </w:pPr>
    <w:rPr>
      <w:rFonts w:ascii="Arial" w:hAnsi="Arial"/>
      <w:b/>
      <w:color w:val="918585"/>
      <w:sz w:val="24"/>
    </w:rPr>
  </w:style>
  <w:style w:type="paragraph" w:styleId="Header">
    <w:name w:val="header"/>
    <w:basedOn w:val="Normal"/>
    <w:link w:val="HeaderChar"/>
    <w:rsid w:val="00004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83E"/>
    <w:rPr>
      <w:rFonts w:ascii="Times New Roman" w:eastAsia="Times New Roman" w:hAnsi="Times New Roman" w:cs="Times New Roman"/>
      <w:sz w:val="16"/>
      <w:szCs w:val="20"/>
      <w:lang w:val="en-GB" w:eastAsia="en-US"/>
    </w:rPr>
  </w:style>
  <w:style w:type="paragraph" w:customStyle="1" w:styleId="Chapter">
    <w:name w:val="Chapter"/>
    <w:basedOn w:val="Normal"/>
    <w:rsid w:val="0000483E"/>
    <w:pPr>
      <w:spacing w:before="240"/>
    </w:pPr>
    <w:rPr>
      <w:rFonts w:ascii="Times New Roman" w:hAnsi="Times New Roman"/>
      <w:smallCaps/>
      <w:spacing w:val="80"/>
      <w:sz w:val="28"/>
    </w:rPr>
  </w:style>
  <w:style w:type="paragraph" w:customStyle="1" w:styleId="InChapter">
    <w:name w:val="InChapter"/>
    <w:basedOn w:val="Heading3"/>
    <w:rsid w:val="0000483E"/>
    <w:pPr>
      <w:spacing w:after="240"/>
      <w:outlineLvl w:val="9"/>
    </w:pPr>
    <w:rPr>
      <w:noProof/>
    </w:rPr>
  </w:style>
  <w:style w:type="paragraph" w:styleId="Index2">
    <w:name w:val="index 2"/>
    <w:basedOn w:val="Normal"/>
    <w:next w:val="Normal"/>
    <w:semiHidden/>
    <w:rsid w:val="0000483E"/>
    <w:pPr>
      <w:tabs>
        <w:tab w:val="right" w:pos="4176"/>
      </w:tabs>
      <w:ind w:left="568" w:hanging="284"/>
    </w:pPr>
    <w:rPr>
      <w:rFonts w:ascii="Garamond" w:hAnsi="Garamond"/>
    </w:rPr>
  </w:style>
  <w:style w:type="paragraph" w:customStyle="1" w:styleId="Byline">
    <w:name w:val="Byline"/>
    <w:rsid w:val="00004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83E"/>
    <w:pPr>
      <w:tabs>
        <w:tab w:val="clear" w:pos="3600"/>
        <w:tab w:val="clear" w:pos="3958"/>
      </w:tabs>
      <w:jc w:val="right"/>
    </w:pPr>
  </w:style>
  <w:style w:type="paragraph" w:styleId="Caption">
    <w:name w:val="caption"/>
    <w:basedOn w:val="BodyText"/>
    <w:next w:val="Normal"/>
    <w:qFormat/>
    <w:rsid w:val="0000483E"/>
    <w:pPr>
      <w:framePr w:w="2268" w:hSpace="181" w:vSpace="181" w:wrap="around" w:vAnchor="text" w:hAnchor="page" w:x="1135" w:y="285" w:anchorLock="1"/>
    </w:pPr>
    <w:rPr>
      <w:i/>
    </w:rPr>
  </w:style>
  <w:style w:type="paragraph" w:customStyle="1" w:styleId="MiniTOCTitle">
    <w:name w:val="MiniTOCTitle"/>
    <w:basedOn w:val="Heading4"/>
    <w:rsid w:val="0000483E"/>
    <w:pPr>
      <w:spacing w:before="240"/>
      <w:outlineLvl w:val="9"/>
    </w:pPr>
    <w:rPr>
      <w:noProof/>
      <w:sz w:val="24"/>
    </w:rPr>
  </w:style>
  <w:style w:type="paragraph" w:customStyle="1" w:styleId="MiniTOCItem">
    <w:name w:val="MiniTOCItem"/>
    <w:basedOn w:val="ListBullet"/>
    <w:rsid w:val="0000483E"/>
    <w:pPr>
      <w:numPr>
        <w:numId w:val="0"/>
      </w:numPr>
      <w:tabs>
        <w:tab w:val="right" w:leader="dot" w:pos="6521"/>
      </w:tabs>
      <w:spacing w:before="0" w:after="0"/>
    </w:pPr>
  </w:style>
  <w:style w:type="paragraph" w:customStyle="1" w:styleId="TOFTitle">
    <w:name w:val="TOFTitle"/>
    <w:basedOn w:val="TOCTitle"/>
    <w:rsid w:val="0000483E"/>
  </w:style>
  <w:style w:type="paragraph" w:styleId="TableofFigures">
    <w:name w:val="table of figures"/>
    <w:basedOn w:val="Normal"/>
    <w:next w:val="Normal"/>
    <w:semiHidden/>
    <w:rsid w:val="0000483E"/>
    <w:pPr>
      <w:tabs>
        <w:tab w:val="right" w:leader="dot" w:pos="9072"/>
      </w:tabs>
      <w:ind w:left="970" w:hanging="403"/>
    </w:pPr>
    <w:rPr>
      <w:rFonts w:ascii="Times New Roman" w:hAnsi="Times New Roman"/>
      <w:b/>
    </w:rPr>
  </w:style>
  <w:style w:type="paragraph" w:styleId="ListNumber">
    <w:name w:val="List Number"/>
    <w:basedOn w:val="List"/>
    <w:rsid w:val="0000483E"/>
    <w:pPr>
      <w:numPr>
        <w:numId w:val="11"/>
      </w:numPr>
    </w:pPr>
  </w:style>
  <w:style w:type="character" w:customStyle="1" w:styleId="WingdingSymbols">
    <w:name w:val="Wingding Symbols"/>
    <w:rsid w:val="0000483E"/>
    <w:rPr>
      <w:rFonts w:ascii="Wingdings" w:hAnsi="Wingdings"/>
    </w:rPr>
  </w:style>
  <w:style w:type="paragraph" w:customStyle="1" w:styleId="TableHeading">
    <w:name w:val="Table Heading"/>
    <w:basedOn w:val="HeadingBase"/>
    <w:rsid w:val="0000483E"/>
    <w:pPr>
      <w:keepLines/>
      <w:pBdr>
        <w:bottom w:val="single" w:sz="6" w:space="1" w:color="918585"/>
      </w:pBdr>
      <w:spacing w:before="240"/>
    </w:pPr>
  </w:style>
  <w:style w:type="character" w:customStyle="1" w:styleId="HotSpot">
    <w:name w:val="HotSpot"/>
    <w:rsid w:val="0000483E"/>
    <w:rPr>
      <w:color w:val="0033CC"/>
      <w:u w:val="none"/>
    </w:rPr>
  </w:style>
  <w:style w:type="paragraph" w:customStyle="1" w:styleId="BodyTextRight">
    <w:name w:val="Body Text Right"/>
    <w:basedOn w:val="BodyText"/>
    <w:rsid w:val="0000483E"/>
    <w:pPr>
      <w:spacing w:before="0" w:after="0"/>
      <w:jc w:val="right"/>
    </w:pPr>
  </w:style>
  <w:style w:type="paragraph" w:styleId="Index3">
    <w:name w:val="index 3"/>
    <w:basedOn w:val="ListNumber2"/>
    <w:next w:val="Normal"/>
    <w:semiHidden/>
    <w:rsid w:val="0000483E"/>
    <w:pPr>
      <w:numPr>
        <w:numId w:val="0"/>
      </w:numPr>
      <w:tabs>
        <w:tab w:val="right" w:leader="dot" w:pos="4176"/>
      </w:tabs>
    </w:pPr>
  </w:style>
  <w:style w:type="paragraph" w:styleId="ListNumber2">
    <w:name w:val="List Number 2"/>
    <w:basedOn w:val="List2"/>
    <w:rsid w:val="0000483E"/>
    <w:pPr>
      <w:numPr>
        <w:numId w:val="10"/>
      </w:numPr>
      <w:tabs>
        <w:tab w:val="clear" w:pos="1060"/>
      </w:tabs>
    </w:pPr>
  </w:style>
  <w:style w:type="paragraph" w:customStyle="1" w:styleId="MarginNote">
    <w:name w:val="Margin Note"/>
    <w:basedOn w:val="BodyText"/>
    <w:rsid w:val="00004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8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83E"/>
    <w:rPr>
      <w:sz w:val="32"/>
    </w:rPr>
  </w:style>
  <w:style w:type="paragraph" w:customStyle="1" w:styleId="HeadingProcedure">
    <w:name w:val="Heading Procedure"/>
    <w:basedOn w:val="HeadingBase"/>
    <w:next w:val="Normal"/>
    <w:rsid w:val="0000483E"/>
    <w:pPr>
      <w:tabs>
        <w:tab w:val="left" w:pos="0"/>
      </w:tabs>
      <w:spacing w:before="120" w:after="60"/>
    </w:pPr>
    <w:rPr>
      <w:i/>
      <w:color w:val="918585"/>
      <w:sz w:val="22"/>
    </w:rPr>
  </w:style>
  <w:style w:type="paragraph" w:customStyle="1" w:styleId="TableBodyText">
    <w:name w:val="Table Body Text"/>
    <w:basedOn w:val="BodyText"/>
    <w:rsid w:val="0000483E"/>
    <w:pPr>
      <w:spacing w:before="60" w:after="60"/>
    </w:pPr>
  </w:style>
  <w:style w:type="paragraph" w:styleId="ListContinue">
    <w:name w:val="List Continue"/>
    <w:basedOn w:val="List"/>
    <w:rsid w:val="0000483E"/>
    <w:pPr>
      <w:ind w:firstLine="0"/>
    </w:pPr>
  </w:style>
  <w:style w:type="paragraph" w:customStyle="1" w:styleId="ListNote">
    <w:name w:val="List Note"/>
    <w:basedOn w:val="List"/>
    <w:rsid w:val="0000483E"/>
    <w:pPr>
      <w:pBdr>
        <w:top w:val="single" w:sz="6" w:space="2" w:color="918585"/>
        <w:bottom w:val="single" w:sz="6" w:space="2" w:color="918585"/>
      </w:pBdr>
      <w:tabs>
        <w:tab w:val="left" w:pos="1021"/>
      </w:tabs>
      <w:ind w:firstLine="0"/>
    </w:pPr>
  </w:style>
  <w:style w:type="paragraph" w:customStyle="1" w:styleId="Warning">
    <w:name w:val="Warning"/>
    <w:basedOn w:val="BodyText"/>
    <w:rsid w:val="0000483E"/>
    <w:pPr>
      <w:shd w:val="clear" w:color="auto" w:fill="D9D9D9"/>
      <w:tabs>
        <w:tab w:val="left" w:pos="992"/>
      </w:tabs>
      <w:ind w:left="119" w:right="119"/>
    </w:pPr>
    <w:rPr>
      <w:sz w:val="20"/>
    </w:rPr>
  </w:style>
  <w:style w:type="paragraph" w:customStyle="1" w:styleId="MarginIcons">
    <w:name w:val="Margin Icons"/>
    <w:basedOn w:val="BodyText"/>
    <w:rsid w:val="00004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83E"/>
    <w:rPr>
      <w:rFonts w:ascii="Courier New" w:hAnsi="Courier New"/>
    </w:rPr>
  </w:style>
  <w:style w:type="paragraph" w:customStyle="1" w:styleId="NoteBullet">
    <w:name w:val="Note Bullet"/>
    <w:basedOn w:val="Note"/>
    <w:rsid w:val="0000483E"/>
    <w:pPr>
      <w:tabs>
        <w:tab w:val="clear" w:pos="680"/>
      </w:tabs>
      <w:spacing w:before="60" w:after="60"/>
    </w:pPr>
  </w:style>
  <w:style w:type="paragraph" w:customStyle="1" w:styleId="SubHeading2">
    <w:name w:val="SubHeading2"/>
    <w:basedOn w:val="HeadingBase"/>
    <w:rsid w:val="0000483E"/>
    <w:pPr>
      <w:spacing w:before="240" w:after="60"/>
    </w:pPr>
    <w:rPr>
      <w:sz w:val="20"/>
    </w:rPr>
  </w:style>
  <w:style w:type="paragraph" w:customStyle="1" w:styleId="SubHeading1">
    <w:name w:val="SubHeading1"/>
    <w:basedOn w:val="HeadingBase"/>
    <w:rsid w:val="0000483E"/>
    <w:pPr>
      <w:spacing w:before="240" w:after="60"/>
    </w:pPr>
    <w:rPr>
      <w:color w:val="918585"/>
      <w:sz w:val="22"/>
    </w:rPr>
  </w:style>
  <w:style w:type="paragraph" w:customStyle="1" w:styleId="SideHeading">
    <w:name w:val="Side Heading"/>
    <w:basedOn w:val="HeadingBase"/>
    <w:rsid w:val="00004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83E"/>
    <w:pPr>
      <w:numPr>
        <w:numId w:val="12"/>
      </w:numPr>
    </w:pPr>
  </w:style>
  <w:style w:type="paragraph" w:styleId="PlainText">
    <w:name w:val="Plain Text"/>
    <w:basedOn w:val="Normal"/>
    <w:link w:val="PlainTextChar"/>
    <w:rsid w:val="0000483E"/>
    <w:rPr>
      <w:sz w:val="20"/>
    </w:rPr>
  </w:style>
  <w:style w:type="character" w:customStyle="1" w:styleId="PlainTextChar">
    <w:name w:val="Plain Text Char"/>
    <w:basedOn w:val="DefaultParagraphFont"/>
    <w:link w:val="PlainText"/>
    <w:rsid w:val="0000483E"/>
    <w:rPr>
      <w:rFonts w:ascii="Courier New" w:eastAsia="Times New Roman" w:hAnsi="Courier New" w:cs="Times New Roman"/>
      <w:sz w:val="20"/>
      <w:szCs w:val="20"/>
      <w:lang w:eastAsia="en-US"/>
    </w:rPr>
  </w:style>
  <w:style w:type="character" w:customStyle="1" w:styleId="MenuOption">
    <w:name w:val="Menu Option"/>
    <w:basedOn w:val="DefaultParagraphFont"/>
    <w:rsid w:val="0000483E"/>
    <w:rPr>
      <w:b/>
      <w:smallCaps/>
    </w:rPr>
  </w:style>
  <w:style w:type="paragraph" w:customStyle="1" w:styleId="TableListNumber">
    <w:name w:val="Table List Number"/>
    <w:basedOn w:val="ListNumber"/>
    <w:rsid w:val="0000483E"/>
    <w:pPr>
      <w:numPr>
        <w:numId w:val="0"/>
      </w:numPr>
    </w:pPr>
  </w:style>
  <w:style w:type="paragraph" w:styleId="TOC4">
    <w:name w:val="toc 4"/>
    <w:basedOn w:val="TOCBase"/>
    <w:next w:val="Normal"/>
    <w:semiHidden/>
    <w:rsid w:val="0000483E"/>
    <w:pPr>
      <w:tabs>
        <w:tab w:val="right" w:leader="dot" w:pos="9071"/>
      </w:tabs>
      <w:ind w:left="1701"/>
    </w:pPr>
  </w:style>
  <w:style w:type="paragraph" w:customStyle="1" w:styleId="ListAlpha">
    <w:name w:val="List Alpha"/>
    <w:basedOn w:val="List"/>
    <w:rsid w:val="0000483E"/>
    <w:pPr>
      <w:numPr>
        <w:numId w:val="9"/>
      </w:numPr>
    </w:pPr>
  </w:style>
  <w:style w:type="paragraph" w:customStyle="1" w:styleId="ListAlpha2">
    <w:name w:val="List Alpha 2"/>
    <w:basedOn w:val="List2"/>
    <w:rsid w:val="0000483E"/>
    <w:pPr>
      <w:numPr>
        <w:numId w:val="8"/>
      </w:numPr>
    </w:pPr>
  </w:style>
  <w:style w:type="paragraph" w:styleId="List2">
    <w:name w:val="List 2"/>
    <w:basedOn w:val="BodyText"/>
    <w:rsid w:val="0000483E"/>
    <w:pPr>
      <w:tabs>
        <w:tab w:val="left" w:pos="680"/>
      </w:tabs>
      <w:spacing w:before="60" w:after="60"/>
      <w:ind w:left="680" w:hanging="340"/>
    </w:pPr>
  </w:style>
  <w:style w:type="paragraph" w:styleId="List3">
    <w:name w:val="List 3"/>
    <w:basedOn w:val="BodyText"/>
    <w:rsid w:val="0000483E"/>
    <w:pPr>
      <w:tabs>
        <w:tab w:val="left" w:pos="1021"/>
      </w:tabs>
      <w:spacing w:before="60" w:after="60"/>
      <w:ind w:left="1020" w:hanging="340"/>
    </w:pPr>
  </w:style>
  <w:style w:type="paragraph" w:styleId="List4">
    <w:name w:val="List 4"/>
    <w:basedOn w:val="BodyText"/>
    <w:rsid w:val="0000483E"/>
    <w:pPr>
      <w:tabs>
        <w:tab w:val="left" w:pos="1361"/>
      </w:tabs>
      <w:spacing w:before="60" w:after="60"/>
      <w:ind w:left="1361" w:hanging="340"/>
    </w:pPr>
  </w:style>
  <w:style w:type="paragraph" w:styleId="List5">
    <w:name w:val="List 5"/>
    <w:basedOn w:val="BodyText"/>
    <w:rsid w:val="0000483E"/>
    <w:pPr>
      <w:tabs>
        <w:tab w:val="left" w:pos="1701"/>
      </w:tabs>
      <w:spacing w:before="60" w:after="60"/>
      <w:ind w:left="1701" w:hanging="340"/>
    </w:pPr>
  </w:style>
  <w:style w:type="paragraph" w:styleId="ListBullet3">
    <w:name w:val="List Bullet 3"/>
    <w:basedOn w:val="List3"/>
    <w:rsid w:val="0000483E"/>
    <w:pPr>
      <w:numPr>
        <w:numId w:val="15"/>
      </w:numPr>
      <w:tabs>
        <w:tab w:val="clear" w:pos="1021"/>
      </w:tabs>
      <w:ind w:left="1037" w:hanging="357"/>
    </w:pPr>
  </w:style>
  <w:style w:type="paragraph" w:styleId="ListBullet4">
    <w:name w:val="List Bullet 4"/>
    <w:basedOn w:val="List4"/>
    <w:rsid w:val="0000483E"/>
    <w:pPr>
      <w:numPr>
        <w:numId w:val="3"/>
      </w:numPr>
    </w:pPr>
  </w:style>
  <w:style w:type="paragraph" w:styleId="ListBullet5">
    <w:name w:val="List Bullet 5"/>
    <w:basedOn w:val="List5"/>
    <w:rsid w:val="0000483E"/>
    <w:pPr>
      <w:numPr>
        <w:numId w:val="4"/>
      </w:numPr>
    </w:pPr>
  </w:style>
  <w:style w:type="paragraph" w:styleId="ListContinue2">
    <w:name w:val="List Continue 2"/>
    <w:basedOn w:val="List2"/>
    <w:rsid w:val="0000483E"/>
    <w:pPr>
      <w:ind w:firstLine="0"/>
    </w:pPr>
  </w:style>
  <w:style w:type="paragraph" w:styleId="ListContinue3">
    <w:name w:val="List Continue 3"/>
    <w:basedOn w:val="List3"/>
    <w:rsid w:val="0000483E"/>
    <w:pPr>
      <w:ind w:left="1021" w:firstLine="0"/>
    </w:pPr>
  </w:style>
  <w:style w:type="paragraph" w:styleId="ListContinue4">
    <w:name w:val="List Continue 4"/>
    <w:basedOn w:val="List4"/>
    <w:rsid w:val="0000483E"/>
    <w:pPr>
      <w:ind w:firstLine="0"/>
    </w:pPr>
  </w:style>
  <w:style w:type="paragraph" w:styleId="ListContinue5">
    <w:name w:val="List Continue 5"/>
    <w:basedOn w:val="List5"/>
    <w:rsid w:val="0000483E"/>
    <w:pPr>
      <w:ind w:firstLine="0"/>
    </w:pPr>
  </w:style>
  <w:style w:type="paragraph" w:styleId="ListNumber3">
    <w:name w:val="List Number 3"/>
    <w:basedOn w:val="List3"/>
    <w:rsid w:val="0000483E"/>
    <w:pPr>
      <w:numPr>
        <w:numId w:val="5"/>
      </w:numPr>
    </w:pPr>
  </w:style>
  <w:style w:type="paragraph" w:styleId="ListNumber4">
    <w:name w:val="List Number 4"/>
    <w:basedOn w:val="List4"/>
    <w:rsid w:val="0000483E"/>
    <w:pPr>
      <w:numPr>
        <w:numId w:val="6"/>
      </w:numPr>
    </w:pPr>
  </w:style>
  <w:style w:type="paragraph" w:styleId="ListNumber5">
    <w:name w:val="List Number 5"/>
    <w:basedOn w:val="List5"/>
    <w:rsid w:val="0000483E"/>
    <w:pPr>
      <w:numPr>
        <w:numId w:val="7"/>
      </w:numPr>
    </w:pPr>
  </w:style>
  <w:style w:type="paragraph" w:styleId="BlockText">
    <w:name w:val="Block Text"/>
    <w:basedOn w:val="Normal"/>
    <w:rsid w:val="0000483E"/>
    <w:pPr>
      <w:spacing w:after="120"/>
      <w:ind w:left="1440" w:right="1440"/>
    </w:pPr>
  </w:style>
  <w:style w:type="character" w:customStyle="1" w:styleId="Subscript">
    <w:name w:val="Subscript"/>
    <w:basedOn w:val="DefaultParagraphFont"/>
    <w:rsid w:val="0000483E"/>
    <w:rPr>
      <w:sz w:val="16"/>
      <w:vertAlign w:val="subscript"/>
    </w:rPr>
  </w:style>
  <w:style w:type="character" w:customStyle="1" w:styleId="Superscript">
    <w:name w:val="Superscript"/>
    <w:basedOn w:val="DefaultParagraphFont"/>
    <w:rsid w:val="0000483E"/>
    <w:rPr>
      <w:sz w:val="16"/>
      <w:vertAlign w:val="superscript"/>
    </w:rPr>
  </w:style>
  <w:style w:type="character" w:customStyle="1" w:styleId="Symbols">
    <w:name w:val="Symbols"/>
    <w:basedOn w:val="DefaultParagraphFont"/>
    <w:rsid w:val="0000483E"/>
    <w:rPr>
      <w:rFonts w:ascii="Symbol" w:hAnsi="Symbol"/>
    </w:rPr>
  </w:style>
  <w:style w:type="character" w:customStyle="1" w:styleId="MenuOptions">
    <w:name w:val="Menu Options"/>
    <w:basedOn w:val="DefaultParagraphFont"/>
    <w:rsid w:val="0000483E"/>
    <w:rPr>
      <w:rFonts w:ascii="Arial Narrow" w:hAnsi="Arial Narrow"/>
      <w:smallCaps/>
    </w:rPr>
  </w:style>
  <w:style w:type="character" w:customStyle="1" w:styleId="Buttons">
    <w:name w:val="Buttons"/>
    <w:basedOn w:val="DefaultParagraphFont"/>
    <w:rsid w:val="0000483E"/>
    <w:rPr>
      <w:b/>
    </w:rPr>
  </w:style>
  <w:style w:type="character" w:customStyle="1" w:styleId="Underlined">
    <w:name w:val="Underlined"/>
    <w:basedOn w:val="DefaultParagraphFont"/>
    <w:rsid w:val="0000483E"/>
    <w:rPr>
      <w:u w:val="single"/>
    </w:rPr>
  </w:style>
  <w:style w:type="paragraph" w:customStyle="1" w:styleId="TableBodyTextRight">
    <w:name w:val="Table Body Text Right"/>
    <w:basedOn w:val="TableBodyText"/>
    <w:rsid w:val="0000483E"/>
    <w:pPr>
      <w:widowControl w:val="0"/>
      <w:autoSpaceDE w:val="0"/>
      <w:autoSpaceDN w:val="0"/>
      <w:adjustRightInd w:val="0"/>
      <w:jc w:val="right"/>
    </w:pPr>
    <w:rPr>
      <w:rFonts w:cs="Arial"/>
      <w:szCs w:val="18"/>
    </w:rPr>
  </w:style>
  <w:style w:type="paragraph" w:customStyle="1" w:styleId="CopyrightText">
    <w:name w:val="Copyright Text"/>
    <w:basedOn w:val="BodyText"/>
    <w:rsid w:val="0000483E"/>
    <w:rPr>
      <w:sz w:val="18"/>
    </w:rPr>
  </w:style>
  <w:style w:type="paragraph" w:customStyle="1" w:styleId="BodySmallRight">
    <w:name w:val="Body Small Right"/>
    <w:basedOn w:val="BodyTextRight"/>
    <w:rsid w:val="0000483E"/>
    <w:rPr>
      <w:sz w:val="18"/>
      <w:szCs w:val="18"/>
    </w:rPr>
  </w:style>
  <w:style w:type="paragraph" w:customStyle="1" w:styleId="MarginEdition">
    <w:name w:val="Margin Edition"/>
    <w:basedOn w:val="MarginNote"/>
    <w:rsid w:val="0000483E"/>
    <w:pPr>
      <w:spacing w:before="0" w:after="0"/>
    </w:pPr>
    <w:rPr>
      <w:rFonts w:ascii="Times New Roman" w:hAnsi="Times New Roman"/>
      <w:color w:val="999999"/>
    </w:rPr>
  </w:style>
  <w:style w:type="paragraph" w:customStyle="1" w:styleId="Spacer">
    <w:name w:val="Spacer"/>
    <w:basedOn w:val="Normal"/>
    <w:rsid w:val="0000483E"/>
    <w:rPr>
      <w:sz w:val="2"/>
      <w:szCs w:val="2"/>
    </w:rPr>
  </w:style>
  <w:style w:type="character" w:customStyle="1" w:styleId="Small">
    <w:name w:val="Small"/>
    <w:basedOn w:val="DefaultParagraphFont"/>
    <w:rsid w:val="0000483E"/>
    <w:rPr>
      <w:sz w:val="16"/>
    </w:rPr>
  </w:style>
  <w:style w:type="paragraph" w:customStyle="1" w:styleId="WideTable">
    <w:name w:val="Wide Table"/>
    <w:basedOn w:val="Normal"/>
    <w:rsid w:val="0000483E"/>
    <w:pPr>
      <w:ind w:left="-1418"/>
    </w:pPr>
    <w:rPr>
      <w:sz w:val="2"/>
      <w:szCs w:val="2"/>
    </w:rPr>
  </w:style>
  <w:style w:type="character" w:styleId="PageNumber">
    <w:name w:val="page number"/>
    <w:basedOn w:val="DefaultParagraphFont"/>
    <w:rsid w:val="0000483E"/>
  </w:style>
  <w:style w:type="paragraph" w:styleId="Quote">
    <w:name w:val="Quote"/>
    <w:basedOn w:val="Heading1"/>
    <w:link w:val="QuoteChar"/>
    <w:qFormat/>
    <w:rsid w:val="0000483E"/>
    <w:rPr>
      <w:b w:val="0"/>
      <w:sz w:val="72"/>
      <w:szCs w:val="72"/>
      <w:lang w:val="en-NZ"/>
    </w:rPr>
  </w:style>
  <w:style w:type="character" w:customStyle="1" w:styleId="QuoteChar">
    <w:name w:val="Quote Char"/>
    <w:basedOn w:val="DefaultParagraphFont"/>
    <w:link w:val="Quote"/>
    <w:rsid w:val="00004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83E"/>
    <w:pPr>
      <w:pageBreakBefore/>
    </w:pPr>
  </w:style>
  <w:style w:type="paragraph" w:customStyle="1" w:styleId="Border">
    <w:name w:val="Border"/>
    <w:basedOn w:val="Normal"/>
    <w:qFormat/>
    <w:rsid w:val="00004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83E"/>
    <w:rPr>
      <w:b/>
      <w:bCs/>
      <w:i/>
      <w:iCs/>
      <w:color w:val="auto"/>
    </w:rPr>
  </w:style>
  <w:style w:type="paragraph" w:styleId="IntenseQuote">
    <w:name w:val="Intense Quote"/>
    <w:basedOn w:val="Normal"/>
    <w:next w:val="Normal"/>
    <w:link w:val="IntenseQuoteChar"/>
    <w:uiPriority w:val="30"/>
    <w:qFormat/>
    <w:rsid w:val="00004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8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83E"/>
    <w:rPr>
      <w:smallCaps/>
      <w:color w:val="auto"/>
      <w:u w:val="single"/>
    </w:rPr>
  </w:style>
  <w:style w:type="character" w:styleId="IntenseReference">
    <w:name w:val="Intense Reference"/>
    <w:basedOn w:val="DefaultParagraphFont"/>
    <w:uiPriority w:val="32"/>
    <w:qFormat/>
    <w:rsid w:val="0000483E"/>
    <w:rPr>
      <w:b/>
      <w:bCs/>
      <w:smallCaps/>
      <w:color w:val="auto"/>
      <w:spacing w:val="5"/>
      <w:u w:val="single"/>
    </w:rPr>
  </w:style>
  <w:style w:type="paragraph" w:customStyle="1" w:styleId="2ColumnHeading">
    <w:name w:val="2Column Heading"/>
    <w:basedOn w:val="BodyText"/>
    <w:qFormat/>
    <w:rsid w:val="0000483E"/>
    <w:pPr>
      <w:spacing w:after="60"/>
      <w:ind w:left="-2268"/>
    </w:pPr>
    <w:rPr>
      <w:b/>
    </w:rPr>
  </w:style>
  <w:style w:type="paragraph" w:customStyle="1" w:styleId="Heading1TOC">
    <w:name w:val="Heading1 TOC"/>
    <w:basedOn w:val="Normal"/>
    <w:qFormat/>
    <w:rsid w:val="0000483E"/>
    <w:pPr>
      <w:spacing w:before="240" w:after="120"/>
    </w:pPr>
    <w:rPr>
      <w:rFonts w:ascii="Times New Roman" w:hAnsi="Times New Roman"/>
      <w:b/>
      <w:sz w:val="32"/>
    </w:rPr>
  </w:style>
  <w:style w:type="paragraph" w:customStyle="1" w:styleId="Heading2TOC">
    <w:name w:val="Heading2 TOC"/>
    <w:basedOn w:val="Normal"/>
    <w:qFormat/>
    <w:rsid w:val="0000483E"/>
    <w:pPr>
      <w:spacing w:before="240" w:after="60"/>
    </w:pPr>
    <w:rPr>
      <w:rFonts w:ascii="Times New Roman" w:hAnsi="Times New Roman"/>
      <w:b/>
      <w:sz w:val="28"/>
    </w:rPr>
  </w:style>
  <w:style w:type="character" w:customStyle="1" w:styleId="Underline">
    <w:name w:val="Underline"/>
    <w:basedOn w:val="DefaultParagraphFont"/>
    <w:qFormat/>
    <w:rsid w:val="0000483E"/>
    <w:rPr>
      <w:u w:val="single"/>
    </w:rPr>
  </w:style>
  <w:style w:type="character" w:customStyle="1" w:styleId="BoldandItalics">
    <w:name w:val="Bold and Italics"/>
    <w:qFormat/>
    <w:rsid w:val="0000483E"/>
    <w:rPr>
      <w:b/>
      <w:i/>
      <w:u w:val="none"/>
    </w:rPr>
  </w:style>
  <w:style w:type="paragraph" w:styleId="BalloonText">
    <w:name w:val="Balloon Text"/>
    <w:basedOn w:val="Normal"/>
    <w:link w:val="BalloonTextChar"/>
    <w:rsid w:val="0000483E"/>
    <w:rPr>
      <w:rFonts w:ascii="Tahoma" w:hAnsi="Tahoma" w:cs="Tahoma"/>
      <w:sz w:val="16"/>
      <w:szCs w:val="16"/>
    </w:rPr>
  </w:style>
  <w:style w:type="character" w:customStyle="1" w:styleId="BalloonTextChar">
    <w:name w:val="Balloon Text Char"/>
    <w:basedOn w:val="DefaultParagraphFont"/>
    <w:link w:val="BalloonText"/>
    <w:rsid w:val="000048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8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8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83E"/>
    <w:rPr>
      <w:b/>
      <w:color w:val="660033"/>
      <w:spacing w:val="0"/>
    </w:rPr>
  </w:style>
  <w:style w:type="paragraph" w:customStyle="1" w:styleId="Nameditemlist">
    <w:name w:val="Named item list"/>
    <w:basedOn w:val="BodyText"/>
    <w:qFormat/>
    <w:rsid w:val="000048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2428</Words>
  <Characters>14733</Characters>
  <Application>Microsoft Office Word</Application>
  <DocSecurity>0</DocSecurity>
  <Lines>640</Lines>
  <Paragraphs>251</Paragraphs>
  <ScaleCrop>false</ScaleCrop>
  <Company>Author-it Software Corporation Ltd.</Company>
  <LinksUpToDate>false</LinksUpToDate>
  <CharactersWithSpaces>17043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UEGNSG213B Construct, lay and connect a gas distribution service to a steel main</dc:title>
  <dc:subject>Approved</dc:subject>
  <dc:creator>E-Oz Training Standards</dc:creator>
  <cp:keywords>Release 1</cp:keywords>
  <dc:description>Review Date: 12 April 2008</dc:description>
  <cp:lastModifiedBy>HSD_TPCMSd.prod</cp:lastModifiedBy>
  <cp:revision>3</cp:revision>
  <dcterms:created xsi:type="dcterms:W3CDTF">2014-03-13T15:19:47Z</dcterms:created>
  <dcterms:modified xsi:type="dcterms:W3CDTF">2014-03-13T03:47:00Z</dcterms:modified>
</cp:coreProperties>
</file>