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5968" w:rsidP="00DD5968">
      <w:pPr>
        <w:pStyle w:val="Title"/>
      </w:pPr>
      <w:r>
        <w:fldChar w:fldCharType="begin"/>
      </w:r>
      <w:r>
        <w:instrText xml:space="preserve"> TITLE   \* MERGEFORMAT </w:instrText>
      </w:r>
      <w:r>
        <w:fldChar w:fldCharType="separate"/>
      </w:r>
      <w:r>
        <w:t>UEGNSG212B Construct, lay and connect a gas distribution service to a plastic main</w:t>
      </w:r>
      <w:r>
        <w:fldChar w:fldCharType="end"/>
      </w:r>
    </w:p>
    <w:p w:rsidR="00DD5968" w:rsidP="00DD5968">
      <w:pPr>
        <w:pStyle w:val="Version"/>
        <w:sectPr w:rsidSect="004221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11E" w:rsidP="0042211E">
      <w:pPr>
        <w:pStyle w:val="SuperHeading"/>
      </w:pPr>
      <w:r w:rsidRPr="0042211E">
        <w:t>UEGNSG212B Construct, lay and connect a gas distribution service to a plastic main</w:t>
      </w:r>
    </w:p>
    <w:p w:rsidR="00000000" w:rsidRPr="0042211E" w:rsidP="0042211E">
      <w:pPr>
        <w:pStyle w:val="Heading1"/>
      </w:pPr>
      <w:bookmarkStart w:id="1" w:name="O_607380"/>
      <w:bookmarkEnd w:id="1"/>
      <w:r w:rsidRPr="0042211E">
        <w:t>Modification History</w:t>
      </w:r>
    </w:p>
    <w:p w:rsidR="00000000" w:rsidRPr="0042211E" w:rsidP="0042211E">
      <w:pPr>
        <w:pStyle w:val="BodyText"/>
      </w:pPr>
      <w:r w:rsidRPr="0042211E">
        <w:t>Not applicable.</w:t>
      </w:r>
    </w:p>
    <w:p w:rsidR="00000000" w:rsidRPr="0042211E" w:rsidP="0042211E">
      <w:pPr>
        <w:pStyle w:val="AllowPageBreak"/>
      </w:pPr>
    </w:p>
    <w:p w:rsidR="00000000" w:rsidRPr="0042211E" w:rsidP="0042211E">
      <w:pPr>
        <w:pStyle w:val="Heading1"/>
      </w:pPr>
      <w:bookmarkStart w:id="2" w:name="O_607381"/>
      <w:bookmarkEnd w:id="2"/>
      <w:r w:rsidRPr="0042211E">
        <w:t>Unit Descriptor</w:t>
      </w:r>
    </w:p>
    <w:tbl>
      <w:tblPr>
        <w:tblW w:w="0" w:type="auto"/>
        <w:tblLayout w:type="fixed"/>
        <w:tblCellMar>
          <w:left w:w="62" w:type="dxa"/>
          <w:right w:w="62" w:type="dxa"/>
        </w:tblCellMar>
        <w:tblLook w:val="0000"/>
      </w:tblPr>
      <w:tblGrid>
        <w:gridCol w:w="2700"/>
        <w:gridCol w:w="5760"/>
      </w:tblGrid>
      <w:tr w:rsidTr="00DD59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rPr>
                <w:rStyle w:val="SpecialBold"/>
              </w:rPr>
              <w:t>1) Scope:</w:t>
            </w:r>
          </w:p>
        </w:tc>
      </w:tr>
      <w:tr w:rsidTr="00DD59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2211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rPr>
                <w:rStyle w:val="SpecialBold"/>
              </w:rPr>
              <w:t>1.1) Descriptor</w:t>
            </w:r>
          </w:p>
        </w:tc>
      </w:tr>
      <w:tr w:rsidTr="00DD59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t>This unit covers excavated bed preparation and the construction, laying and connection of a gas service to a plastic main. This includes the installation of the meter to service riser, subject to local regulatory requirements</w:t>
            </w:r>
          </w:p>
          <w:p w:rsidR="00000000" w:rsidRPr="0042211E" w:rsidP="0042211E">
            <w:pPr>
              <w:pStyle w:val="BodyText"/>
            </w:pPr>
          </w:p>
          <w:p w:rsidR="00000000" w:rsidRPr="0042211E" w:rsidP="0042211E">
            <w:pPr>
              <w:pStyle w:val="BodyText"/>
            </w:pPr>
            <w:r w:rsidRPr="0042211E">
              <w:t>It encompasses the use of rel</w:t>
            </w:r>
            <w:r w:rsidRPr="0042211E">
              <w:t>evant tools and equipment, working safely using standard operating procedures, complying with relevant legislative, standard and code requirements, and completing necessary documentation.</w:t>
            </w:r>
          </w:p>
        </w:tc>
      </w:tr>
    </w:tbl>
    <w:p w:rsidR="00000000" w:rsidRPr="0042211E" w:rsidP="0042211E">
      <w:pPr>
        <w:pStyle w:val="BodyText"/>
      </w:pPr>
    </w:p>
    <w:p w:rsidR="00000000" w:rsidRPr="0042211E" w:rsidP="0042211E">
      <w:pPr>
        <w:pStyle w:val="AllowPageBreak"/>
      </w:pPr>
    </w:p>
    <w:p w:rsidR="00000000" w:rsidRPr="0042211E" w:rsidP="0042211E">
      <w:pPr>
        <w:pStyle w:val="Heading1"/>
      </w:pPr>
      <w:bookmarkStart w:id="3" w:name="O_607382"/>
      <w:bookmarkEnd w:id="3"/>
      <w:r w:rsidRPr="0042211E">
        <w:t>Application of the Unit</w:t>
      </w:r>
    </w:p>
    <w:tbl>
      <w:tblPr>
        <w:tblW w:w="0" w:type="auto"/>
        <w:tblLayout w:type="fixed"/>
        <w:tblCellMar>
          <w:left w:w="62" w:type="dxa"/>
          <w:right w:w="62" w:type="dxa"/>
        </w:tblCellMar>
        <w:tblLook w:val="0000"/>
      </w:tblPr>
      <w:tblGrid>
        <w:gridCol w:w="2672"/>
        <w:gridCol w:w="5699"/>
      </w:tblGrid>
      <w:tr w:rsidTr="00DD596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rPr>
                <w:rStyle w:val="SpecialBold"/>
              </w:rPr>
              <w:t>2)</w:t>
            </w:r>
          </w:p>
        </w:tc>
      </w:tr>
      <w:tr w:rsidTr="00DD5968">
        <w:tblPrEx>
          <w:tblW w:w="0" w:type="auto"/>
          <w:tblLayout w:type="fixed"/>
          <w:tblCellMar>
            <w:left w:w="62" w:type="dxa"/>
            <w:right w:w="62" w:type="dxa"/>
          </w:tblCellMar>
          <w:tblLook w:val="0000"/>
        </w:tblPrEx>
        <w:trPr>
          <w:trHeight w:val="2874"/>
        </w:trPr>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t>This competency standard shall apply to any safe work site where the construction and laying of a gas service and connection to a plastic main occur, subject to all Workplace Health and Safety (WHS)/Occupational Health and Safety (OHS) and duty of car</w:t>
            </w:r>
            <w:r w:rsidRPr="0042211E">
              <w:t>e requirements being met for the workplace.</w:t>
            </w:r>
          </w:p>
          <w:p w:rsidR="00000000" w:rsidRPr="0042211E" w:rsidP="0042211E">
            <w:pPr>
              <w:pStyle w:val="BodyText"/>
            </w:pPr>
          </w:p>
          <w:p w:rsidR="00000000" w:rsidRPr="0042211E" w:rsidP="0042211E">
            <w:pPr>
              <w:pStyle w:val="BodyText"/>
            </w:pPr>
            <w:r w:rsidRPr="0042211E">
              <w:t>This unit is intended as an entry level AQF 3 competency for new entrants in the gas industry. It is suitable for employment-based programs under an approved contract</w:t>
            </w:r>
          </w:p>
        </w:tc>
      </w:tr>
    </w:tbl>
    <w:p w:rsidR="00000000" w:rsidRPr="0042211E" w:rsidP="0042211E">
      <w:pPr>
        <w:pStyle w:val="BodyText"/>
      </w:pPr>
    </w:p>
    <w:p w:rsidR="00000000" w:rsidRPr="0042211E" w:rsidP="0042211E">
      <w:pPr>
        <w:pStyle w:val="AllowPageBreak"/>
      </w:pPr>
    </w:p>
    <w:p w:rsidR="00000000" w:rsidRPr="0042211E" w:rsidP="0042211E">
      <w:pPr>
        <w:pStyle w:val="Heading1"/>
      </w:pPr>
      <w:bookmarkStart w:id="4" w:name="O_607383"/>
      <w:bookmarkEnd w:id="4"/>
      <w:r w:rsidRPr="0042211E">
        <w:t>Licensing/Regulatory Information</w:t>
      </w:r>
    </w:p>
    <w:tbl>
      <w:tblPr>
        <w:tblW w:w="0" w:type="auto"/>
        <w:tblLayout w:type="fixed"/>
        <w:tblCellMar>
          <w:left w:w="62" w:type="dxa"/>
          <w:right w:w="62" w:type="dxa"/>
        </w:tblCellMar>
        <w:tblLook w:val="0000"/>
      </w:tblPr>
      <w:tblGrid>
        <w:gridCol w:w="2700"/>
        <w:gridCol w:w="5760"/>
      </w:tblGrid>
      <w:tr w:rsidTr="00DD59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rPr>
                <w:rStyle w:val="SpecialBold"/>
              </w:rPr>
              <w:t xml:space="preserve">3) </w:t>
            </w:r>
          </w:p>
        </w:tc>
      </w:tr>
      <w:tr w:rsidTr="00DD59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2211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rPr>
                <w:rStyle w:val="SpecialBold"/>
              </w:rPr>
              <w:t xml:space="preserve">During Training: </w:t>
            </w:r>
          </w:p>
          <w:p w:rsidR="00000000" w:rsidRPr="0042211E" w:rsidP="0042211E">
            <w:pPr>
              <w:pStyle w:val="BodyText"/>
            </w:pPr>
            <w:r w:rsidRPr="0042211E">
              <w:t>Competency development activities are subject to regulations directly related to licensing, workplace health and safety and where applicable contracts of training such as apprenti</w:t>
            </w:r>
            <w:r w:rsidRPr="0042211E">
              <w:t xml:space="preserve">ceships. </w:t>
            </w:r>
          </w:p>
          <w:p w:rsidR="00000000" w:rsidRPr="0042211E" w:rsidP="0042211E">
            <w:pPr>
              <w:pStyle w:val="BodyText"/>
            </w:pPr>
          </w:p>
          <w:p w:rsidR="00000000" w:rsidRPr="0042211E" w:rsidP="0042211E">
            <w:pPr>
              <w:pStyle w:val="BodyText"/>
            </w:pPr>
            <w:r w:rsidRPr="0042211E">
              <w:rPr>
                <w:rStyle w:val="SpecialBold"/>
              </w:rPr>
              <w:t>In the workplace:</w:t>
            </w:r>
          </w:p>
          <w:p w:rsidR="00000000" w:rsidRPr="0042211E" w:rsidP="0042211E">
            <w:pPr>
              <w:pStyle w:val="BodyText"/>
            </w:pPr>
            <w:r w:rsidRPr="0042211E">
              <w:t>The skills and knowledge described in this unit are not subject to licence regulation other than those directly related to Workplace Health and Safety/Occupational Health and Safety, gas/electricity/water industry safety and co</w:t>
            </w:r>
            <w:r w:rsidRPr="0042211E">
              <w:t xml:space="preserve">mpliance, industrial relations, environmental protection, telecommunications, anti-discrimination and training. </w:t>
            </w:r>
          </w:p>
          <w:p w:rsidR="00000000" w:rsidRPr="0042211E" w:rsidP="0042211E">
            <w:pPr>
              <w:pStyle w:val="BodyText"/>
            </w:pPr>
          </w:p>
          <w:p w:rsidR="00000000" w:rsidRPr="0042211E" w:rsidP="0042211E">
            <w:pPr>
              <w:pStyle w:val="BodyText"/>
            </w:pPr>
            <w:r w:rsidRPr="0042211E">
              <w:t>Commonwealth, State/Territory or Local Government legislation and regulations may exist that limit the age at which a person can operate certa</w:t>
            </w:r>
            <w:r w:rsidRPr="0042211E">
              <w:t>in equipment. Other conditions may apply to this competency under State and Territory legislative and regulatory requirements.</w:t>
            </w:r>
          </w:p>
        </w:tc>
      </w:tr>
    </w:tbl>
    <w:p w:rsidR="00000000" w:rsidRPr="0042211E" w:rsidP="0042211E">
      <w:pPr>
        <w:pStyle w:val="BodyText"/>
      </w:pPr>
    </w:p>
    <w:p w:rsidR="00000000" w:rsidRPr="0042211E" w:rsidP="0042211E">
      <w:pPr>
        <w:pStyle w:val="AllowPageBreak"/>
      </w:pPr>
    </w:p>
    <w:p w:rsidR="00000000" w:rsidRPr="0042211E" w:rsidP="0042211E">
      <w:pPr>
        <w:pStyle w:val="Heading1"/>
      </w:pPr>
      <w:bookmarkStart w:id="5" w:name="O_607384"/>
      <w:bookmarkEnd w:id="5"/>
      <w:r w:rsidRPr="0042211E">
        <w:t>Pre-Requisites</w:t>
      </w:r>
    </w:p>
    <w:tbl>
      <w:tblPr>
        <w:tblW w:w="0" w:type="auto"/>
        <w:tblLayout w:type="fixed"/>
        <w:tblCellMar>
          <w:left w:w="62" w:type="dxa"/>
          <w:right w:w="62" w:type="dxa"/>
        </w:tblCellMar>
        <w:tblLook w:val="0000"/>
      </w:tblPr>
      <w:tblGrid>
        <w:gridCol w:w="2700"/>
        <w:gridCol w:w="1800"/>
        <w:gridCol w:w="3960"/>
      </w:tblGrid>
      <w:tr w:rsidTr="00DD59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rPr>
                <w:rStyle w:val="SpecialBold"/>
              </w:rPr>
              <w:t xml:space="preserve">4) </w:t>
            </w:r>
          </w:p>
        </w:tc>
      </w:tr>
      <w:tr w:rsidTr="00DD59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rPr>
                <w:rStyle w:val="SpecialBold"/>
              </w:rPr>
              <w:t>4.1)</w:t>
            </w:r>
          </w:p>
        </w:tc>
      </w:tr>
      <w:tr w:rsidTr="00DD5968">
        <w:tblPrEx>
          <w:tblW w:w="0" w:type="auto"/>
          <w:tblLayout w:type="fixed"/>
          <w:tblCellMar>
            <w:left w:w="62" w:type="dxa"/>
            <w:right w:w="62" w:type="dxa"/>
          </w:tblCellMar>
          <w:tblLook w:val="0000"/>
        </w:tblPrEx>
        <w:trPr>
          <w:trHeight w:val="72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Granting of competency in this unit shall be made only after competency in the following unit(s) has/have been confirmed:</w:t>
            </w:r>
          </w:p>
        </w:tc>
      </w:tr>
      <w:tr w:rsidTr="00DD5968">
        <w:tblPrEx>
          <w:tblW w:w="0" w:type="auto"/>
          <w:tblLayout w:type="fixed"/>
          <w:tblCellMar>
            <w:left w:w="62" w:type="dxa"/>
            <w:right w:w="62" w:type="dxa"/>
          </w:tblCellMar>
          <w:tblLook w:val="0000"/>
        </w:tblPrEx>
        <w:trPr>
          <w:trHeight w:val="97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UEGNSG141A</w:t>
            </w:r>
          </w:p>
        </w:tc>
        <w:tc>
          <w:tcPr>
            <w:tcW w:w="39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Apply Workplace Health and Safety regulations, codes and practices in the gas industry</w:t>
            </w:r>
          </w:p>
        </w:tc>
      </w:tr>
      <w:tr w:rsidTr="00DD59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UEGNSG005A</w:t>
            </w:r>
          </w:p>
        </w:tc>
        <w:tc>
          <w:tcPr>
            <w:tcW w:w="39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Prepare to work in the gas industry</w:t>
            </w:r>
          </w:p>
        </w:tc>
      </w:tr>
      <w:tr w:rsidTr="00DD59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UEGNSG132A</w:t>
            </w:r>
          </w:p>
        </w:tc>
        <w:tc>
          <w:tcPr>
            <w:tcW w:w="39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Carry out basic work activities in a gas industry work environment</w:t>
            </w:r>
          </w:p>
        </w:tc>
      </w:tr>
      <w:tr w:rsidTr="00DD5968">
        <w:tblPrEx>
          <w:tblW w:w="0" w:type="auto"/>
          <w:tblLayout w:type="fixed"/>
          <w:tblCellMar>
            <w:left w:w="62" w:type="dxa"/>
            <w:right w:w="62" w:type="dxa"/>
          </w:tblCellMar>
          <w:tblLook w:val="0000"/>
        </w:tblPrEx>
        <w:trPr>
          <w:trHeight w:val="72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UEGNSG140A</w:t>
            </w:r>
          </w:p>
        </w:tc>
        <w:tc>
          <w:tcPr>
            <w:tcW w:w="39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Apply with environmental policies and procedures in the utilities industry</w:t>
            </w:r>
          </w:p>
        </w:tc>
      </w:tr>
      <w:tr w:rsidTr="00DD5968">
        <w:tblPrEx>
          <w:tblW w:w="0" w:type="auto"/>
          <w:tblLayout w:type="fixed"/>
          <w:tblCellMar>
            <w:left w:w="62" w:type="dxa"/>
            <w:right w:w="62" w:type="dxa"/>
          </w:tblCellMar>
          <w:tblLook w:val="0000"/>
        </w:tblPrEx>
        <w:trPr>
          <w:trHeight w:val="48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UEGNSG134A</w:t>
            </w:r>
          </w:p>
        </w:tc>
        <w:tc>
          <w:tcPr>
            <w:tcW w:w="396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t>Establish a utilities infrastructure wo</w:t>
            </w:r>
            <w:r w:rsidRPr="0042211E">
              <w:t>rk site</w:t>
            </w:r>
          </w:p>
        </w:tc>
      </w:tr>
    </w:tbl>
    <w:p w:rsidR="00000000" w:rsidRPr="0042211E" w:rsidP="0042211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DD59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rPr>
                <w:rStyle w:val="SpecialBold"/>
              </w:rPr>
              <w:t xml:space="preserve">4.2) </w:t>
            </w:r>
          </w:p>
          <w:p w:rsidR="00000000" w:rsidP="0042211E">
            <w:pPr>
              <w:pStyle w:val="BodyText"/>
              <w:rPr>
                <w:lang w:val="en-NZ"/>
              </w:rPr>
            </w:pPr>
            <w:r w:rsidRPr="0042211E">
              <w:t>Participants are best equipped to achieve this unit if they have reading, writing and numeracy skills indicated by the following scales. Description of each scale is given in Volume 2, Part 3 ‘</w:t>
            </w:r>
            <w:r w:rsidRPr="0042211E">
              <w:t>Literacy and Numeracy’</w:t>
            </w:r>
          </w:p>
        </w:tc>
      </w:tr>
      <w:tr w:rsidTr="00DD59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Reading</w:t>
            </w:r>
          </w:p>
        </w:tc>
        <w:tc>
          <w:tcPr>
            <w:tcW w:w="81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3</w:t>
            </w:r>
          </w:p>
        </w:tc>
        <w:tc>
          <w:tcPr>
            <w:tcW w:w="99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Writing</w:t>
            </w: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3</w:t>
            </w:r>
          </w:p>
        </w:tc>
        <w:tc>
          <w:tcPr>
            <w:tcW w:w="12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Numeracy</w:t>
            </w:r>
          </w:p>
        </w:tc>
        <w:tc>
          <w:tcPr>
            <w:tcW w:w="72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t>3</w:t>
            </w:r>
          </w:p>
        </w:tc>
      </w:tr>
    </w:tbl>
    <w:p w:rsidR="00000000" w:rsidRPr="0042211E" w:rsidP="0042211E">
      <w:pPr>
        <w:pStyle w:val="BodyText"/>
      </w:pPr>
    </w:p>
    <w:p w:rsidR="00000000" w:rsidRPr="0042211E" w:rsidP="0042211E">
      <w:pPr>
        <w:pStyle w:val="AllowPageBreak"/>
      </w:pPr>
    </w:p>
    <w:p w:rsidR="00000000" w:rsidRPr="0042211E" w:rsidP="0042211E">
      <w:pPr>
        <w:pStyle w:val="Heading1"/>
      </w:pPr>
      <w:bookmarkStart w:id="6" w:name="O_607385"/>
      <w:bookmarkEnd w:id="6"/>
      <w:r w:rsidRPr="0042211E">
        <w:t>Employability Skills Information</w:t>
      </w:r>
    </w:p>
    <w:tbl>
      <w:tblPr>
        <w:tblW w:w="0" w:type="auto"/>
        <w:tblLayout w:type="fixed"/>
        <w:tblCellMar>
          <w:left w:w="62" w:type="dxa"/>
          <w:right w:w="62" w:type="dxa"/>
        </w:tblCellMar>
        <w:tblLook w:val="0000"/>
      </w:tblPr>
      <w:tblGrid>
        <w:gridCol w:w="2700"/>
        <w:gridCol w:w="5760"/>
      </w:tblGrid>
      <w:tr w:rsidTr="00DD59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rPr>
                <w:rStyle w:val="SpecialBold"/>
              </w:rPr>
              <w:t xml:space="preserve">5) </w:t>
            </w:r>
          </w:p>
        </w:tc>
      </w:tr>
      <w:tr w:rsidTr="00DD59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t>This competency standard shall apply to any basic and safe work site where Gas Industry operations occur. It could also apply, where applicable to other workplaces in the electricity supply industry (transmission and distribution), the electrotechnology in</w:t>
            </w:r>
            <w:r w:rsidRPr="0042211E">
              <w:t>dustry and the water industry, subject to all Occupational Health and Safety and duty of care requirements being met for the workplace.</w:t>
            </w:r>
          </w:p>
        </w:tc>
      </w:tr>
    </w:tbl>
    <w:p w:rsidR="00000000" w:rsidRPr="0042211E" w:rsidP="0042211E">
      <w:pPr>
        <w:pStyle w:val="BodyText"/>
      </w:pPr>
    </w:p>
    <w:p w:rsidR="00000000" w:rsidRPr="0042211E" w:rsidP="0042211E">
      <w:pPr>
        <w:pStyle w:val="AllowPageBreak"/>
      </w:pPr>
    </w:p>
    <w:p w:rsidR="00000000" w:rsidRPr="0042211E" w:rsidP="0042211E">
      <w:pPr>
        <w:pStyle w:val="Heading1"/>
      </w:pPr>
      <w:bookmarkStart w:id="7" w:name="O_607386"/>
      <w:bookmarkEnd w:id="7"/>
      <w:r w:rsidRPr="0042211E">
        <w:t>Elements and Performance Criteria Pre-Content</w:t>
      </w:r>
    </w:p>
    <w:tbl>
      <w:tblPr>
        <w:tblW w:w="0" w:type="auto"/>
        <w:tblLayout w:type="fixed"/>
        <w:tblCellMar>
          <w:left w:w="62" w:type="dxa"/>
          <w:right w:w="62" w:type="dxa"/>
        </w:tblCellMar>
        <w:tblLook w:val="0000"/>
      </w:tblPr>
      <w:tblGrid>
        <w:gridCol w:w="2700"/>
        <w:gridCol w:w="5760"/>
      </w:tblGrid>
      <w:tr w:rsidTr="00DD59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rPr>
                <w:rStyle w:val="SpecialBold"/>
              </w:rPr>
              <w:t>6)</w:t>
            </w:r>
            <w:r w:rsidRPr="0042211E">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rPr>
                <w:rStyle w:val="Emphasis"/>
              </w:rPr>
              <w:t>Performance Criteria describe the required performance needed to demonstrate achievement of the element. Assessment of performance is to be consistent with the Evidence Guide.</w:t>
            </w:r>
          </w:p>
        </w:tc>
      </w:tr>
    </w:tbl>
    <w:p w:rsidR="00000000" w:rsidRPr="0042211E" w:rsidP="0042211E">
      <w:pPr>
        <w:pStyle w:val="BodyText"/>
      </w:pPr>
    </w:p>
    <w:p w:rsidR="00000000" w:rsidRPr="0042211E" w:rsidP="0042211E">
      <w:pPr>
        <w:pStyle w:val="AllowPageBreak"/>
      </w:pPr>
    </w:p>
    <w:p w:rsidR="00000000" w:rsidRPr="0042211E" w:rsidP="0042211E">
      <w:pPr>
        <w:pStyle w:val="Heading1"/>
      </w:pPr>
      <w:bookmarkStart w:id="8" w:name="O_607387"/>
      <w:bookmarkEnd w:id="8"/>
      <w:r w:rsidRPr="0042211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D596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rPr>
                <w:rStyle w:val="SpecialBold"/>
              </w:rPr>
              <w:t>PERFORMANCE CRITERIA</w:t>
            </w:r>
          </w:p>
        </w:tc>
      </w:tr>
      <w:tr w:rsidTr="00DD59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rPr>
                <w:rStyle w:val="SpecialBold"/>
              </w:rPr>
              <w:t>Prepare to construct and lay a service to a plastic main</w:t>
            </w: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1.1</w:t>
            </w:r>
          </w:p>
        </w:tc>
        <w:tc>
          <w:tcPr>
            <w:tcW w:w="48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WHS/OHS and environmental measures for the site are identified, obtained and understood.</w:t>
            </w:r>
          </w:p>
        </w:tc>
      </w:tr>
      <w:tr w:rsidTr="00DD59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1.2</w:t>
            </w:r>
          </w:p>
        </w:tc>
        <w:tc>
          <w:tcPr>
            <w:tcW w:w="48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Relevant requirements and established procedures for the site are discussed with relevant persons to establish and confirm the work schedule.</w:t>
            </w:r>
          </w:p>
        </w:tc>
      </w:tr>
      <w:tr w:rsidTr="00DD59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1.3</w:t>
            </w:r>
          </w:p>
        </w:tc>
        <w:tc>
          <w:tcPr>
            <w:tcW w:w="48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 xml:space="preserve">WHS/OHS, environmental and sustainable energy policies and procedures are received and confirmed.   </w:t>
            </w:r>
          </w:p>
        </w:tc>
      </w:tr>
      <w:tr w:rsidTr="00DD59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1.4</w:t>
            </w:r>
          </w:p>
        </w:tc>
        <w:tc>
          <w:tcPr>
            <w:tcW w:w="48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Hazards are identified, WHS/OHS risks assessed and control measures are prioritised, implemented and monitored according to established procedures</w:t>
            </w:r>
          </w:p>
        </w:tc>
      </w:tr>
      <w:tr w:rsidTr="00DD59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1.5</w:t>
            </w:r>
          </w:p>
        </w:tc>
        <w:tc>
          <w:tcPr>
            <w:tcW w:w="48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Scope of responsibility under the relevant work permit and/or relevant notification is received and c</w:t>
            </w:r>
            <w:r w:rsidRPr="0042211E">
              <w:t>onfirmed with relevant persons according to requirements and established procedures</w:t>
            </w:r>
          </w:p>
        </w:tc>
      </w:tr>
      <w:tr w:rsidTr="00DD59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1.6</w:t>
            </w:r>
          </w:p>
        </w:tc>
        <w:tc>
          <w:tcPr>
            <w:tcW w:w="48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 xml:space="preserve">Equipment, plant, tools and personal protective equipment needed to construct and lay gas services are identified, obtained and checked for operation and safety. </w:t>
            </w:r>
          </w:p>
        </w:tc>
      </w:tr>
      <w:tr w:rsidTr="00DD59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1.7</w:t>
            </w:r>
          </w:p>
        </w:tc>
        <w:tc>
          <w:tcPr>
            <w:tcW w:w="48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Appropriate persons are consulted to ensure the work is coordinated effectively with others involved</w:t>
            </w:r>
          </w:p>
        </w:tc>
      </w:tr>
      <w:tr w:rsidTr="00DD59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1.8</w:t>
            </w:r>
          </w:p>
        </w:tc>
        <w:tc>
          <w:tcPr>
            <w:tcW w:w="48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 xml:space="preserve">Materials, plans, </w:t>
            </w:r>
            <w:r w:rsidRPr="0042211E">
              <w:t>diagrams, drawings and resources required  to construct and lay gas services are confirmed, scheduled and obtained in accordance with established procedures</w:t>
            </w:r>
          </w:p>
        </w:tc>
      </w:tr>
      <w:tr w:rsidTr="00DD59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1.9</w:t>
            </w:r>
          </w:p>
        </w:tc>
        <w:tc>
          <w:tcPr>
            <w:tcW w:w="48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Relevant responsibilities associated with safety and emergency procedures for an incident at</w:t>
            </w:r>
            <w:r w:rsidRPr="0042211E">
              <w:t xml:space="preserve"> the worksite are checked and confirmed.</w:t>
            </w:r>
          </w:p>
        </w:tc>
      </w:tr>
      <w:tr w:rsidTr="00DD59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1.10</w:t>
            </w:r>
          </w:p>
        </w:tc>
        <w:tc>
          <w:tcPr>
            <w:tcW w:w="48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 xml:space="preserve">Third party issues are referred to appropriate persons in accordance with established procedures. </w:t>
            </w:r>
          </w:p>
        </w:tc>
      </w:tr>
      <w:tr w:rsidTr="00DD59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1.11</w:t>
            </w:r>
          </w:p>
        </w:tc>
        <w:tc>
          <w:tcPr>
            <w:tcW w:w="48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Site preparation, safety plan and the work schedule are confirmed in accordance with established pro</w:t>
            </w:r>
            <w:r w:rsidRPr="0042211E">
              <w:t>cedures.</w:t>
            </w:r>
          </w:p>
        </w:tc>
      </w:tr>
      <w:tr w:rsidTr="00DD59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rPr>
                <w:rStyle w:val="SpecialBold"/>
              </w:rPr>
              <w:t>Carry out construction and laying of a service to a plastic main</w:t>
            </w: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2.1</w:t>
            </w:r>
          </w:p>
        </w:tc>
        <w:tc>
          <w:tcPr>
            <w:tcW w:w="48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WHS/OHS risk control measures, schedule of work and standard operating procedures for carrying out the work are followed.</w:t>
            </w:r>
          </w:p>
        </w:tc>
      </w:tr>
      <w:tr w:rsidTr="00DD59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2.2</w:t>
            </w:r>
          </w:p>
        </w:tc>
        <w:tc>
          <w:tcPr>
            <w:tcW w:w="48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Appropriate materials, tools, equipment and measuring devices are selected and used correctly and safely.</w:t>
            </w:r>
          </w:p>
        </w:tc>
      </w:tr>
      <w:tr w:rsidTr="00DD59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2.3</w:t>
            </w:r>
          </w:p>
        </w:tc>
        <w:tc>
          <w:tcPr>
            <w:tcW w:w="48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Hazardous activities such as lifting, climbing, working in confined spaces, excavations, trenches and use of power tools, techniques and practi</w:t>
            </w:r>
            <w:r w:rsidRPr="0042211E">
              <w:t>ces are conducted safely in accordance with given instructions and to requirements.</w:t>
            </w:r>
          </w:p>
        </w:tc>
      </w:tr>
      <w:tr w:rsidTr="00DD5968">
        <w:tblPrEx>
          <w:tblW w:w="0" w:type="auto"/>
          <w:tblLayout w:type="fixed"/>
          <w:tblCellMar>
            <w:left w:w="62" w:type="dxa"/>
            <w:right w:w="62" w:type="dxa"/>
          </w:tblCellMar>
          <w:tblLook w:val="0000"/>
        </w:tblPrEx>
        <w:trPr>
          <w:trHeight w:val="33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2.4</w:t>
            </w:r>
          </w:p>
        </w:tc>
        <w:tc>
          <w:tcPr>
            <w:tcW w:w="48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Excavation is prepared for laying of pipe according to appropriate standards and procedures</w:t>
            </w:r>
          </w:p>
        </w:tc>
      </w:tr>
      <w:tr w:rsidTr="00DD5968">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2.5</w:t>
            </w:r>
          </w:p>
        </w:tc>
        <w:tc>
          <w:tcPr>
            <w:tcW w:w="48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Construction and laying of gas services are conducted according to appropriate standards and procedures</w:t>
            </w:r>
          </w:p>
        </w:tc>
      </w:tr>
      <w:tr w:rsidTr="00DD5968">
        <w:tblPrEx>
          <w:tblW w:w="0" w:type="auto"/>
          <w:tblLayout w:type="fixed"/>
          <w:tblCellMar>
            <w:left w:w="62" w:type="dxa"/>
            <w:right w:w="62" w:type="dxa"/>
          </w:tblCellMar>
          <w:tblLook w:val="0000"/>
        </w:tblPrEx>
        <w:trPr>
          <w:trHeight w:val="497"/>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2.6</w:t>
            </w:r>
          </w:p>
        </w:tc>
        <w:tc>
          <w:tcPr>
            <w:tcW w:w="48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Work is carried out efficiently, to the required standard without waste of materials or damage to apparatus, equipment, the surrounding environme</w:t>
            </w:r>
            <w:r w:rsidRPr="0042211E">
              <w:t>nt or services and using sustainable energy principles.</w:t>
            </w:r>
          </w:p>
        </w:tc>
      </w:tr>
      <w:tr w:rsidTr="00DD59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2.7</w:t>
            </w:r>
          </w:p>
        </w:tc>
        <w:tc>
          <w:tcPr>
            <w:tcW w:w="48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WHS/OHS risks and incidents are reported to the immediate authorised persons for directions according to established procedures</w:t>
            </w:r>
          </w:p>
        </w:tc>
      </w:tr>
      <w:tr w:rsidTr="00DD5968">
        <w:tblPrEx>
          <w:tblW w:w="0" w:type="auto"/>
          <w:tblLayout w:type="fixed"/>
          <w:tblCellMar>
            <w:left w:w="62" w:type="dxa"/>
            <w:right w:w="62" w:type="dxa"/>
          </w:tblCellMar>
          <w:tblLook w:val="0000"/>
        </w:tblPrEx>
        <w:trPr>
          <w:trHeight w:val="96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2.8</w:t>
            </w:r>
          </w:p>
        </w:tc>
        <w:tc>
          <w:tcPr>
            <w:tcW w:w="48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Procedures for referring non-routine events to the immediate authorised persons for directions are followed.</w:t>
            </w:r>
          </w:p>
        </w:tc>
      </w:tr>
      <w:tr w:rsidTr="00DD59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2.9</w:t>
            </w:r>
          </w:p>
        </w:tc>
        <w:tc>
          <w:tcPr>
            <w:tcW w:w="48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Routine quality checks are carried out in accordance with work instructions including testing of pipework.</w:t>
            </w:r>
          </w:p>
        </w:tc>
      </w:tr>
      <w:tr w:rsidTr="00DD59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rPr>
                <w:rStyle w:val="SpecialBold"/>
              </w:rPr>
              <w:t>Complete the work and relevant documentation</w:t>
            </w: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3.1</w:t>
            </w:r>
          </w:p>
        </w:tc>
        <w:tc>
          <w:tcPr>
            <w:tcW w:w="48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WHS/OHS risk control work completion measures and procedures are followed.</w:t>
            </w:r>
          </w:p>
        </w:tc>
      </w:tr>
      <w:tr w:rsidTr="00DD5968">
        <w:tblPrEx>
          <w:tblW w:w="0" w:type="auto"/>
          <w:tblLayout w:type="fixed"/>
          <w:tblCellMar>
            <w:left w:w="62" w:type="dxa"/>
            <w:right w:w="62" w:type="dxa"/>
          </w:tblCellMar>
          <w:tblLook w:val="0000"/>
        </w:tblPrEx>
        <w:trPr>
          <w:trHeight w:val="72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3.2</w:t>
            </w:r>
          </w:p>
        </w:tc>
        <w:tc>
          <w:tcPr>
            <w:tcW w:w="48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Appropriate persons are notified of completion of the work according to established procedures.</w:t>
            </w:r>
          </w:p>
        </w:tc>
      </w:tr>
      <w:tr w:rsidTr="00DD59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3.3</w:t>
            </w:r>
          </w:p>
        </w:tc>
        <w:tc>
          <w:tcPr>
            <w:tcW w:w="48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Tools</w:t>
            </w:r>
            <w:r w:rsidRPr="0042211E">
              <w:t>, equipment and any surplus resources and materials are cleaned, checked and securely stored</w:t>
            </w:r>
          </w:p>
        </w:tc>
      </w:tr>
      <w:tr w:rsidTr="00DD59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3.4</w:t>
            </w:r>
          </w:p>
        </w:tc>
        <w:tc>
          <w:tcPr>
            <w:tcW w:w="48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Work site  is tidied and made safe in accordance with established procedures</w:t>
            </w:r>
          </w:p>
        </w:tc>
      </w:tr>
      <w:tr w:rsidTr="00DD596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3.5</w:t>
            </w:r>
          </w:p>
        </w:tc>
        <w:tc>
          <w:tcPr>
            <w:tcW w:w="486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t xml:space="preserve">Work completion  documentation is completed and provided to appropriate </w:t>
            </w:r>
            <w:r w:rsidRPr="0042211E">
              <w:t>persons in accordance with established procedures</w:t>
            </w:r>
          </w:p>
        </w:tc>
      </w:tr>
    </w:tbl>
    <w:p w:rsidR="00000000" w:rsidRPr="0042211E" w:rsidP="0042211E">
      <w:pPr>
        <w:pStyle w:val="BodyText"/>
      </w:pPr>
    </w:p>
    <w:p w:rsidR="00000000" w:rsidRPr="0042211E" w:rsidP="0042211E">
      <w:pPr>
        <w:pStyle w:val="AllowPageBreak"/>
      </w:pPr>
    </w:p>
    <w:p w:rsidR="00000000" w:rsidRPr="0042211E" w:rsidP="0042211E">
      <w:pPr>
        <w:pStyle w:val="Heading1"/>
      </w:pPr>
      <w:bookmarkStart w:id="9" w:name="O_607388"/>
      <w:bookmarkEnd w:id="9"/>
      <w:r w:rsidRPr="0042211E">
        <w:t>Required Skills and Knowledge</w:t>
      </w:r>
    </w:p>
    <w:tbl>
      <w:tblPr>
        <w:tblW w:w="0" w:type="auto"/>
        <w:tblLayout w:type="fixed"/>
        <w:tblCellMar>
          <w:left w:w="62" w:type="dxa"/>
          <w:right w:w="62" w:type="dxa"/>
        </w:tblCellMar>
        <w:tblLook w:val="0000"/>
      </w:tblPr>
      <w:tblGrid>
        <w:gridCol w:w="8460"/>
      </w:tblGrid>
      <w:tr w:rsidTr="00DD59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rPr>
                <w:rStyle w:val="SpecialBold"/>
              </w:rPr>
              <w:t>REQUIRED SKILLS AND KNOWLEDGE</w:t>
            </w:r>
          </w:p>
        </w:tc>
      </w:tr>
      <w:tr w:rsidTr="00DD59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rPr>
                <w:rStyle w:val="SpecialBold"/>
              </w:rPr>
              <w:t>8)</w:t>
            </w:r>
            <w:r w:rsidRPr="0042211E">
              <w:rPr>
                <w:rStyle w:val="Emphasis"/>
              </w:rPr>
              <w:t xml:space="preserve"> This describes the skills and knowledge and their level, required for this unit.</w:t>
            </w:r>
          </w:p>
        </w:tc>
      </w:tr>
      <w:tr w:rsidTr="00DD59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t>Evidence shall show that knowledge has been acquired of safe working practices for carrying out work activities in a utilities industry work environment. The extent of the required skills and knowledge is provided below. It forms an integral part of this u</w:t>
            </w:r>
            <w:r w:rsidRPr="0042211E">
              <w:t>nit.</w:t>
            </w:r>
          </w:p>
        </w:tc>
      </w:tr>
    </w:tbl>
    <w:p w:rsidR="00000000" w:rsidRPr="0042211E" w:rsidP="0042211E">
      <w:pPr>
        <w:pStyle w:val="BodyText"/>
      </w:pPr>
    </w:p>
    <w:tbl>
      <w:tblPr>
        <w:tblW w:w="0" w:type="auto"/>
        <w:tblLayout w:type="fixed"/>
        <w:tblCellMar>
          <w:left w:w="62" w:type="dxa"/>
          <w:right w:w="62" w:type="dxa"/>
        </w:tblCellMar>
        <w:tblLook w:val="0000"/>
      </w:tblPr>
      <w:tblGrid>
        <w:gridCol w:w="8460"/>
        <w:gridCol w:w="500"/>
      </w:tblGrid>
      <w:tr w:rsidTr="00DD5968">
        <w:tblPrEx>
          <w:tblW w:w="0" w:type="auto"/>
          <w:tblLayout w:type="fixed"/>
          <w:tblCellMar>
            <w:left w:w="62" w:type="dxa"/>
            <w:right w:w="62" w:type="dxa"/>
          </w:tblCellMar>
          <w:tblLook w:val="0000"/>
        </w:tblPrEx>
        <w:trPr>
          <w:gridAfter w:val="1"/>
          <w:wAfter w:w="500" w:type="dxa"/>
          <w:trHeight w:val="346"/>
        </w:trPr>
        <w:tc>
          <w:tcPr>
            <w:tcW w:w="84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rPr>
                <w:rStyle w:val="SpecialBold"/>
              </w:rPr>
              <w:t>KS01-G212B      Gas distribution service to a plastic main</w:t>
            </w:r>
          </w:p>
        </w:tc>
      </w:tr>
      <w:tr w:rsidTr="00DD5968">
        <w:tblPrEx>
          <w:tblW w:w="0" w:type="auto"/>
          <w:tblLayout w:type="fixed"/>
          <w:tblCellMar>
            <w:left w:w="62" w:type="dxa"/>
            <w:right w:w="62" w:type="dxa"/>
          </w:tblCellMar>
          <w:tblLook w:val="0000"/>
        </w:tblPrEx>
        <w:trPr>
          <w:gridAfter w:val="1"/>
          <w:wAfter w:w="500" w:type="dxa"/>
          <w:trHeight w:val="336"/>
        </w:trPr>
        <w:tc>
          <w:tcPr>
            <w:tcW w:w="8460" w:type="dxa"/>
            <w:vMerge w:val="restart"/>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t xml:space="preserve">Evidence shall show an understanding of constructing, laying and connecting a gas distribution service to a plastic main in accordance with </w:t>
            </w:r>
            <w:r w:rsidRPr="0042211E">
              <w:t>relevant legislation, standards, codes and established procedures to an extent indicated by the following aspects:</w:t>
            </w:r>
          </w:p>
          <w:p w:rsidR="00000000" w:rsidRPr="0042211E" w:rsidP="0042211E">
            <w:pPr>
              <w:pStyle w:val="BodyText"/>
            </w:pPr>
          </w:p>
          <w:p w:rsidR="00000000" w:rsidRPr="0042211E" w:rsidP="0042211E">
            <w:pPr>
              <w:pStyle w:val="BodyText"/>
            </w:pPr>
            <w:r w:rsidRPr="0042211E">
              <w:t>T1.    Gas service pipelines</w:t>
            </w:r>
          </w:p>
          <w:p w:rsidR="00000000" w:rsidRPr="0042211E" w:rsidP="0042211E">
            <w:pPr>
              <w:pStyle w:val="ListBullet2"/>
            </w:pPr>
            <w:r w:rsidRPr="0042211E">
              <w:t>types and characteristics</w:t>
            </w:r>
          </w:p>
          <w:p w:rsidR="00000000" w:rsidRPr="0042211E" w:rsidP="0042211E">
            <w:pPr>
              <w:pStyle w:val="ListBullet2"/>
            </w:pPr>
            <w:r w:rsidRPr="0042211E">
              <w:t xml:space="preserve">pipe sizes </w:t>
            </w:r>
          </w:p>
          <w:p w:rsidR="00000000" w:rsidRPr="0042211E" w:rsidP="0042211E">
            <w:pPr>
              <w:pStyle w:val="ListBullet2"/>
            </w:pPr>
            <w:r w:rsidRPr="0042211E">
              <w:t xml:space="preserve">fittings </w:t>
            </w:r>
          </w:p>
          <w:p w:rsidR="00000000" w:rsidRPr="0042211E" w:rsidP="0042211E">
            <w:pPr>
              <w:pStyle w:val="ListBullet2"/>
            </w:pPr>
            <w:r w:rsidRPr="0042211E">
              <w:t>accessories</w:t>
            </w:r>
          </w:p>
          <w:p w:rsidR="00000000" w:rsidRPr="0042211E" w:rsidP="0042211E">
            <w:pPr>
              <w:pStyle w:val="ListBullet2"/>
            </w:pPr>
            <w:r w:rsidRPr="0042211E">
              <w:t>material specifications</w:t>
            </w:r>
          </w:p>
          <w:p w:rsidR="00000000" w:rsidRPr="0042211E" w:rsidP="0042211E">
            <w:pPr>
              <w:pStyle w:val="ListBullet2"/>
            </w:pPr>
            <w:r w:rsidRPr="0042211E">
              <w:t>applications</w:t>
            </w:r>
          </w:p>
          <w:p w:rsidR="00000000" w:rsidRPr="0042211E" w:rsidP="0042211E">
            <w:pPr>
              <w:pStyle w:val="ListBullet2"/>
            </w:pPr>
            <w:r w:rsidRPr="0042211E">
              <w:t xml:space="preserve">handling and </w:t>
            </w:r>
            <w:r w:rsidRPr="0042211E">
              <w:t>storage</w:t>
            </w:r>
          </w:p>
          <w:p w:rsidR="00000000" w:rsidRPr="0042211E" w:rsidP="0042211E">
            <w:pPr>
              <w:pStyle w:val="ListBullet2"/>
            </w:pPr>
            <w:r w:rsidRPr="0042211E">
              <w:t>advantages and disadvantages</w:t>
            </w:r>
          </w:p>
          <w:p w:rsidR="00000000" w:rsidRPr="0042211E" w:rsidP="0042211E">
            <w:pPr>
              <w:pStyle w:val="ListBullet2"/>
            </w:pPr>
            <w:r w:rsidRPr="0042211E">
              <w:t>MSDS/SDS</w:t>
            </w:r>
          </w:p>
          <w:p w:rsidR="00000000" w:rsidRPr="0042211E" w:rsidP="0042211E">
            <w:pPr>
              <w:pStyle w:val="BodyText"/>
            </w:pPr>
            <w:r w:rsidRPr="0042211E">
              <w:t>T2.    Plastic gas main pipelines</w:t>
            </w:r>
          </w:p>
          <w:p w:rsidR="00000000" w:rsidRPr="0042211E" w:rsidP="0042211E">
            <w:pPr>
              <w:pStyle w:val="ListBullet2"/>
            </w:pPr>
            <w:r w:rsidRPr="0042211E">
              <w:t>Types and characteristics</w:t>
            </w:r>
          </w:p>
          <w:p w:rsidR="00000000" w:rsidRPr="0042211E" w:rsidP="0042211E">
            <w:pPr>
              <w:pStyle w:val="ListBullet2"/>
            </w:pPr>
            <w:r w:rsidRPr="0042211E">
              <w:t xml:space="preserve">pipe sizes </w:t>
            </w:r>
          </w:p>
          <w:p w:rsidR="00000000" w:rsidRPr="0042211E" w:rsidP="0042211E">
            <w:pPr>
              <w:pStyle w:val="ListBullet2"/>
            </w:pPr>
            <w:r w:rsidRPr="0042211E">
              <w:t xml:space="preserve">fittings </w:t>
            </w:r>
          </w:p>
          <w:p w:rsidR="00000000" w:rsidRPr="0042211E" w:rsidP="0042211E">
            <w:pPr>
              <w:pStyle w:val="ListBullet2"/>
            </w:pPr>
            <w:r w:rsidRPr="0042211E">
              <w:t>accessories</w:t>
            </w:r>
          </w:p>
          <w:p w:rsidR="00000000" w:rsidRPr="0042211E" w:rsidP="0042211E">
            <w:pPr>
              <w:pStyle w:val="ListBullet2"/>
            </w:pPr>
            <w:r w:rsidRPr="0042211E">
              <w:t>material specifications</w:t>
            </w:r>
          </w:p>
          <w:p w:rsidR="00000000" w:rsidRPr="0042211E" w:rsidP="0042211E">
            <w:pPr>
              <w:pStyle w:val="ListBullet2"/>
            </w:pPr>
            <w:r w:rsidRPr="0042211E">
              <w:t>applications</w:t>
            </w:r>
          </w:p>
          <w:p w:rsidR="00000000" w:rsidRPr="0042211E" w:rsidP="0042211E">
            <w:pPr>
              <w:pStyle w:val="BodyText"/>
            </w:pPr>
            <w:r w:rsidRPr="0042211E">
              <w:t>T3.    Relevant Australian Standards</w:t>
            </w:r>
          </w:p>
          <w:p w:rsidR="00000000" w:rsidRPr="0042211E" w:rsidP="0042211E">
            <w:pPr>
              <w:pStyle w:val="BodyText"/>
            </w:pPr>
            <w:r w:rsidRPr="0042211E">
              <w:t>T4.    Safety requirements</w:t>
            </w:r>
          </w:p>
          <w:p w:rsidR="00000000" w:rsidRPr="0042211E" w:rsidP="0042211E">
            <w:pPr>
              <w:pStyle w:val="ListBullet2"/>
            </w:pPr>
            <w:r w:rsidRPr="0042211E">
              <w:t>hazards, risk assessment and control measures</w:t>
            </w:r>
          </w:p>
          <w:p w:rsidR="00000000" w:rsidRPr="0042211E" w:rsidP="0042211E">
            <w:pPr>
              <w:pStyle w:val="ListBullet2"/>
            </w:pPr>
            <w:r w:rsidRPr="0042211E">
              <w:t>dangers of working with live gas</w:t>
            </w:r>
          </w:p>
          <w:p w:rsidR="00000000" w:rsidRPr="0042211E" w:rsidP="0042211E">
            <w:pPr>
              <w:pStyle w:val="ListBullet2"/>
            </w:pPr>
            <w:r w:rsidRPr="0042211E">
              <w:t>MSDS/SDS and handling of Solvents and jointing materials</w:t>
            </w:r>
          </w:p>
          <w:p w:rsidR="00000000" w:rsidRPr="0042211E" w:rsidP="0042211E">
            <w:pPr>
              <w:pStyle w:val="BodyText"/>
            </w:pPr>
            <w:r w:rsidRPr="0042211E">
              <w:t>T5.    Cutting, tapping and joining plastic mains pipelines and fittings</w:t>
            </w:r>
          </w:p>
          <w:p w:rsidR="00000000" w:rsidRPr="0042211E" w:rsidP="0042211E">
            <w:pPr>
              <w:pStyle w:val="ListBullet2"/>
            </w:pPr>
            <w:r w:rsidRPr="0042211E">
              <w:t>requirements under various conditions, incleme</w:t>
            </w:r>
            <w:r w:rsidRPr="0042211E">
              <w:t xml:space="preserve">nt weather etc. </w:t>
            </w:r>
          </w:p>
          <w:p w:rsidR="00000000" w:rsidRPr="0042211E" w:rsidP="0042211E">
            <w:pPr>
              <w:pStyle w:val="ListBullet2"/>
            </w:pPr>
            <w:r w:rsidRPr="0042211E">
              <w:t>methods, procedures and safety requirements</w:t>
            </w:r>
          </w:p>
          <w:p w:rsidR="00000000" w:rsidRPr="0042211E" w:rsidP="0042211E">
            <w:pPr>
              <w:pStyle w:val="ListBullet2"/>
            </w:pPr>
            <w:r w:rsidRPr="0042211E">
              <w:t xml:space="preserve">selection and use of equipment, tools and materials </w:t>
            </w:r>
          </w:p>
          <w:p w:rsidR="00000000" w:rsidRPr="0042211E" w:rsidP="0042211E">
            <w:pPr>
              <w:pStyle w:val="BodyText"/>
            </w:pPr>
            <w:r w:rsidRPr="0042211E">
              <w:t>T6.    Transition fittings and adaptors to other piping materials</w:t>
            </w:r>
          </w:p>
          <w:p w:rsidR="00000000" w:rsidRPr="0042211E" w:rsidP="0042211E">
            <w:pPr>
              <w:pStyle w:val="ListBullet2"/>
            </w:pPr>
            <w:r w:rsidRPr="0042211E">
              <w:t>types</w:t>
            </w:r>
          </w:p>
          <w:p w:rsidR="00000000" w:rsidRPr="0042211E" w:rsidP="0042211E">
            <w:pPr>
              <w:pStyle w:val="ListBullet2"/>
            </w:pPr>
            <w:r w:rsidRPr="0042211E">
              <w:t>selection</w:t>
            </w:r>
          </w:p>
          <w:p w:rsidR="00000000" w:rsidRPr="0042211E" w:rsidP="0042211E">
            <w:pPr>
              <w:pStyle w:val="ListBullet2"/>
            </w:pPr>
            <w:r w:rsidRPr="0042211E">
              <w:t>Adapting risers to installation requirements, bending and cutting to fit above ground requirements</w:t>
            </w:r>
          </w:p>
          <w:p w:rsidR="00000000" w:rsidRPr="0042211E" w:rsidP="0042211E">
            <w:pPr>
              <w:pStyle w:val="BodyText"/>
            </w:pPr>
            <w:r w:rsidRPr="0042211E">
              <w:t xml:space="preserve">T7.    Bedding requirements for service pipelines </w:t>
            </w:r>
          </w:p>
          <w:p w:rsidR="00000000" w:rsidRPr="0042211E" w:rsidP="0042211E">
            <w:pPr>
              <w:pStyle w:val="ListBullet2"/>
            </w:pPr>
            <w:r w:rsidRPr="0042211E">
              <w:t xml:space="preserve">trench width and depth </w:t>
            </w:r>
          </w:p>
          <w:p w:rsidR="00000000" w:rsidRPr="0042211E" w:rsidP="0042211E">
            <w:pPr>
              <w:pStyle w:val="ListBullet2"/>
            </w:pPr>
            <w:r w:rsidRPr="0042211E">
              <w:t>required coverage depth in various locations</w:t>
            </w:r>
          </w:p>
          <w:p w:rsidR="00000000" w:rsidRPr="0042211E" w:rsidP="0042211E">
            <w:pPr>
              <w:pStyle w:val="ListBullet2"/>
            </w:pPr>
            <w:r w:rsidRPr="0042211E">
              <w:t>obstacles affecting minimum depth of</w:t>
            </w:r>
            <w:r w:rsidRPr="0042211E">
              <w:t xml:space="preserve"> cover for pipeline</w:t>
            </w:r>
          </w:p>
          <w:p w:rsidR="00000000" w:rsidRPr="0042211E" w:rsidP="0042211E">
            <w:pPr>
              <w:pStyle w:val="ListBullet2"/>
            </w:pPr>
            <w:r w:rsidRPr="0042211E">
              <w:t>solutions for dealing with obstacles affecting the depth of cover including transitioning to other approved materials and applying protection.</w:t>
            </w:r>
          </w:p>
          <w:p w:rsidR="00000000" w:rsidRPr="0042211E" w:rsidP="0042211E">
            <w:pPr>
              <w:pStyle w:val="ListBullet2"/>
            </w:pPr>
            <w:r w:rsidRPr="0042211E">
              <w:t>pipeline support</w:t>
            </w:r>
          </w:p>
          <w:p w:rsidR="00000000" w:rsidRPr="0042211E" w:rsidP="0042211E">
            <w:pPr>
              <w:pStyle w:val="ListBullet2"/>
            </w:pPr>
            <w:r w:rsidRPr="0042211E">
              <w:t>backfilling requirements</w:t>
            </w:r>
          </w:p>
          <w:p w:rsidR="00000000" w:rsidRPr="0042211E" w:rsidP="0042211E">
            <w:pPr>
              <w:pStyle w:val="BodyText"/>
            </w:pPr>
            <w:r w:rsidRPr="0042211E">
              <w:t>T8.    Installation of service pipelines</w:t>
            </w:r>
          </w:p>
          <w:p w:rsidR="00000000" w:rsidRPr="0042211E" w:rsidP="0042211E">
            <w:pPr>
              <w:pStyle w:val="ListBullet2"/>
            </w:pPr>
            <w:r w:rsidRPr="0042211E">
              <w:t>requireme</w:t>
            </w:r>
            <w:r w:rsidRPr="0042211E">
              <w:t>nts</w:t>
            </w:r>
          </w:p>
          <w:p w:rsidR="00000000" w:rsidRPr="0042211E" w:rsidP="0042211E">
            <w:pPr>
              <w:pStyle w:val="ListBullet2"/>
            </w:pPr>
            <w:r w:rsidRPr="0042211E">
              <w:t>procedures</w:t>
            </w:r>
          </w:p>
          <w:p w:rsidR="00000000" w:rsidRPr="0042211E" w:rsidP="0042211E">
            <w:pPr>
              <w:pStyle w:val="ListBullet2"/>
            </w:pPr>
            <w:r w:rsidRPr="0042211E">
              <w:t xml:space="preserve">trace wire </w:t>
            </w:r>
          </w:p>
          <w:p w:rsidR="00000000" w:rsidRPr="0042211E" w:rsidP="0042211E">
            <w:pPr>
              <w:pStyle w:val="ListBullet2"/>
            </w:pPr>
            <w:r w:rsidRPr="0042211E">
              <w:t>marker tape</w:t>
            </w:r>
          </w:p>
          <w:p w:rsidR="00000000" w:rsidRPr="0042211E" w:rsidP="0042211E">
            <w:pPr>
              <w:pStyle w:val="BodyText"/>
            </w:pPr>
            <w:r w:rsidRPr="0042211E">
              <w:t>T9.    Termination and testing of service pipeline</w:t>
            </w:r>
          </w:p>
          <w:p w:rsidR="00000000" w:rsidRPr="0042211E" w:rsidP="0042211E">
            <w:pPr>
              <w:pStyle w:val="ListBullet2"/>
            </w:pPr>
            <w:r w:rsidRPr="0042211E">
              <w:t>requirements</w:t>
            </w:r>
          </w:p>
          <w:p w:rsidR="00000000" w:rsidRPr="0042211E" w:rsidP="0042211E">
            <w:pPr>
              <w:pStyle w:val="ListBullet2"/>
            </w:pPr>
            <w:r w:rsidRPr="0042211E">
              <w:t>procedures</w:t>
            </w:r>
          </w:p>
          <w:p w:rsidR="00000000" w:rsidRPr="0042211E" w:rsidP="0042211E">
            <w:pPr>
              <w:pStyle w:val="BodyText"/>
            </w:pPr>
            <w:r w:rsidRPr="0042211E">
              <w:t>T10.    Static Electricity in plastic gas pipes</w:t>
            </w:r>
          </w:p>
          <w:p w:rsidR="00000000" w:rsidRPr="0042211E" w:rsidP="0042211E">
            <w:pPr>
              <w:pStyle w:val="ListBullet2"/>
            </w:pPr>
            <w:r w:rsidRPr="0042211E">
              <w:t>causes</w:t>
            </w:r>
          </w:p>
          <w:p w:rsidR="00000000" w:rsidRPr="0042211E" w:rsidP="0042211E">
            <w:pPr>
              <w:pStyle w:val="ListBullet2"/>
            </w:pPr>
            <w:r w:rsidRPr="0042211E">
              <w:t>dangers</w:t>
            </w:r>
          </w:p>
          <w:p w:rsidR="00000000" w:rsidP="0042211E">
            <w:pPr>
              <w:pStyle w:val="ListBullet2"/>
              <w:rPr>
                <w:lang w:val="en-NZ"/>
              </w:rPr>
            </w:pPr>
            <w:r w:rsidRPr="0042211E">
              <w:t>prevention</w:t>
            </w:r>
          </w:p>
        </w:tc>
      </w:tr>
      <w:tr w:rsidTr="00DD5968">
        <w:tblPrEx>
          <w:tblW w:w="0" w:type="auto"/>
          <w:tblLayout w:type="fixed"/>
          <w:tblCellMar>
            <w:left w:w="62" w:type="dxa"/>
            <w:right w:w="62" w:type="dxa"/>
          </w:tblCellMar>
          <w:tblLook w:val="0000"/>
        </w:tblPrEx>
        <w:tc>
          <w:tcPr>
            <w:tcW w:w="8460" w:type="dxa"/>
            <w:vMerge/>
            <w:tcBorders>
              <w:top w:val="nil"/>
              <w:left w:val="nil"/>
              <w:bottom w:val="nil"/>
              <w:right w:val="nil"/>
            </w:tcBorders>
            <w:tcMar>
              <w:top w:w="0" w:type="dxa"/>
              <w:left w:w="62" w:type="dxa"/>
              <w:bottom w:w="0" w:type="dxa"/>
              <w:right w:w="62" w:type="dxa"/>
            </w:tcMar>
          </w:tcPr>
          <w:p w:rsidR="00000000" w:rsidP="0042211E">
            <w:pPr>
              <w:pStyle w:val="ListBullet2"/>
              <w:rPr>
                <w:lang w:val="en-NZ"/>
              </w:rPr>
            </w:pPr>
          </w:p>
        </w:tc>
        <w:tc>
          <w:tcPr>
            <w:tcW w:w="5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p>
        </w:tc>
      </w:tr>
      <w:tr w:rsidTr="00DD5968">
        <w:tblPrEx>
          <w:tblW w:w="0" w:type="auto"/>
          <w:tblLayout w:type="fixed"/>
          <w:tblCellMar>
            <w:left w:w="62" w:type="dxa"/>
            <w:right w:w="62" w:type="dxa"/>
          </w:tblCellMar>
          <w:tblLook w:val="0000"/>
        </w:tblPrEx>
        <w:trPr>
          <w:trHeight w:val="361"/>
        </w:trPr>
        <w:tc>
          <w:tcPr>
            <w:tcW w:w="8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p>
        </w:tc>
      </w:tr>
      <w:tr w:rsidTr="00DD5968">
        <w:tblPrEx>
          <w:tblW w:w="0" w:type="auto"/>
          <w:tblLayout w:type="fixed"/>
          <w:tblCellMar>
            <w:left w:w="62" w:type="dxa"/>
            <w:right w:w="62" w:type="dxa"/>
          </w:tblCellMar>
          <w:tblLook w:val="0000"/>
        </w:tblPrEx>
        <w:tc>
          <w:tcPr>
            <w:tcW w:w="8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p>
        </w:tc>
      </w:tr>
      <w:tr w:rsidTr="00DD5968">
        <w:tblPrEx>
          <w:tblW w:w="0" w:type="auto"/>
          <w:tblLayout w:type="fixed"/>
          <w:tblCellMar>
            <w:left w:w="62" w:type="dxa"/>
            <w:right w:w="62" w:type="dxa"/>
          </w:tblCellMar>
          <w:tblLook w:val="0000"/>
        </w:tblPrEx>
        <w:tc>
          <w:tcPr>
            <w:tcW w:w="8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p>
        </w:tc>
      </w:tr>
      <w:tr w:rsidTr="00DD5968">
        <w:tblPrEx>
          <w:tblW w:w="0" w:type="auto"/>
          <w:tblLayout w:type="fixed"/>
          <w:tblCellMar>
            <w:left w:w="62" w:type="dxa"/>
            <w:right w:w="62" w:type="dxa"/>
          </w:tblCellMar>
          <w:tblLook w:val="0000"/>
        </w:tblPrEx>
        <w:tc>
          <w:tcPr>
            <w:tcW w:w="8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p>
        </w:tc>
      </w:tr>
      <w:tr w:rsidTr="00DD5968">
        <w:tblPrEx>
          <w:tblW w:w="0" w:type="auto"/>
          <w:tblLayout w:type="fixed"/>
          <w:tblCellMar>
            <w:left w:w="62" w:type="dxa"/>
            <w:right w:w="62" w:type="dxa"/>
          </w:tblCellMar>
          <w:tblLook w:val="0000"/>
        </w:tblPrEx>
        <w:tc>
          <w:tcPr>
            <w:tcW w:w="8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p>
        </w:tc>
      </w:tr>
      <w:tr w:rsidTr="00DD5968">
        <w:tblPrEx>
          <w:tblW w:w="0" w:type="auto"/>
          <w:tblLayout w:type="fixed"/>
          <w:tblCellMar>
            <w:left w:w="62" w:type="dxa"/>
            <w:right w:w="62" w:type="dxa"/>
          </w:tblCellMar>
          <w:tblLook w:val="0000"/>
        </w:tblPrEx>
        <w:trPr>
          <w:trHeight w:val="498"/>
        </w:trPr>
        <w:tc>
          <w:tcPr>
            <w:tcW w:w="8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p>
        </w:tc>
      </w:tr>
      <w:tr w:rsidTr="00DD5968">
        <w:tblPrEx>
          <w:tblW w:w="0" w:type="auto"/>
          <w:tblLayout w:type="fixed"/>
          <w:tblCellMar>
            <w:left w:w="62" w:type="dxa"/>
            <w:right w:w="62" w:type="dxa"/>
          </w:tblCellMar>
          <w:tblLook w:val="0000"/>
        </w:tblPrEx>
        <w:tc>
          <w:tcPr>
            <w:tcW w:w="84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2211E" w:rsidP="0042211E">
            <w:pPr>
              <w:pStyle w:val="BodyText"/>
            </w:pPr>
          </w:p>
        </w:tc>
      </w:tr>
    </w:tbl>
    <w:p w:rsidR="00DD5968" w:rsidP="0042211E">
      <w:pPr>
        <w:pStyle w:val="BodyText"/>
      </w:pPr>
    </w:p>
    <w:p w:rsidR="00DD5968" w:rsidP="0042211E">
      <w:pPr>
        <w:pStyle w:val="BodyText"/>
      </w:pPr>
    </w:p>
    <w:p w:rsidR="00000000" w:rsidRPr="0042211E" w:rsidP="0042211E">
      <w:pPr>
        <w:pStyle w:val="Heading1"/>
      </w:pPr>
      <w:bookmarkStart w:id="10" w:name="O_607389"/>
      <w:bookmarkEnd w:id="10"/>
      <w:r w:rsidRPr="0042211E">
        <w:t>Evidence Guide</w:t>
      </w:r>
    </w:p>
    <w:tbl>
      <w:tblPr>
        <w:tblW w:w="0" w:type="auto"/>
        <w:tblLayout w:type="fixed"/>
        <w:tblCellMar>
          <w:left w:w="62" w:type="dxa"/>
          <w:right w:w="62" w:type="dxa"/>
        </w:tblCellMar>
        <w:tblLook w:val="0000"/>
      </w:tblPr>
      <w:tblGrid>
        <w:gridCol w:w="8460"/>
      </w:tblGrid>
      <w:tr w:rsidTr="00DD59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rPr>
                <w:rStyle w:val="SpecialBold"/>
              </w:rPr>
              <w:t>EVIDENCE GUIDE</w:t>
            </w:r>
          </w:p>
        </w:tc>
      </w:tr>
      <w:tr w:rsidTr="00DD59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rPr>
                <w:rStyle w:val="SpecialBold"/>
              </w:rPr>
              <w:t>9)</w:t>
            </w:r>
            <w:r w:rsidRPr="0042211E">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42211E" w:rsidP="0042211E">
      <w:pPr>
        <w:pStyle w:val="BodyText"/>
      </w:pPr>
    </w:p>
    <w:tbl>
      <w:tblPr>
        <w:tblW w:w="0" w:type="auto"/>
        <w:tblLayout w:type="fixed"/>
        <w:tblCellMar>
          <w:left w:w="62" w:type="dxa"/>
          <w:right w:w="62" w:type="dxa"/>
        </w:tblCellMar>
        <w:tblLook w:val="0000"/>
      </w:tblPr>
      <w:tblGrid>
        <w:gridCol w:w="1890"/>
        <w:gridCol w:w="6570"/>
      </w:tblGrid>
      <w:tr w:rsidTr="00DD5968">
        <w:tblPrEx>
          <w:tblW w:w="0" w:type="auto"/>
          <w:tblLayout w:type="fixed"/>
          <w:tblCellMar>
            <w:left w:w="62" w:type="dxa"/>
            <w:right w:w="62" w:type="dxa"/>
          </w:tblCellMar>
          <w:tblLook w:val="0000"/>
        </w:tblPrEx>
        <w:trPr>
          <w:trHeight w:val="692"/>
        </w:trPr>
        <w:tc>
          <w:tcPr>
            <w:tcW w:w="189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rPr>
                <w:rStyle w:val="SpecialBold"/>
              </w:rPr>
              <w:t>9.1)</w:t>
            </w:r>
          </w:p>
        </w:tc>
      </w:tr>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Longitudinal competency development approaches to assessment, such as Profiling, require data to be reliably gathered in a form that can be consistently interpreted over time. This approach is best utilised in Apprenticeship programs and reduces ass</w:t>
            </w:r>
            <w:r w:rsidRPr="0042211E">
              <w:t>essment intervention. It is the Industry’s preferred model for apprenticeships. However, where summative (or final) assessment is used it is to include the application of the competency in the normal work environment or, at a minimum, the application of th</w:t>
            </w:r>
            <w:r w:rsidRPr="0042211E">
              <w:t>e competency in a realistically simulated work environment. It is recognised that, in some circumstances, assessment in part or full can occur outside the workplace. However, it must be in accord with industry and regulatory policy in this regard.</w:t>
            </w:r>
          </w:p>
        </w:tc>
      </w:tr>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Methods chosen for a particular assessment will be influenced by various factors. These include the extent of the assessment, the most effective locations for the assessment activities to take place, access to physical resources, additional safety measures</w:t>
            </w:r>
            <w:r w:rsidRPr="0042211E">
              <w:t xml:space="preserve"> that may be required and the critical nature of the competencies being assessed.</w:t>
            </w:r>
          </w:p>
        </w:tc>
      </w:tr>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The critical safety nature of working with electricity, electrical equipment, gas or any other hazardous substance/material carries risk in deeming a person competent. Henc</w:t>
            </w:r>
            <w:r w:rsidRPr="0042211E">
              <w:t>e, sources of evidence need to be ‘rich’ in nature so as to minimise error in judgment.</w:t>
            </w:r>
          </w:p>
        </w:tc>
      </w:tr>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t>Activities associated with normal every day work have a bearing on the decision as to how much and how detailed the data gathered will contribute to its ‘richness’. S</w:t>
            </w:r>
            <w:r w:rsidRPr="0042211E">
              <w:t>ome skills are more critical to safety and operational requirements while the same skills may be more or less frequently practised. These points are raised for the assessors to consider when choosing an assessment method and developing assessment instrumen</w:t>
            </w:r>
            <w:r w:rsidRPr="0042211E">
              <w:t>ts. Sample assessment instruments are included in the Assessment Guidelines of this Training Package.</w:t>
            </w:r>
          </w:p>
        </w:tc>
      </w:tr>
    </w:tbl>
    <w:p w:rsidR="00000000" w:rsidRPr="0042211E" w:rsidP="0042211E">
      <w:pPr>
        <w:pStyle w:val="BodyText"/>
      </w:pPr>
    </w:p>
    <w:tbl>
      <w:tblPr>
        <w:tblW w:w="0" w:type="auto"/>
        <w:tblLayout w:type="fixed"/>
        <w:tblCellMar>
          <w:left w:w="62" w:type="dxa"/>
          <w:right w:w="62" w:type="dxa"/>
        </w:tblCellMar>
        <w:tblLook w:val="0000"/>
      </w:tblPr>
      <w:tblGrid>
        <w:gridCol w:w="1890"/>
        <w:gridCol w:w="810"/>
        <w:gridCol w:w="540"/>
        <w:gridCol w:w="5220"/>
      </w:tblGrid>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rPr>
                <w:rStyle w:val="SpecialBold"/>
              </w:rPr>
              <w:t>9.2)</w:t>
            </w:r>
          </w:p>
        </w:tc>
      </w:tr>
      <w:tr w:rsidTr="00DD5968">
        <w:tblPrEx>
          <w:tblW w:w="0" w:type="auto"/>
          <w:tblLayout w:type="fixed"/>
          <w:tblCellMar>
            <w:left w:w="62" w:type="dxa"/>
            <w:right w:w="62" w:type="dxa"/>
          </w:tblCellMar>
          <w:tblLook w:val="0000"/>
        </w:tblPrEx>
        <w:trPr>
          <w:trHeight w:val="72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Before the critical aspects of evidence are considered all prerequisites shall be met.</w:t>
            </w:r>
          </w:p>
        </w:tc>
      </w:tr>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Evidence for competence in this unit shall be considered holistically. Each element and associated Performance Criteria shall be demonstrated on at least two occasio</w:t>
            </w:r>
            <w:r w:rsidRPr="0042211E">
              <w:t xml:space="preserve">ns in accordance with the ‘Assessment Guidelines — UEG11’. Evidence shall also comprise: </w:t>
            </w:r>
          </w:p>
        </w:tc>
      </w:tr>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42211E">
            <w:pPr>
              <w:pStyle w:val="ListBullet"/>
              <w:rPr>
                <w:lang w:val="en-NZ"/>
              </w:rPr>
            </w:pPr>
            <w:r w:rsidRPr="0042211E">
              <w:t xml:space="preserve">A representative body of Performance Criteria demonstrated within the timeframes typically expected of the discipline, work function and industrial environment. </w:t>
            </w:r>
            <w:r w:rsidRPr="0042211E">
              <w:t>In particular this shall incorporate evidence that shows a candidate is able to:</w:t>
            </w:r>
          </w:p>
        </w:tc>
      </w:tr>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42211E">
            <w:pPr>
              <w:pStyle w:val="ListBullet2"/>
              <w:rPr>
                <w:lang w:val="en-NZ"/>
              </w:rPr>
            </w:pPr>
            <w:r w:rsidRPr="0042211E">
              <w:t>Implement Occupational Health and Safety workplace procedures and practices including the use of risk control measures as specified in the Performance Criteria and range</w:t>
            </w:r>
          </w:p>
        </w:tc>
      </w:tr>
      <w:tr w:rsidTr="00DD5968">
        <w:tblPrEx>
          <w:tblW w:w="0" w:type="auto"/>
          <w:tblLayout w:type="fixed"/>
          <w:tblCellMar>
            <w:left w:w="62" w:type="dxa"/>
            <w:right w:w="62" w:type="dxa"/>
          </w:tblCellMar>
          <w:tblLook w:val="0000"/>
        </w:tblPrEx>
        <w:trPr>
          <w:trHeight w:val="542"/>
        </w:trPr>
        <w:tc>
          <w:tcPr>
            <w:tcW w:w="189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42211E">
            <w:pPr>
              <w:pStyle w:val="ListBullet2"/>
              <w:rPr>
                <w:lang w:val="en-NZ"/>
              </w:rPr>
            </w:pPr>
            <w:r w:rsidRPr="0042211E">
              <w:t>Apply sustainable energy principles and practices as specified in the Performance Criteria and range</w:t>
            </w:r>
          </w:p>
        </w:tc>
      </w:tr>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42211E">
            <w:pPr>
              <w:pStyle w:val="ListBullet2"/>
              <w:rPr>
                <w:lang w:val="en-NZ"/>
              </w:rPr>
            </w:pPr>
            <w:r w:rsidRPr="0042211E">
              <w:t>Demonstrate an understanding of the required knowledge and skills as described in this unit to such an extent that the learner’</w:t>
            </w:r>
            <w:r w:rsidRPr="0042211E">
              <w:t>s performance outcome is reported in accordance with the preferred approach; namely a percentile graded result, where required by the regulated environment</w:t>
            </w:r>
          </w:p>
        </w:tc>
      </w:tr>
      <w:tr w:rsidTr="00DD5968">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42211E">
            <w:pPr>
              <w:pStyle w:val="ListBullet2"/>
              <w:rPr>
                <w:lang w:val="en-NZ"/>
              </w:rPr>
            </w:pPr>
            <w:r w:rsidRPr="0042211E">
              <w:t>Demonstrate an appropriate level of skills enabling employment</w:t>
            </w:r>
          </w:p>
        </w:tc>
      </w:tr>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42211E">
            <w:pPr>
              <w:pStyle w:val="ListBullet2"/>
              <w:rPr>
                <w:lang w:val="en-NZ"/>
              </w:rPr>
            </w:pPr>
            <w:r w:rsidRPr="0042211E">
              <w:t>Conduct work observing the relevant Anti-discrimination legislation, regulations, polices and workplace procedures</w:t>
            </w:r>
          </w:p>
        </w:tc>
      </w:tr>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42211E">
            <w:pPr>
              <w:pStyle w:val="ListBullet"/>
              <w:rPr>
                <w:lang w:val="en-NZ"/>
              </w:rPr>
            </w:pPr>
            <w:r w:rsidRPr="0042211E">
              <w:t>Demonstrate performance across a representative range of contexts from the prescribed items below:</w:t>
            </w:r>
          </w:p>
        </w:tc>
      </w:tr>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P="0042211E">
            <w:pPr>
              <w:pStyle w:val="ListBullet2"/>
              <w:rPr>
                <w:lang w:val="en-NZ"/>
              </w:rPr>
            </w:pPr>
            <w:r w:rsidRPr="0042211E">
              <w:t xml:space="preserve">Construct and lay single point gas services and connection to a plastic main in accordance with relevant legislation, code, regulations and procedures as described in 9.) Range Statement and including:  </w:t>
            </w:r>
          </w:p>
        </w:tc>
      </w:tr>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A</w:t>
            </w:r>
          </w:p>
        </w:tc>
        <w:tc>
          <w:tcPr>
            <w:tcW w:w="522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Identifying and interpreting correctly drawings, diagrams, schedules, procedures and manuals relevant to the work to be undertaken.</w:t>
            </w:r>
          </w:p>
        </w:tc>
      </w:tr>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B</w:t>
            </w:r>
          </w:p>
        </w:tc>
        <w:tc>
          <w:tcPr>
            <w:tcW w:w="522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Identifying the plant and equipment and their safe operating parameters/requirements</w:t>
            </w:r>
          </w:p>
        </w:tc>
      </w:tr>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C</w:t>
            </w:r>
          </w:p>
        </w:tc>
        <w:tc>
          <w:tcPr>
            <w:tcW w:w="522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Cutting, joining, laying, covering and connecting gas distribution services pipelines in accordance with requirements</w:t>
            </w:r>
          </w:p>
        </w:tc>
      </w:tr>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D</w:t>
            </w:r>
          </w:p>
        </w:tc>
        <w:tc>
          <w:tcPr>
            <w:tcW w:w="522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 xml:space="preserve">Isolating, venting, purging and testing for soundness and leaks, commissioning and making safe gas services </w:t>
            </w:r>
          </w:p>
        </w:tc>
      </w:tr>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E</w:t>
            </w:r>
          </w:p>
        </w:tc>
        <w:tc>
          <w:tcPr>
            <w:tcW w:w="522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Completing required</w:t>
            </w:r>
            <w:r w:rsidRPr="0042211E">
              <w:t xml:space="preserve"> documentation and reporting.</w:t>
            </w:r>
          </w:p>
        </w:tc>
      </w:tr>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F</w:t>
            </w:r>
          </w:p>
        </w:tc>
        <w:tc>
          <w:tcPr>
            <w:tcW w:w="522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t xml:space="preserve">Dealing with unplanned events by drawing on essential knowledge and skills, procedures/ protocols to provide appropriate solutions incorporated </w:t>
            </w:r>
            <w:r w:rsidRPr="0042211E">
              <w:t>in the holistic assessment with the above listed items, for example encroachment and/or contact with assets</w:t>
            </w:r>
          </w:p>
        </w:tc>
      </w:tr>
    </w:tbl>
    <w:p w:rsidR="00000000" w:rsidRPr="0042211E" w:rsidP="0042211E">
      <w:pPr>
        <w:pStyle w:val="BodyText"/>
      </w:pPr>
    </w:p>
    <w:tbl>
      <w:tblPr>
        <w:tblW w:w="0" w:type="auto"/>
        <w:tblLayout w:type="fixed"/>
        <w:tblCellMar>
          <w:left w:w="62" w:type="dxa"/>
          <w:right w:w="62" w:type="dxa"/>
        </w:tblCellMar>
        <w:tblLook w:val="0000"/>
      </w:tblPr>
      <w:tblGrid>
        <w:gridCol w:w="1890"/>
        <w:gridCol w:w="6570"/>
      </w:tblGrid>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rPr>
                <w:rStyle w:val="SpecialBold"/>
              </w:rPr>
              <w:t>8.3)</w:t>
            </w:r>
          </w:p>
        </w:tc>
      </w:tr>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This unit should be assessed as it relates to normal work practice using procedures, infor</w:t>
            </w:r>
            <w:r w:rsidRPr="0042211E">
              <w:t>mation and resources typical of a workplace. This should include:</w:t>
            </w:r>
          </w:p>
        </w:tc>
      </w:tr>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2211E">
            <w:pPr>
              <w:pStyle w:val="ListBullet"/>
              <w:rPr>
                <w:lang w:val="en-NZ"/>
              </w:rPr>
            </w:pPr>
            <w:r w:rsidRPr="0042211E">
              <w:t>WHS/OHS policy and work procedures and instructions.</w:t>
            </w:r>
          </w:p>
        </w:tc>
      </w:tr>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2211E">
            <w:pPr>
              <w:pStyle w:val="ListBullet"/>
              <w:rPr>
                <w:lang w:val="en-NZ"/>
              </w:rPr>
            </w:pPr>
            <w:r w:rsidRPr="0042211E">
              <w:t>Suitable work environment, facilities, equipment and materials to undertake actual work as prescribed by this Unit.</w:t>
            </w:r>
          </w:p>
        </w:tc>
      </w:tr>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2211E">
            <w:pPr>
              <w:pStyle w:val="ListBullet"/>
              <w:rPr>
                <w:lang w:val="en-NZ"/>
              </w:rPr>
            </w:pPr>
            <w:r w:rsidRPr="0042211E">
              <w:t>A</w:t>
            </w:r>
            <w:r w:rsidRPr="0042211E">
              <w:t>ppropriate environmental regulation and work practices.</w:t>
            </w:r>
          </w:p>
        </w:tc>
      </w:tr>
      <w:tr w:rsidTr="00DD5968">
        <w:tblPrEx>
          <w:tblW w:w="0" w:type="auto"/>
          <w:tblLayout w:type="fixed"/>
          <w:tblCellMar>
            <w:left w:w="62" w:type="dxa"/>
            <w:right w:w="62" w:type="dxa"/>
          </w:tblCellMar>
          <w:tblLook w:val="0000"/>
        </w:tblPrEx>
        <w:trPr>
          <w:trHeight w:val="16"/>
        </w:trPr>
        <w:tc>
          <w:tcPr>
            <w:tcW w:w="189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2211E">
            <w:pPr>
              <w:pStyle w:val="ListBullet"/>
              <w:rPr>
                <w:lang w:val="en-NZ"/>
              </w:rPr>
            </w:pPr>
            <w:r w:rsidRPr="0042211E">
              <w:t>Appropriate organisational requirements</w:t>
            </w:r>
          </w:p>
        </w:tc>
      </w:tr>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42211E">
            <w:pPr>
              <w:pStyle w:val="ListBullet"/>
              <w:rPr>
                <w:lang w:val="en-NZ"/>
              </w:rPr>
            </w:pPr>
            <w:r w:rsidRPr="0042211E">
              <w:t>Appropriate work environment, equipment and tools.</w:t>
            </w:r>
          </w:p>
        </w:tc>
      </w:tr>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t>These should be part of the formal learning/assessment environment.</w:t>
            </w:r>
          </w:p>
          <w:p w:rsidR="00000000" w:rsidRPr="0042211E" w:rsidP="0042211E">
            <w:pPr>
              <w:pStyle w:val="BodyText"/>
            </w:pPr>
          </w:p>
          <w:p w:rsidR="00000000" w:rsidRPr="0042211E" w:rsidP="0042211E">
            <w:pPr>
              <w:pStyle w:val="BodyText"/>
            </w:pPr>
            <w:r w:rsidRPr="0042211E">
              <w:t xml:space="preserve">Assessment of this competency must also be undertaken in either an actual workplace or under a simulated work environment. </w:t>
            </w:r>
          </w:p>
          <w:p w:rsidR="00000000" w:rsidRPr="0042211E" w:rsidP="0042211E">
            <w:pPr>
              <w:pStyle w:val="BodyText"/>
            </w:pPr>
            <w:r w:rsidRPr="0042211E">
              <w:t>Assessment must also integrate the key competencies.</w:t>
            </w:r>
          </w:p>
          <w:p w:rsidR="00000000" w:rsidRPr="0042211E" w:rsidP="0042211E">
            <w:pPr>
              <w:pStyle w:val="BodyText"/>
            </w:pPr>
          </w:p>
          <w:p w:rsidR="00000000" w:rsidRPr="0042211E" w:rsidP="0042211E">
            <w:pPr>
              <w:pStyle w:val="BodyText"/>
            </w:pPr>
            <w:r w:rsidRPr="0042211E">
              <w:t>Note:</w:t>
            </w:r>
          </w:p>
          <w:p w:rsidR="00000000" w:rsidRPr="0042211E" w:rsidP="0042211E">
            <w:pPr>
              <w:pStyle w:val="BodyText"/>
            </w:pPr>
            <w:r w:rsidRPr="0042211E">
              <w:t>Where simulation is considered a suitable strategy for assessment, conditions must be authentic and as far as possible reproduce and replicate the workplace and be consistent with the approved industry simulation policy.</w:t>
            </w:r>
          </w:p>
          <w:p w:rsidR="00000000" w:rsidRPr="0042211E" w:rsidP="0042211E">
            <w:pPr>
              <w:pStyle w:val="BodyText"/>
            </w:pPr>
          </w:p>
          <w:p w:rsidR="00000000" w:rsidRPr="0042211E" w:rsidP="0042211E">
            <w:pPr>
              <w:pStyle w:val="BodyText"/>
            </w:pPr>
            <w:r w:rsidRPr="0042211E">
              <w:t xml:space="preserve">The resources used for assessment </w:t>
            </w:r>
            <w:r w:rsidRPr="0042211E">
              <w:t>should reflect current industry practices in relation to locating, proving and protecting utility assets.</w:t>
            </w:r>
          </w:p>
        </w:tc>
      </w:tr>
    </w:tbl>
    <w:p w:rsidR="00000000" w:rsidRPr="0042211E" w:rsidP="0042211E">
      <w:pPr>
        <w:pStyle w:val="BodyText"/>
      </w:pPr>
    </w:p>
    <w:tbl>
      <w:tblPr>
        <w:tblW w:w="0" w:type="auto"/>
        <w:tblLayout w:type="fixed"/>
        <w:tblCellMar>
          <w:left w:w="62" w:type="dxa"/>
          <w:right w:w="62" w:type="dxa"/>
        </w:tblCellMar>
        <w:tblLook w:val="0000"/>
      </w:tblPr>
      <w:tblGrid>
        <w:gridCol w:w="1890"/>
        <w:gridCol w:w="6570"/>
      </w:tblGrid>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rPr>
                <w:rStyle w:val="SpecialBold"/>
              </w:rPr>
              <w:t>9.4)</w:t>
            </w:r>
          </w:p>
        </w:tc>
      </w:tr>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This Unit shall be assessed by methods given in Volume 1 Part 3 ‘Assessment Guidelines’.</w:t>
            </w:r>
          </w:p>
        </w:tc>
      </w:tr>
      <w:tr w:rsidTr="00DD5968">
        <w:tblPrEx>
          <w:tblW w:w="0" w:type="auto"/>
          <w:tblLayout w:type="fixed"/>
          <w:tblCellMar>
            <w:left w:w="62" w:type="dxa"/>
            <w:right w:w="62" w:type="dxa"/>
          </w:tblCellMar>
          <w:tblLook w:val="0000"/>
        </w:tblPrEx>
        <w:trPr>
          <w:trHeight w:val="1807"/>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t>Note: Competent performance w</w:t>
            </w:r>
            <w:r w:rsidRPr="0042211E">
              <w:t>ith inherent safe working practices is expected in the Industry to which this Unit applies. This requires that the specified Required Knowledge and Associated Skills are assessed in a structured environment which is primarily intended for learning/assessme</w:t>
            </w:r>
            <w:r w:rsidRPr="0042211E">
              <w:t>nt and incorporates all necessary equipment and facilities for learners to develop and demonstrate the Required Knowledge and Associated Skills described in this unit.</w:t>
            </w:r>
          </w:p>
        </w:tc>
      </w:tr>
    </w:tbl>
    <w:p w:rsidR="00000000" w:rsidRPr="0042211E" w:rsidP="0042211E">
      <w:pPr>
        <w:pStyle w:val="BodyText"/>
      </w:pPr>
    </w:p>
    <w:tbl>
      <w:tblPr>
        <w:tblW w:w="0" w:type="auto"/>
        <w:tblLayout w:type="fixed"/>
        <w:tblCellMar>
          <w:left w:w="62" w:type="dxa"/>
          <w:right w:w="62" w:type="dxa"/>
        </w:tblCellMar>
        <w:tblLook w:val="0000"/>
      </w:tblPr>
      <w:tblGrid>
        <w:gridCol w:w="1890"/>
        <w:gridCol w:w="1620"/>
        <w:gridCol w:w="4950"/>
      </w:tblGrid>
      <w:tr w:rsidTr="00DD59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rPr>
                <w:rStyle w:val="SpecialBold"/>
              </w:rPr>
              <w:t>9.5)</w:t>
            </w:r>
          </w:p>
        </w:tc>
      </w:tr>
      <w:tr w:rsidTr="00DD5968">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There are no recommended concurrent assessments with this unit, however in some cases efficiencies may be gained in terms of learning and assessment effort being concurrently managed with allied Units where listed.</w:t>
            </w:r>
          </w:p>
        </w:tc>
      </w:tr>
      <w:tr w:rsidTr="00DD5968">
        <w:tblPrEx>
          <w:tblW w:w="0" w:type="auto"/>
          <w:tblLayout w:type="fixed"/>
          <w:tblCellMar>
            <w:left w:w="62" w:type="dxa"/>
            <w:right w:w="62" w:type="dxa"/>
          </w:tblCellMar>
          <w:tblLook w:val="0000"/>
        </w:tblPrEx>
        <w:trPr>
          <w:trHeight w:val="72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UEGNSG132A</w:t>
            </w:r>
          </w:p>
        </w:tc>
        <w:tc>
          <w:tcPr>
            <w:tcW w:w="495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Carry out basic work activi</w:t>
            </w:r>
            <w:r w:rsidRPr="0042211E">
              <w:t>ties in a gas industry work environment</w:t>
            </w:r>
          </w:p>
        </w:tc>
      </w:tr>
      <w:tr w:rsidTr="00DD5968">
        <w:tblPrEx>
          <w:tblW w:w="0" w:type="auto"/>
          <w:tblLayout w:type="fixed"/>
          <w:tblCellMar>
            <w:left w:w="62" w:type="dxa"/>
            <w:right w:w="62" w:type="dxa"/>
          </w:tblCellMar>
          <w:tblLook w:val="0000"/>
        </w:tblPrEx>
        <w:trPr>
          <w:trHeight w:val="73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UEGNSG140A</w:t>
            </w:r>
          </w:p>
        </w:tc>
        <w:tc>
          <w:tcPr>
            <w:tcW w:w="495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Apply with environmental policies and procedures in the utilities industry</w:t>
            </w:r>
          </w:p>
        </w:tc>
      </w:tr>
      <w:tr w:rsidTr="00DD5968">
        <w:tblPrEx>
          <w:tblW w:w="0" w:type="auto"/>
          <w:tblLayout w:type="fixed"/>
          <w:tblCellMar>
            <w:left w:w="62" w:type="dxa"/>
            <w:right w:w="62" w:type="dxa"/>
          </w:tblCellMar>
          <w:tblLook w:val="0000"/>
        </w:tblPrEx>
        <w:trPr>
          <w:trHeight w:val="48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UEGNSG134A</w:t>
            </w:r>
          </w:p>
        </w:tc>
        <w:tc>
          <w:tcPr>
            <w:tcW w:w="495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Establish a utilities infrastructure work site</w:t>
            </w:r>
          </w:p>
        </w:tc>
      </w:tr>
      <w:tr w:rsidTr="00DD5968">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UEGNSG219A</w:t>
            </w:r>
          </w:p>
        </w:tc>
        <w:tc>
          <w:tcPr>
            <w:tcW w:w="495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t>Conduct excavations in the utilities industry</w:t>
            </w:r>
          </w:p>
        </w:tc>
      </w:tr>
    </w:tbl>
    <w:p w:rsidR="00DD5968" w:rsidP="0042211E">
      <w:pPr>
        <w:pStyle w:val="BodyText"/>
      </w:pPr>
    </w:p>
    <w:p w:rsidR="00DD5968" w:rsidP="0042211E">
      <w:pPr>
        <w:pStyle w:val="BodyText"/>
      </w:pPr>
    </w:p>
    <w:p w:rsidR="00000000" w:rsidRPr="0042211E" w:rsidP="0042211E">
      <w:pPr>
        <w:pStyle w:val="Heading1"/>
      </w:pPr>
      <w:bookmarkStart w:id="11" w:name="O_607390"/>
      <w:bookmarkEnd w:id="11"/>
      <w:r w:rsidRPr="0042211E">
        <w:t>Range Statement</w:t>
      </w:r>
    </w:p>
    <w:tbl>
      <w:tblPr>
        <w:tblW w:w="0" w:type="auto"/>
        <w:tblLayout w:type="fixed"/>
        <w:tblCellMar>
          <w:left w:w="62" w:type="dxa"/>
          <w:right w:w="62" w:type="dxa"/>
        </w:tblCellMar>
        <w:tblLook w:val="0000"/>
      </w:tblPr>
      <w:tblGrid>
        <w:gridCol w:w="8460"/>
      </w:tblGrid>
      <w:tr w:rsidTr="00DD5968">
        <w:tblPrEx>
          <w:tblW w:w="0" w:type="auto"/>
          <w:tblLayout w:type="fixed"/>
          <w:tblCellMar>
            <w:left w:w="62" w:type="dxa"/>
            <w:right w:w="62" w:type="dxa"/>
          </w:tblCellMar>
          <w:tblLook w:val="0000"/>
        </w:tblPrEx>
        <w:trPr>
          <w:trHeight w:val="436"/>
          <w:tblHeader/>
        </w:trPr>
        <w:tc>
          <w:tcPr>
            <w:tcW w:w="84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rPr>
                <w:rStyle w:val="SpecialBold"/>
              </w:rPr>
              <w:t>RANGE STATEMENT</w:t>
            </w:r>
          </w:p>
        </w:tc>
      </w:tr>
      <w:tr w:rsidTr="00DD59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rPr>
                <w:rStyle w:val="SpecialBold"/>
              </w:rPr>
              <w:t>10)</w:t>
            </w:r>
            <w:r w:rsidRPr="0042211E">
              <w:rPr>
                <w:rStyle w:val="Emphasis"/>
              </w:rPr>
              <w:t xml:space="preserve"> This relates to the competency standard unit as a whole providing the range of contexts and conditions to which the Performance Criteria apply. It allows for different work environments and situations th</w:t>
            </w:r>
            <w:r w:rsidRPr="0042211E">
              <w:rPr>
                <w:rStyle w:val="Emphasis"/>
              </w:rPr>
              <w:t>at will affect performance.</w:t>
            </w:r>
          </w:p>
        </w:tc>
      </w:tr>
      <w:tr w:rsidTr="00DD59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This Unit shall/may be demonstrated in relation to preparing an excavation bed, constructing and laying of a gas service and connection to a plastic main. This includes the installation of the meter to service riser.</w:t>
            </w:r>
          </w:p>
        </w:tc>
      </w:tr>
      <w:tr w:rsidTr="00DD59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t>The following constants and variables included in the element/Performance Criteria in this unit are fully described in the Definitions Section of this volume and form an integral part of the Range Statement of this unit:</w:t>
            </w:r>
          </w:p>
        </w:tc>
      </w:tr>
      <w:tr w:rsidTr="00DD59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211E">
            <w:pPr>
              <w:pStyle w:val="ListBullet"/>
              <w:rPr>
                <w:lang w:val="en-NZ"/>
              </w:rPr>
            </w:pPr>
            <w:r w:rsidRPr="0042211E">
              <w:t>Services (2)</w:t>
            </w:r>
          </w:p>
        </w:tc>
      </w:tr>
      <w:tr w:rsidTr="00DD5968">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P="0042211E">
            <w:pPr>
              <w:pStyle w:val="ListBullet"/>
              <w:rPr>
                <w:lang w:val="en-NZ"/>
              </w:rPr>
            </w:pPr>
            <w:r w:rsidRPr="0042211E">
              <w:t>Appropriate person</w:t>
            </w:r>
            <w:r w:rsidRPr="0042211E">
              <w:t>s (2)</w:t>
            </w:r>
          </w:p>
        </w:tc>
      </w:tr>
      <w:tr w:rsidTr="00DD59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211E">
            <w:pPr>
              <w:pStyle w:val="ListBullet"/>
              <w:rPr>
                <w:lang w:val="en-NZ"/>
              </w:rPr>
            </w:pPr>
            <w:r w:rsidRPr="0042211E">
              <w:t>Materials (2)</w:t>
            </w:r>
          </w:p>
        </w:tc>
      </w:tr>
      <w:tr w:rsidTr="00DD59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211E">
            <w:pPr>
              <w:pStyle w:val="ListBullet"/>
              <w:rPr>
                <w:lang w:val="en-NZ"/>
              </w:rPr>
            </w:pPr>
            <w:r w:rsidRPr="0042211E">
              <w:t>Tools and equipment (2)</w:t>
            </w:r>
          </w:p>
        </w:tc>
      </w:tr>
      <w:tr w:rsidTr="00DD59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211E">
            <w:pPr>
              <w:pStyle w:val="ListBullet"/>
              <w:rPr>
                <w:lang w:val="en-NZ"/>
              </w:rPr>
            </w:pPr>
            <w:r w:rsidRPr="0042211E">
              <w:t>Safe working procedures (2)</w:t>
            </w:r>
          </w:p>
        </w:tc>
      </w:tr>
      <w:tr w:rsidTr="00DD59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2211E">
            <w:pPr>
              <w:pStyle w:val="ListBullet"/>
              <w:rPr>
                <w:lang w:val="en-NZ"/>
              </w:rPr>
            </w:pPr>
            <w:r w:rsidRPr="0042211E">
              <w:t>Legislative requirements (2)</w:t>
            </w:r>
          </w:p>
        </w:tc>
      </w:tr>
      <w:tr w:rsidTr="00DD59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2211E" w:rsidP="0042211E">
            <w:pPr>
              <w:pStyle w:val="ListBullet"/>
            </w:pPr>
            <w:r w:rsidRPr="0042211E">
              <w:t>Standards</w:t>
            </w:r>
          </w:p>
        </w:tc>
      </w:tr>
    </w:tbl>
    <w:p w:rsidR="00000000" w:rsidRPr="0042211E" w:rsidP="0042211E">
      <w:pPr>
        <w:pStyle w:val="BodyText"/>
      </w:pPr>
    </w:p>
    <w:p w:rsidR="00000000" w:rsidRPr="0042211E" w:rsidP="0042211E">
      <w:pPr>
        <w:pStyle w:val="AllowPageBreak"/>
      </w:pPr>
    </w:p>
    <w:p w:rsidR="00000000" w:rsidRPr="0042211E" w:rsidP="0042211E">
      <w:pPr>
        <w:pStyle w:val="Heading1"/>
      </w:pPr>
      <w:bookmarkStart w:id="12" w:name="O_607391"/>
      <w:bookmarkEnd w:id="12"/>
      <w:r w:rsidRPr="0042211E">
        <w:t>Unit Sector(s)</w:t>
      </w:r>
    </w:p>
    <w:p w:rsidR="00000000" w:rsidRPr="0042211E" w:rsidP="0042211E">
      <w:pPr>
        <w:pStyle w:val="BodyText"/>
      </w:pPr>
      <w:r w:rsidRPr="0042211E">
        <w:t>Gas industry</w:t>
      </w:r>
    </w:p>
    <w:p w:rsidR="00000000" w:rsidRPr="0042211E" w:rsidP="0042211E">
      <w:pPr>
        <w:pStyle w:val="AllowPageBreak"/>
      </w:pPr>
    </w:p>
    <w:p w:rsidR="00000000" w:rsidRPr="0042211E" w:rsidP="0042211E">
      <w:pPr>
        <w:pStyle w:val="Heading1"/>
      </w:pPr>
      <w:bookmarkStart w:id="13" w:name="O_607392"/>
      <w:bookmarkEnd w:id="13"/>
      <w:r w:rsidRPr="0042211E">
        <w:t>Competency Field</w:t>
      </w:r>
    </w:p>
    <w:tbl>
      <w:tblPr>
        <w:tblW w:w="0" w:type="auto"/>
        <w:tblLayout w:type="fixed"/>
        <w:tblCellMar>
          <w:left w:w="62" w:type="dxa"/>
          <w:right w:w="62" w:type="dxa"/>
        </w:tblCellMar>
        <w:tblLook w:val="0000"/>
      </w:tblPr>
      <w:tblGrid>
        <w:gridCol w:w="2700"/>
        <w:gridCol w:w="5760"/>
      </w:tblGrid>
      <w:tr w:rsidTr="00DD59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2211E">
            <w:pPr>
              <w:pStyle w:val="BodyText"/>
              <w:rPr>
                <w:lang w:val="en-NZ"/>
              </w:rPr>
            </w:pPr>
            <w:r w:rsidRPr="0042211E">
              <w:rPr>
                <w:rStyle w:val="SpecialBold"/>
              </w:rPr>
              <w:t xml:space="preserve">11) </w:t>
            </w:r>
          </w:p>
        </w:tc>
      </w:tr>
      <w:tr w:rsidTr="00DD59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211E" w:rsidP="0042211E">
            <w:pPr>
              <w:pStyle w:val="BodyText"/>
            </w:pPr>
            <w:r w:rsidRPr="0042211E">
              <w:t>Gas Distribution discipline.</w:t>
            </w:r>
          </w:p>
        </w:tc>
      </w:tr>
    </w:tbl>
    <w:p w:rsidR="00000000" w:rsidRPr="0042211E" w:rsidP="0042211E">
      <w:pPr>
        <w:pStyle w:val="BodyText"/>
      </w:pPr>
    </w:p>
    <w:p w:rsidR="00000000" w:rsidRPr="0042211E" w:rsidP="0042211E"/>
    <w:sectPr w:rsidSect="004221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1E" w:rsidRPr="00DD5968" w:rsidP="00DD59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968" w:rsidP="004221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DD5968" w:rsidP="0042211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DD5968" w:rsidP="004221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1E" w:rsidRPr="00DD5968" w:rsidP="00DD59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1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968" w:rsidRPr="002D2AF8" w:rsidP="0042211E">
    <w:pPr>
      <w:pStyle w:val="Header"/>
      <w:framePr w:wrap="around"/>
    </w:pPr>
    <w:r>
      <w:fldChar w:fldCharType="begin"/>
    </w:r>
    <w:r>
      <w:instrText xml:space="preserve"> TITLE   \* MERGEFORMAT </w:instrText>
    </w:r>
    <w:r>
      <w:fldChar w:fldCharType="separate"/>
    </w:r>
    <w:r>
      <w:t>UEGNSG212B Construct, lay and connect a gas distribution service to a plastic main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DD5968" w:rsidP="004221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AC1A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E6C6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0AC3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1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11E"/>
    <w:pPr>
      <w:spacing w:before="360" w:after="60"/>
      <w:outlineLvl w:val="0"/>
    </w:pPr>
    <w:rPr>
      <w:sz w:val="32"/>
    </w:rPr>
  </w:style>
  <w:style w:type="paragraph" w:styleId="Heading2">
    <w:name w:val="heading 2"/>
    <w:basedOn w:val="HeadingBase"/>
    <w:next w:val="BodyText"/>
    <w:link w:val="Heading2Char"/>
    <w:qFormat/>
    <w:rsid w:val="0042211E"/>
    <w:pPr>
      <w:keepLines/>
      <w:spacing w:before="240" w:after="120"/>
      <w:outlineLvl w:val="1"/>
    </w:pPr>
    <w:rPr>
      <w:sz w:val="28"/>
      <w:szCs w:val="40"/>
    </w:rPr>
  </w:style>
  <w:style w:type="paragraph" w:styleId="Heading3">
    <w:name w:val="heading 3"/>
    <w:basedOn w:val="HeadingBase"/>
    <w:next w:val="BodyText"/>
    <w:link w:val="Heading3Char"/>
    <w:qFormat/>
    <w:rsid w:val="0042211E"/>
    <w:pPr>
      <w:spacing w:before="180" w:after="120"/>
      <w:outlineLvl w:val="2"/>
    </w:pPr>
    <w:rPr>
      <w:spacing w:val="-10"/>
      <w:kern w:val="32"/>
    </w:rPr>
  </w:style>
  <w:style w:type="paragraph" w:styleId="Heading4">
    <w:name w:val="heading 4"/>
    <w:basedOn w:val="HeadingBase"/>
    <w:next w:val="BodyText"/>
    <w:link w:val="Heading4Char"/>
    <w:qFormat/>
    <w:rsid w:val="0042211E"/>
    <w:pPr>
      <w:spacing w:before="160" w:after="120"/>
      <w:outlineLvl w:val="3"/>
    </w:pPr>
    <w:rPr>
      <w:sz w:val="22"/>
    </w:rPr>
  </w:style>
  <w:style w:type="paragraph" w:styleId="Heading5">
    <w:name w:val="heading 5"/>
    <w:basedOn w:val="HeadingBase"/>
    <w:next w:val="Normal"/>
    <w:link w:val="Heading5Char"/>
    <w:qFormat/>
    <w:rsid w:val="0042211E"/>
    <w:pPr>
      <w:spacing w:before="80"/>
      <w:outlineLvl w:val="4"/>
    </w:pPr>
    <w:rPr>
      <w:color w:val="918585"/>
      <w:sz w:val="20"/>
    </w:rPr>
  </w:style>
  <w:style w:type="paragraph" w:styleId="Heading6">
    <w:name w:val="heading 6"/>
    <w:basedOn w:val="HeadingBase"/>
    <w:next w:val="Normal"/>
    <w:link w:val="Heading6Char"/>
    <w:qFormat/>
    <w:rsid w:val="0042211E"/>
    <w:pPr>
      <w:spacing w:before="60"/>
      <w:outlineLvl w:val="5"/>
    </w:pPr>
    <w:rPr>
      <w:color w:val="918585"/>
      <w:sz w:val="20"/>
    </w:rPr>
  </w:style>
  <w:style w:type="paragraph" w:styleId="Heading7">
    <w:name w:val="heading 7"/>
    <w:basedOn w:val="Normal"/>
    <w:next w:val="Normal"/>
    <w:link w:val="Heading7Char"/>
    <w:qFormat/>
    <w:rsid w:val="0042211E"/>
    <w:pPr>
      <w:ind w:left="720"/>
      <w:outlineLvl w:val="6"/>
    </w:pPr>
    <w:rPr>
      <w:i/>
    </w:rPr>
  </w:style>
  <w:style w:type="paragraph" w:styleId="Heading8">
    <w:name w:val="heading 8"/>
    <w:basedOn w:val="Normal"/>
    <w:next w:val="Normal"/>
    <w:link w:val="Heading8Char"/>
    <w:qFormat/>
    <w:rsid w:val="0042211E"/>
    <w:pPr>
      <w:ind w:left="720"/>
      <w:outlineLvl w:val="7"/>
    </w:pPr>
    <w:rPr>
      <w:i/>
    </w:rPr>
  </w:style>
  <w:style w:type="paragraph" w:styleId="Heading9">
    <w:name w:val="heading 9"/>
    <w:basedOn w:val="Normal"/>
    <w:next w:val="Normal"/>
    <w:link w:val="Heading9Char"/>
    <w:qFormat/>
    <w:rsid w:val="0042211E"/>
    <w:pPr>
      <w:ind w:left="720"/>
      <w:outlineLvl w:val="8"/>
    </w:pPr>
    <w:rPr>
      <w:i/>
    </w:rPr>
  </w:style>
  <w:style w:type="character" w:default="1" w:styleId="DefaultParagraphFont">
    <w:name w:val="Default Paragraph Font"/>
    <w:uiPriority w:val="1"/>
    <w:unhideWhenUsed/>
    <w:rsid w:val="004221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11E"/>
  </w:style>
  <w:style w:type="character" w:customStyle="1" w:styleId="Heading1Char">
    <w:name w:val="Heading 1 Char"/>
    <w:basedOn w:val="DefaultParagraphFont"/>
    <w:link w:val="Heading1"/>
    <w:rsid w:val="0042211E"/>
    <w:rPr>
      <w:rFonts w:ascii="Times New Roman" w:eastAsia="Times New Roman" w:hAnsi="Times New Roman" w:cs="Times New Roman"/>
      <w:b/>
      <w:sz w:val="32"/>
      <w:szCs w:val="20"/>
      <w:lang w:eastAsia="en-US"/>
    </w:rPr>
  </w:style>
  <w:style w:type="paragraph" w:styleId="BodyText">
    <w:name w:val="Body Text"/>
    <w:basedOn w:val="Normal"/>
    <w:link w:val="BodyTextChar"/>
    <w:rsid w:val="004221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211E"/>
    <w:rPr>
      <w:rFonts w:ascii="Times New Roman" w:eastAsia="Times New Roman" w:hAnsi="Times New Roman" w:cs="Times New Roman"/>
      <w:sz w:val="24"/>
      <w:lang w:eastAsia="en-US"/>
    </w:rPr>
  </w:style>
  <w:style w:type="paragraph" w:styleId="ListBullet">
    <w:name w:val="List Bullet"/>
    <w:basedOn w:val="List"/>
    <w:rsid w:val="0042211E"/>
    <w:pPr>
      <w:numPr>
        <w:numId w:val="13"/>
      </w:numPr>
      <w:tabs>
        <w:tab w:val="clear" w:pos="340"/>
      </w:tabs>
      <w:spacing w:before="40" w:after="40"/>
    </w:pPr>
  </w:style>
  <w:style w:type="character" w:customStyle="1" w:styleId="SpecialBold">
    <w:name w:val="Special Bold"/>
    <w:basedOn w:val="DefaultParagraphFont"/>
    <w:rsid w:val="0042211E"/>
    <w:rPr>
      <w:b/>
      <w:spacing w:val="0"/>
    </w:rPr>
  </w:style>
  <w:style w:type="paragraph" w:styleId="ListBullet2">
    <w:name w:val="List Bullet 2"/>
    <w:basedOn w:val="List2"/>
    <w:rsid w:val="0042211E"/>
    <w:pPr>
      <w:numPr>
        <w:numId w:val="14"/>
      </w:numPr>
      <w:tabs>
        <w:tab w:val="clear" w:pos="680"/>
      </w:tabs>
    </w:pPr>
  </w:style>
  <w:style w:type="character" w:styleId="Emphasis">
    <w:name w:val="Emphasis"/>
    <w:basedOn w:val="DefaultParagraphFont"/>
    <w:qFormat/>
    <w:rsid w:val="0042211E"/>
    <w:rPr>
      <w:i/>
    </w:rPr>
  </w:style>
  <w:style w:type="paragraph" w:customStyle="1" w:styleId="SuperHeading">
    <w:name w:val="SuperHeading"/>
    <w:basedOn w:val="Normal"/>
    <w:rsid w:val="0042211E"/>
    <w:pPr>
      <w:spacing w:before="240" w:after="120"/>
      <w:outlineLvl w:val="0"/>
    </w:pPr>
    <w:rPr>
      <w:rFonts w:ascii="Times New Roman" w:hAnsi="Times New Roman"/>
      <w:b/>
      <w:sz w:val="32"/>
    </w:rPr>
  </w:style>
  <w:style w:type="paragraph" w:customStyle="1" w:styleId="AllowPageBreak">
    <w:name w:val="AllowPageBreak"/>
    <w:rsid w:val="004221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21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1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1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1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1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1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1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11E"/>
    <w:rPr>
      <w:rFonts w:ascii="Courier New" w:eastAsia="Times New Roman" w:hAnsi="Courier New" w:cs="Times New Roman"/>
      <w:i/>
      <w:szCs w:val="20"/>
      <w:lang w:eastAsia="en-US"/>
    </w:rPr>
  </w:style>
  <w:style w:type="paragraph" w:customStyle="1" w:styleId="HeadingBase">
    <w:name w:val="Heading Base"/>
    <w:rsid w:val="004221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11E"/>
    <w:pPr>
      <w:tabs>
        <w:tab w:val="right" w:leader="dot" w:pos="9072"/>
      </w:tabs>
      <w:ind w:left="567"/>
    </w:pPr>
    <w:rPr>
      <w:szCs w:val="22"/>
    </w:rPr>
  </w:style>
  <w:style w:type="paragraph" w:customStyle="1" w:styleId="TOCBase">
    <w:name w:val="TOC Base"/>
    <w:rsid w:val="004221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11E"/>
    <w:pPr>
      <w:tabs>
        <w:tab w:val="right" w:leader="dot" w:pos="9072"/>
      </w:tabs>
      <w:spacing w:before="40" w:after="40"/>
      <w:ind w:left="284"/>
    </w:pPr>
    <w:rPr>
      <w:rFonts w:ascii="Times New Roman" w:hAnsi="Times New Roman"/>
    </w:rPr>
  </w:style>
  <w:style w:type="paragraph" w:styleId="TOC1">
    <w:name w:val="toc 1"/>
    <w:basedOn w:val="TOCBase"/>
    <w:next w:val="Normal"/>
    <w:rsid w:val="004221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21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11E"/>
    <w:rPr>
      <w:rFonts w:ascii="Times New Roman" w:eastAsia="Times New Roman" w:hAnsi="Times New Roman" w:cs="Times New Roman"/>
      <w:sz w:val="16"/>
      <w:lang w:eastAsia="en-US"/>
    </w:rPr>
  </w:style>
  <w:style w:type="paragraph" w:styleId="Title">
    <w:name w:val="Title"/>
    <w:basedOn w:val="HeadingBase"/>
    <w:link w:val="TitleChar"/>
    <w:qFormat/>
    <w:rsid w:val="0042211E"/>
    <w:pPr>
      <w:spacing w:before="5040"/>
      <w:jc w:val="center"/>
    </w:pPr>
    <w:rPr>
      <w:sz w:val="48"/>
      <w:szCs w:val="72"/>
      <w:lang w:val="en-US"/>
    </w:rPr>
  </w:style>
  <w:style w:type="character" w:customStyle="1" w:styleId="TitleChar">
    <w:name w:val="Title Char"/>
    <w:basedOn w:val="DefaultParagraphFont"/>
    <w:link w:val="Title"/>
    <w:rsid w:val="004221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11E"/>
    <w:pPr>
      <w:tabs>
        <w:tab w:val="left" w:pos="3600"/>
        <w:tab w:val="left" w:pos="3958"/>
      </w:tabs>
    </w:pPr>
  </w:style>
  <w:style w:type="paragraph" w:styleId="List">
    <w:name w:val="List"/>
    <w:basedOn w:val="BodyText"/>
    <w:next w:val="BodyText"/>
    <w:rsid w:val="0042211E"/>
    <w:pPr>
      <w:tabs>
        <w:tab w:val="left" w:pos="340"/>
      </w:tabs>
      <w:spacing w:before="60" w:after="60"/>
      <w:ind w:left="340" w:hanging="340"/>
    </w:pPr>
  </w:style>
  <w:style w:type="paragraph" w:customStyle="1" w:styleId="Note">
    <w:name w:val="Note"/>
    <w:basedOn w:val="BodyText"/>
    <w:rsid w:val="004221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11E"/>
    <w:pPr>
      <w:framePr w:wrap="auto" w:hAnchor="text" w:y="6049"/>
    </w:pPr>
    <w:rPr>
      <w:color w:val="000000"/>
      <w:sz w:val="40"/>
    </w:rPr>
  </w:style>
  <w:style w:type="paragraph" w:customStyle="1" w:styleId="TOCTitle">
    <w:name w:val="TOCTitle"/>
    <w:basedOn w:val="Heading1"/>
    <w:rsid w:val="0042211E"/>
    <w:pPr>
      <w:spacing w:after="240"/>
      <w:jc w:val="center"/>
      <w:outlineLvl w:val="9"/>
    </w:pPr>
    <w:rPr>
      <w:caps/>
    </w:rPr>
  </w:style>
  <w:style w:type="paragraph" w:customStyle="1" w:styleId="Version">
    <w:name w:val="Version"/>
    <w:rsid w:val="004221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211E"/>
    <w:pPr>
      <w:keepNext w:val="0"/>
      <w:tabs>
        <w:tab w:val="right" w:pos="4176"/>
      </w:tabs>
      <w:ind w:left="198" w:hanging="198"/>
    </w:pPr>
    <w:rPr>
      <w:rFonts w:ascii="Garamond" w:hAnsi="Garamond"/>
    </w:rPr>
  </w:style>
  <w:style w:type="paragraph" w:styleId="IndexHeading">
    <w:name w:val="index heading"/>
    <w:basedOn w:val="Normal"/>
    <w:next w:val="Index1"/>
    <w:semiHidden/>
    <w:rsid w:val="0042211E"/>
    <w:pPr>
      <w:spacing w:before="120" w:after="120"/>
    </w:pPr>
    <w:rPr>
      <w:rFonts w:ascii="Arial" w:hAnsi="Arial"/>
      <w:b/>
      <w:color w:val="918585"/>
      <w:sz w:val="24"/>
    </w:rPr>
  </w:style>
  <w:style w:type="paragraph" w:styleId="Header">
    <w:name w:val="header"/>
    <w:basedOn w:val="Normal"/>
    <w:link w:val="HeaderChar"/>
    <w:rsid w:val="004221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11E"/>
    <w:rPr>
      <w:rFonts w:ascii="Times New Roman" w:eastAsia="Times New Roman" w:hAnsi="Times New Roman" w:cs="Times New Roman"/>
      <w:sz w:val="16"/>
      <w:szCs w:val="20"/>
      <w:lang w:val="en-GB" w:eastAsia="en-US"/>
    </w:rPr>
  </w:style>
  <w:style w:type="paragraph" w:customStyle="1" w:styleId="Chapter">
    <w:name w:val="Chapter"/>
    <w:basedOn w:val="Normal"/>
    <w:rsid w:val="0042211E"/>
    <w:pPr>
      <w:spacing w:before="240"/>
    </w:pPr>
    <w:rPr>
      <w:rFonts w:ascii="Times New Roman" w:hAnsi="Times New Roman"/>
      <w:smallCaps/>
      <w:spacing w:val="80"/>
      <w:sz w:val="28"/>
    </w:rPr>
  </w:style>
  <w:style w:type="paragraph" w:customStyle="1" w:styleId="InChapter">
    <w:name w:val="InChapter"/>
    <w:basedOn w:val="Heading3"/>
    <w:rsid w:val="0042211E"/>
    <w:pPr>
      <w:spacing w:after="240"/>
      <w:outlineLvl w:val="9"/>
    </w:pPr>
    <w:rPr>
      <w:noProof/>
    </w:rPr>
  </w:style>
  <w:style w:type="paragraph" w:styleId="Index2">
    <w:name w:val="index 2"/>
    <w:basedOn w:val="Normal"/>
    <w:next w:val="Normal"/>
    <w:semiHidden/>
    <w:rsid w:val="0042211E"/>
    <w:pPr>
      <w:tabs>
        <w:tab w:val="right" w:pos="4176"/>
      </w:tabs>
      <w:ind w:left="568" w:hanging="284"/>
    </w:pPr>
    <w:rPr>
      <w:rFonts w:ascii="Garamond" w:hAnsi="Garamond"/>
    </w:rPr>
  </w:style>
  <w:style w:type="paragraph" w:customStyle="1" w:styleId="Byline">
    <w:name w:val="Byline"/>
    <w:rsid w:val="004221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11E"/>
    <w:pPr>
      <w:tabs>
        <w:tab w:val="clear" w:pos="3600"/>
        <w:tab w:val="clear" w:pos="3958"/>
      </w:tabs>
      <w:jc w:val="right"/>
    </w:pPr>
  </w:style>
  <w:style w:type="paragraph" w:styleId="Caption">
    <w:name w:val="caption"/>
    <w:basedOn w:val="BodyText"/>
    <w:next w:val="Normal"/>
    <w:qFormat/>
    <w:rsid w:val="0042211E"/>
    <w:pPr>
      <w:framePr w:w="2268" w:hSpace="181" w:vSpace="181" w:wrap="around" w:vAnchor="text" w:hAnchor="page" w:x="1135" w:y="285" w:anchorLock="1"/>
    </w:pPr>
    <w:rPr>
      <w:i/>
    </w:rPr>
  </w:style>
  <w:style w:type="paragraph" w:customStyle="1" w:styleId="MiniTOCTitle">
    <w:name w:val="MiniTOCTitle"/>
    <w:basedOn w:val="Heading4"/>
    <w:rsid w:val="0042211E"/>
    <w:pPr>
      <w:spacing w:before="240"/>
      <w:outlineLvl w:val="9"/>
    </w:pPr>
    <w:rPr>
      <w:noProof/>
      <w:sz w:val="24"/>
    </w:rPr>
  </w:style>
  <w:style w:type="paragraph" w:customStyle="1" w:styleId="MiniTOCItem">
    <w:name w:val="MiniTOCItem"/>
    <w:basedOn w:val="ListBullet"/>
    <w:rsid w:val="0042211E"/>
    <w:pPr>
      <w:numPr>
        <w:numId w:val="0"/>
      </w:numPr>
      <w:tabs>
        <w:tab w:val="right" w:leader="dot" w:pos="6521"/>
      </w:tabs>
      <w:spacing w:before="0" w:after="0"/>
    </w:pPr>
  </w:style>
  <w:style w:type="paragraph" w:customStyle="1" w:styleId="TOFTitle">
    <w:name w:val="TOFTitle"/>
    <w:basedOn w:val="TOCTitle"/>
    <w:rsid w:val="0042211E"/>
  </w:style>
  <w:style w:type="paragraph" w:styleId="TableofFigures">
    <w:name w:val="table of figures"/>
    <w:basedOn w:val="Normal"/>
    <w:next w:val="Normal"/>
    <w:semiHidden/>
    <w:rsid w:val="0042211E"/>
    <w:pPr>
      <w:tabs>
        <w:tab w:val="right" w:leader="dot" w:pos="9072"/>
      </w:tabs>
      <w:ind w:left="970" w:hanging="403"/>
    </w:pPr>
    <w:rPr>
      <w:rFonts w:ascii="Times New Roman" w:hAnsi="Times New Roman"/>
      <w:b/>
    </w:rPr>
  </w:style>
  <w:style w:type="paragraph" w:styleId="ListNumber">
    <w:name w:val="List Number"/>
    <w:basedOn w:val="List"/>
    <w:rsid w:val="0042211E"/>
    <w:pPr>
      <w:numPr>
        <w:numId w:val="11"/>
      </w:numPr>
    </w:pPr>
  </w:style>
  <w:style w:type="character" w:customStyle="1" w:styleId="WingdingSymbols">
    <w:name w:val="Wingding Symbols"/>
    <w:rsid w:val="0042211E"/>
    <w:rPr>
      <w:rFonts w:ascii="Wingdings" w:hAnsi="Wingdings"/>
    </w:rPr>
  </w:style>
  <w:style w:type="paragraph" w:customStyle="1" w:styleId="TableHeading">
    <w:name w:val="Table Heading"/>
    <w:basedOn w:val="HeadingBase"/>
    <w:rsid w:val="0042211E"/>
    <w:pPr>
      <w:keepLines/>
      <w:pBdr>
        <w:bottom w:val="single" w:sz="6" w:space="1" w:color="918585"/>
      </w:pBdr>
      <w:spacing w:before="240"/>
    </w:pPr>
  </w:style>
  <w:style w:type="character" w:customStyle="1" w:styleId="HotSpot">
    <w:name w:val="HotSpot"/>
    <w:rsid w:val="0042211E"/>
    <w:rPr>
      <w:color w:val="0033CC"/>
      <w:u w:val="none"/>
    </w:rPr>
  </w:style>
  <w:style w:type="paragraph" w:customStyle="1" w:styleId="BodyTextRight">
    <w:name w:val="Body Text Right"/>
    <w:basedOn w:val="BodyText"/>
    <w:rsid w:val="0042211E"/>
    <w:pPr>
      <w:spacing w:before="0" w:after="0"/>
      <w:jc w:val="right"/>
    </w:pPr>
  </w:style>
  <w:style w:type="paragraph" w:styleId="Index3">
    <w:name w:val="index 3"/>
    <w:basedOn w:val="ListNumber2"/>
    <w:next w:val="Normal"/>
    <w:semiHidden/>
    <w:rsid w:val="0042211E"/>
    <w:pPr>
      <w:numPr>
        <w:numId w:val="0"/>
      </w:numPr>
      <w:tabs>
        <w:tab w:val="right" w:leader="dot" w:pos="4176"/>
      </w:tabs>
    </w:pPr>
  </w:style>
  <w:style w:type="paragraph" w:styleId="ListNumber2">
    <w:name w:val="List Number 2"/>
    <w:basedOn w:val="List2"/>
    <w:rsid w:val="0042211E"/>
    <w:pPr>
      <w:numPr>
        <w:numId w:val="10"/>
      </w:numPr>
      <w:tabs>
        <w:tab w:val="clear" w:pos="1060"/>
      </w:tabs>
    </w:pPr>
  </w:style>
  <w:style w:type="paragraph" w:customStyle="1" w:styleId="MarginNote">
    <w:name w:val="Margin Note"/>
    <w:basedOn w:val="BodyText"/>
    <w:rsid w:val="004221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1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1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11E"/>
    <w:rPr>
      <w:sz w:val="32"/>
    </w:rPr>
  </w:style>
  <w:style w:type="paragraph" w:customStyle="1" w:styleId="HeadingProcedure">
    <w:name w:val="Heading Procedure"/>
    <w:basedOn w:val="HeadingBase"/>
    <w:next w:val="Normal"/>
    <w:rsid w:val="0042211E"/>
    <w:pPr>
      <w:tabs>
        <w:tab w:val="left" w:pos="0"/>
      </w:tabs>
      <w:spacing w:before="120" w:after="60"/>
    </w:pPr>
    <w:rPr>
      <w:i/>
      <w:color w:val="918585"/>
      <w:sz w:val="22"/>
    </w:rPr>
  </w:style>
  <w:style w:type="paragraph" w:customStyle="1" w:styleId="TableBodyText">
    <w:name w:val="Table Body Text"/>
    <w:basedOn w:val="BodyText"/>
    <w:rsid w:val="0042211E"/>
    <w:pPr>
      <w:spacing w:before="60" w:after="60"/>
    </w:pPr>
  </w:style>
  <w:style w:type="paragraph" w:styleId="ListContinue">
    <w:name w:val="List Continue"/>
    <w:basedOn w:val="List"/>
    <w:rsid w:val="0042211E"/>
    <w:pPr>
      <w:ind w:firstLine="0"/>
    </w:pPr>
  </w:style>
  <w:style w:type="paragraph" w:customStyle="1" w:styleId="ListNote">
    <w:name w:val="List Note"/>
    <w:basedOn w:val="List"/>
    <w:rsid w:val="0042211E"/>
    <w:pPr>
      <w:pBdr>
        <w:top w:val="single" w:sz="6" w:space="2" w:color="918585"/>
        <w:bottom w:val="single" w:sz="6" w:space="2" w:color="918585"/>
      </w:pBdr>
      <w:tabs>
        <w:tab w:val="left" w:pos="1021"/>
      </w:tabs>
      <w:ind w:firstLine="0"/>
    </w:pPr>
  </w:style>
  <w:style w:type="paragraph" w:customStyle="1" w:styleId="Warning">
    <w:name w:val="Warning"/>
    <w:basedOn w:val="BodyText"/>
    <w:rsid w:val="0042211E"/>
    <w:pPr>
      <w:shd w:val="clear" w:color="auto" w:fill="D9D9D9"/>
      <w:tabs>
        <w:tab w:val="left" w:pos="992"/>
      </w:tabs>
      <w:ind w:left="119" w:right="119"/>
    </w:pPr>
    <w:rPr>
      <w:sz w:val="20"/>
    </w:rPr>
  </w:style>
  <w:style w:type="paragraph" w:customStyle="1" w:styleId="MarginIcons">
    <w:name w:val="Margin Icons"/>
    <w:basedOn w:val="BodyText"/>
    <w:rsid w:val="004221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11E"/>
    <w:rPr>
      <w:rFonts w:ascii="Courier New" w:hAnsi="Courier New"/>
    </w:rPr>
  </w:style>
  <w:style w:type="paragraph" w:customStyle="1" w:styleId="NoteBullet">
    <w:name w:val="Note Bullet"/>
    <w:basedOn w:val="Note"/>
    <w:rsid w:val="0042211E"/>
    <w:pPr>
      <w:tabs>
        <w:tab w:val="clear" w:pos="680"/>
      </w:tabs>
      <w:spacing w:before="60" w:after="60"/>
    </w:pPr>
  </w:style>
  <w:style w:type="paragraph" w:customStyle="1" w:styleId="SubHeading2">
    <w:name w:val="SubHeading2"/>
    <w:basedOn w:val="HeadingBase"/>
    <w:rsid w:val="0042211E"/>
    <w:pPr>
      <w:spacing w:before="240" w:after="60"/>
    </w:pPr>
    <w:rPr>
      <w:sz w:val="20"/>
    </w:rPr>
  </w:style>
  <w:style w:type="paragraph" w:customStyle="1" w:styleId="SubHeading1">
    <w:name w:val="SubHeading1"/>
    <w:basedOn w:val="HeadingBase"/>
    <w:rsid w:val="0042211E"/>
    <w:pPr>
      <w:spacing w:before="240" w:after="60"/>
    </w:pPr>
    <w:rPr>
      <w:color w:val="918585"/>
      <w:sz w:val="22"/>
    </w:rPr>
  </w:style>
  <w:style w:type="paragraph" w:customStyle="1" w:styleId="SideHeading">
    <w:name w:val="Side Heading"/>
    <w:basedOn w:val="HeadingBase"/>
    <w:rsid w:val="004221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11E"/>
    <w:pPr>
      <w:numPr>
        <w:numId w:val="12"/>
      </w:numPr>
    </w:pPr>
  </w:style>
  <w:style w:type="paragraph" w:styleId="PlainText">
    <w:name w:val="Plain Text"/>
    <w:basedOn w:val="Normal"/>
    <w:link w:val="PlainTextChar"/>
    <w:rsid w:val="0042211E"/>
    <w:rPr>
      <w:sz w:val="20"/>
    </w:rPr>
  </w:style>
  <w:style w:type="character" w:customStyle="1" w:styleId="PlainTextChar">
    <w:name w:val="Plain Text Char"/>
    <w:basedOn w:val="DefaultParagraphFont"/>
    <w:link w:val="PlainText"/>
    <w:rsid w:val="0042211E"/>
    <w:rPr>
      <w:rFonts w:ascii="Courier New" w:eastAsia="Times New Roman" w:hAnsi="Courier New" w:cs="Times New Roman"/>
      <w:sz w:val="20"/>
      <w:szCs w:val="20"/>
      <w:lang w:eastAsia="en-US"/>
    </w:rPr>
  </w:style>
  <w:style w:type="character" w:customStyle="1" w:styleId="MenuOption">
    <w:name w:val="Menu Option"/>
    <w:basedOn w:val="DefaultParagraphFont"/>
    <w:rsid w:val="0042211E"/>
    <w:rPr>
      <w:b/>
      <w:smallCaps/>
    </w:rPr>
  </w:style>
  <w:style w:type="paragraph" w:customStyle="1" w:styleId="TableListNumber">
    <w:name w:val="Table List Number"/>
    <w:basedOn w:val="ListNumber"/>
    <w:rsid w:val="0042211E"/>
    <w:pPr>
      <w:numPr>
        <w:numId w:val="0"/>
      </w:numPr>
    </w:pPr>
  </w:style>
  <w:style w:type="paragraph" w:styleId="TOC4">
    <w:name w:val="toc 4"/>
    <w:basedOn w:val="TOCBase"/>
    <w:next w:val="Normal"/>
    <w:semiHidden/>
    <w:rsid w:val="0042211E"/>
    <w:pPr>
      <w:tabs>
        <w:tab w:val="right" w:leader="dot" w:pos="9071"/>
      </w:tabs>
      <w:ind w:left="1701"/>
    </w:pPr>
  </w:style>
  <w:style w:type="paragraph" w:customStyle="1" w:styleId="ListAlpha">
    <w:name w:val="List Alpha"/>
    <w:basedOn w:val="List"/>
    <w:rsid w:val="0042211E"/>
    <w:pPr>
      <w:numPr>
        <w:numId w:val="9"/>
      </w:numPr>
    </w:pPr>
  </w:style>
  <w:style w:type="paragraph" w:customStyle="1" w:styleId="ListAlpha2">
    <w:name w:val="List Alpha 2"/>
    <w:basedOn w:val="List2"/>
    <w:rsid w:val="0042211E"/>
    <w:pPr>
      <w:numPr>
        <w:numId w:val="8"/>
      </w:numPr>
    </w:pPr>
  </w:style>
  <w:style w:type="paragraph" w:styleId="List2">
    <w:name w:val="List 2"/>
    <w:basedOn w:val="BodyText"/>
    <w:rsid w:val="0042211E"/>
    <w:pPr>
      <w:tabs>
        <w:tab w:val="left" w:pos="680"/>
      </w:tabs>
      <w:spacing w:before="60" w:after="60"/>
      <w:ind w:left="680" w:hanging="340"/>
    </w:pPr>
  </w:style>
  <w:style w:type="paragraph" w:styleId="List3">
    <w:name w:val="List 3"/>
    <w:basedOn w:val="BodyText"/>
    <w:rsid w:val="0042211E"/>
    <w:pPr>
      <w:tabs>
        <w:tab w:val="left" w:pos="1021"/>
      </w:tabs>
      <w:spacing w:before="60" w:after="60"/>
      <w:ind w:left="1020" w:hanging="340"/>
    </w:pPr>
  </w:style>
  <w:style w:type="paragraph" w:styleId="List4">
    <w:name w:val="List 4"/>
    <w:basedOn w:val="BodyText"/>
    <w:rsid w:val="0042211E"/>
    <w:pPr>
      <w:tabs>
        <w:tab w:val="left" w:pos="1361"/>
      </w:tabs>
      <w:spacing w:before="60" w:after="60"/>
      <w:ind w:left="1361" w:hanging="340"/>
    </w:pPr>
  </w:style>
  <w:style w:type="paragraph" w:styleId="List5">
    <w:name w:val="List 5"/>
    <w:basedOn w:val="BodyText"/>
    <w:rsid w:val="0042211E"/>
    <w:pPr>
      <w:tabs>
        <w:tab w:val="left" w:pos="1701"/>
      </w:tabs>
      <w:spacing w:before="60" w:after="60"/>
      <w:ind w:left="1701" w:hanging="340"/>
    </w:pPr>
  </w:style>
  <w:style w:type="paragraph" w:styleId="ListBullet3">
    <w:name w:val="List Bullet 3"/>
    <w:basedOn w:val="List3"/>
    <w:rsid w:val="0042211E"/>
    <w:pPr>
      <w:numPr>
        <w:numId w:val="15"/>
      </w:numPr>
      <w:tabs>
        <w:tab w:val="clear" w:pos="1021"/>
      </w:tabs>
      <w:ind w:left="1037" w:hanging="357"/>
    </w:pPr>
  </w:style>
  <w:style w:type="paragraph" w:styleId="ListBullet4">
    <w:name w:val="List Bullet 4"/>
    <w:basedOn w:val="List4"/>
    <w:rsid w:val="0042211E"/>
    <w:pPr>
      <w:numPr>
        <w:numId w:val="3"/>
      </w:numPr>
    </w:pPr>
  </w:style>
  <w:style w:type="paragraph" w:styleId="ListBullet5">
    <w:name w:val="List Bullet 5"/>
    <w:basedOn w:val="List5"/>
    <w:rsid w:val="0042211E"/>
    <w:pPr>
      <w:numPr>
        <w:numId w:val="4"/>
      </w:numPr>
    </w:pPr>
  </w:style>
  <w:style w:type="paragraph" w:styleId="ListContinue2">
    <w:name w:val="List Continue 2"/>
    <w:basedOn w:val="List2"/>
    <w:rsid w:val="0042211E"/>
    <w:pPr>
      <w:ind w:firstLine="0"/>
    </w:pPr>
  </w:style>
  <w:style w:type="paragraph" w:styleId="ListContinue3">
    <w:name w:val="List Continue 3"/>
    <w:basedOn w:val="List3"/>
    <w:rsid w:val="0042211E"/>
    <w:pPr>
      <w:ind w:left="1021" w:firstLine="0"/>
    </w:pPr>
  </w:style>
  <w:style w:type="paragraph" w:styleId="ListContinue4">
    <w:name w:val="List Continue 4"/>
    <w:basedOn w:val="List4"/>
    <w:rsid w:val="0042211E"/>
    <w:pPr>
      <w:ind w:firstLine="0"/>
    </w:pPr>
  </w:style>
  <w:style w:type="paragraph" w:styleId="ListContinue5">
    <w:name w:val="List Continue 5"/>
    <w:basedOn w:val="List5"/>
    <w:rsid w:val="0042211E"/>
    <w:pPr>
      <w:ind w:firstLine="0"/>
    </w:pPr>
  </w:style>
  <w:style w:type="paragraph" w:styleId="ListNumber3">
    <w:name w:val="List Number 3"/>
    <w:basedOn w:val="List3"/>
    <w:rsid w:val="0042211E"/>
    <w:pPr>
      <w:numPr>
        <w:numId w:val="5"/>
      </w:numPr>
    </w:pPr>
  </w:style>
  <w:style w:type="paragraph" w:styleId="ListNumber4">
    <w:name w:val="List Number 4"/>
    <w:basedOn w:val="List4"/>
    <w:rsid w:val="0042211E"/>
    <w:pPr>
      <w:numPr>
        <w:numId w:val="6"/>
      </w:numPr>
    </w:pPr>
  </w:style>
  <w:style w:type="paragraph" w:styleId="ListNumber5">
    <w:name w:val="List Number 5"/>
    <w:basedOn w:val="List5"/>
    <w:rsid w:val="0042211E"/>
    <w:pPr>
      <w:numPr>
        <w:numId w:val="7"/>
      </w:numPr>
    </w:pPr>
  </w:style>
  <w:style w:type="paragraph" w:styleId="BlockText">
    <w:name w:val="Block Text"/>
    <w:basedOn w:val="Normal"/>
    <w:rsid w:val="0042211E"/>
    <w:pPr>
      <w:spacing w:after="120"/>
      <w:ind w:left="1440" w:right="1440"/>
    </w:pPr>
  </w:style>
  <w:style w:type="character" w:customStyle="1" w:styleId="Subscript">
    <w:name w:val="Subscript"/>
    <w:basedOn w:val="DefaultParagraphFont"/>
    <w:rsid w:val="0042211E"/>
    <w:rPr>
      <w:sz w:val="16"/>
      <w:vertAlign w:val="subscript"/>
    </w:rPr>
  </w:style>
  <w:style w:type="character" w:customStyle="1" w:styleId="Superscript">
    <w:name w:val="Superscript"/>
    <w:basedOn w:val="DefaultParagraphFont"/>
    <w:rsid w:val="0042211E"/>
    <w:rPr>
      <w:sz w:val="16"/>
      <w:vertAlign w:val="superscript"/>
    </w:rPr>
  </w:style>
  <w:style w:type="character" w:customStyle="1" w:styleId="Symbols">
    <w:name w:val="Symbols"/>
    <w:basedOn w:val="DefaultParagraphFont"/>
    <w:rsid w:val="0042211E"/>
    <w:rPr>
      <w:rFonts w:ascii="Symbol" w:hAnsi="Symbol"/>
    </w:rPr>
  </w:style>
  <w:style w:type="character" w:customStyle="1" w:styleId="MenuOptions">
    <w:name w:val="Menu Options"/>
    <w:basedOn w:val="DefaultParagraphFont"/>
    <w:rsid w:val="0042211E"/>
    <w:rPr>
      <w:rFonts w:ascii="Arial Narrow" w:hAnsi="Arial Narrow"/>
      <w:smallCaps/>
    </w:rPr>
  </w:style>
  <w:style w:type="character" w:customStyle="1" w:styleId="Buttons">
    <w:name w:val="Buttons"/>
    <w:basedOn w:val="DefaultParagraphFont"/>
    <w:rsid w:val="0042211E"/>
    <w:rPr>
      <w:b/>
    </w:rPr>
  </w:style>
  <w:style w:type="character" w:customStyle="1" w:styleId="Underlined">
    <w:name w:val="Underlined"/>
    <w:basedOn w:val="DefaultParagraphFont"/>
    <w:rsid w:val="0042211E"/>
    <w:rPr>
      <w:u w:val="single"/>
    </w:rPr>
  </w:style>
  <w:style w:type="paragraph" w:customStyle="1" w:styleId="TableBodyTextRight">
    <w:name w:val="Table Body Text Right"/>
    <w:basedOn w:val="TableBodyText"/>
    <w:rsid w:val="0042211E"/>
    <w:pPr>
      <w:widowControl w:val="0"/>
      <w:autoSpaceDE w:val="0"/>
      <w:autoSpaceDN w:val="0"/>
      <w:adjustRightInd w:val="0"/>
      <w:jc w:val="right"/>
    </w:pPr>
    <w:rPr>
      <w:rFonts w:cs="Arial"/>
      <w:szCs w:val="18"/>
    </w:rPr>
  </w:style>
  <w:style w:type="paragraph" w:customStyle="1" w:styleId="CopyrightText">
    <w:name w:val="Copyright Text"/>
    <w:basedOn w:val="BodyText"/>
    <w:rsid w:val="0042211E"/>
    <w:rPr>
      <w:sz w:val="18"/>
    </w:rPr>
  </w:style>
  <w:style w:type="paragraph" w:customStyle="1" w:styleId="BodySmallRight">
    <w:name w:val="Body Small Right"/>
    <w:basedOn w:val="BodyTextRight"/>
    <w:rsid w:val="0042211E"/>
    <w:rPr>
      <w:sz w:val="18"/>
      <w:szCs w:val="18"/>
    </w:rPr>
  </w:style>
  <w:style w:type="paragraph" w:customStyle="1" w:styleId="MarginEdition">
    <w:name w:val="Margin Edition"/>
    <w:basedOn w:val="MarginNote"/>
    <w:rsid w:val="0042211E"/>
    <w:pPr>
      <w:spacing w:before="0" w:after="0"/>
    </w:pPr>
    <w:rPr>
      <w:rFonts w:ascii="Times New Roman" w:hAnsi="Times New Roman"/>
      <w:color w:val="999999"/>
    </w:rPr>
  </w:style>
  <w:style w:type="paragraph" w:customStyle="1" w:styleId="Spacer">
    <w:name w:val="Spacer"/>
    <w:basedOn w:val="Normal"/>
    <w:rsid w:val="0042211E"/>
    <w:rPr>
      <w:sz w:val="2"/>
      <w:szCs w:val="2"/>
    </w:rPr>
  </w:style>
  <w:style w:type="character" w:customStyle="1" w:styleId="Small">
    <w:name w:val="Small"/>
    <w:basedOn w:val="DefaultParagraphFont"/>
    <w:rsid w:val="0042211E"/>
    <w:rPr>
      <w:sz w:val="16"/>
    </w:rPr>
  </w:style>
  <w:style w:type="paragraph" w:customStyle="1" w:styleId="WideTable">
    <w:name w:val="Wide Table"/>
    <w:basedOn w:val="Normal"/>
    <w:rsid w:val="0042211E"/>
    <w:pPr>
      <w:ind w:left="-1418"/>
    </w:pPr>
    <w:rPr>
      <w:sz w:val="2"/>
      <w:szCs w:val="2"/>
    </w:rPr>
  </w:style>
  <w:style w:type="character" w:styleId="PageNumber">
    <w:name w:val="page number"/>
    <w:basedOn w:val="DefaultParagraphFont"/>
    <w:rsid w:val="0042211E"/>
  </w:style>
  <w:style w:type="paragraph" w:styleId="Quote">
    <w:name w:val="Quote"/>
    <w:basedOn w:val="Heading1"/>
    <w:link w:val="QuoteChar"/>
    <w:qFormat/>
    <w:rsid w:val="0042211E"/>
    <w:rPr>
      <w:b w:val="0"/>
      <w:sz w:val="72"/>
      <w:szCs w:val="72"/>
      <w:lang w:val="en-NZ"/>
    </w:rPr>
  </w:style>
  <w:style w:type="character" w:customStyle="1" w:styleId="QuoteChar">
    <w:name w:val="Quote Char"/>
    <w:basedOn w:val="DefaultParagraphFont"/>
    <w:link w:val="Quote"/>
    <w:rsid w:val="004221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11E"/>
    <w:pPr>
      <w:pageBreakBefore/>
    </w:pPr>
  </w:style>
  <w:style w:type="paragraph" w:customStyle="1" w:styleId="Border">
    <w:name w:val="Border"/>
    <w:basedOn w:val="Normal"/>
    <w:qFormat/>
    <w:rsid w:val="004221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11E"/>
    <w:rPr>
      <w:b/>
      <w:bCs/>
      <w:i/>
      <w:iCs/>
      <w:color w:val="auto"/>
    </w:rPr>
  </w:style>
  <w:style w:type="paragraph" w:styleId="IntenseQuote">
    <w:name w:val="Intense Quote"/>
    <w:basedOn w:val="Normal"/>
    <w:next w:val="Normal"/>
    <w:link w:val="IntenseQuoteChar"/>
    <w:uiPriority w:val="30"/>
    <w:qFormat/>
    <w:rsid w:val="004221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1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11E"/>
    <w:rPr>
      <w:smallCaps/>
      <w:color w:val="auto"/>
      <w:u w:val="single"/>
    </w:rPr>
  </w:style>
  <w:style w:type="character" w:styleId="IntenseReference">
    <w:name w:val="Intense Reference"/>
    <w:basedOn w:val="DefaultParagraphFont"/>
    <w:uiPriority w:val="32"/>
    <w:qFormat/>
    <w:rsid w:val="0042211E"/>
    <w:rPr>
      <w:b/>
      <w:bCs/>
      <w:smallCaps/>
      <w:color w:val="auto"/>
      <w:spacing w:val="5"/>
      <w:u w:val="single"/>
    </w:rPr>
  </w:style>
  <w:style w:type="paragraph" w:customStyle="1" w:styleId="2ColumnHeading">
    <w:name w:val="2Column Heading"/>
    <w:basedOn w:val="BodyText"/>
    <w:qFormat/>
    <w:rsid w:val="0042211E"/>
    <w:pPr>
      <w:spacing w:after="60"/>
      <w:ind w:left="-2268"/>
    </w:pPr>
    <w:rPr>
      <w:b/>
    </w:rPr>
  </w:style>
  <w:style w:type="paragraph" w:customStyle="1" w:styleId="Heading1TOC">
    <w:name w:val="Heading1 TOC"/>
    <w:basedOn w:val="Normal"/>
    <w:qFormat/>
    <w:rsid w:val="0042211E"/>
    <w:pPr>
      <w:spacing w:before="240" w:after="120"/>
    </w:pPr>
    <w:rPr>
      <w:rFonts w:ascii="Times New Roman" w:hAnsi="Times New Roman"/>
      <w:b/>
      <w:sz w:val="32"/>
    </w:rPr>
  </w:style>
  <w:style w:type="paragraph" w:customStyle="1" w:styleId="Heading2TOC">
    <w:name w:val="Heading2 TOC"/>
    <w:basedOn w:val="Normal"/>
    <w:qFormat/>
    <w:rsid w:val="0042211E"/>
    <w:pPr>
      <w:spacing w:before="240" w:after="60"/>
    </w:pPr>
    <w:rPr>
      <w:rFonts w:ascii="Times New Roman" w:hAnsi="Times New Roman"/>
      <w:b/>
      <w:sz w:val="28"/>
    </w:rPr>
  </w:style>
  <w:style w:type="character" w:customStyle="1" w:styleId="Underline">
    <w:name w:val="Underline"/>
    <w:basedOn w:val="DefaultParagraphFont"/>
    <w:qFormat/>
    <w:rsid w:val="0042211E"/>
    <w:rPr>
      <w:u w:val="single"/>
    </w:rPr>
  </w:style>
  <w:style w:type="character" w:customStyle="1" w:styleId="BoldandItalics">
    <w:name w:val="Bold and Italics"/>
    <w:qFormat/>
    <w:rsid w:val="0042211E"/>
    <w:rPr>
      <w:b/>
      <w:i/>
      <w:u w:val="none"/>
    </w:rPr>
  </w:style>
  <w:style w:type="paragraph" w:styleId="BalloonText">
    <w:name w:val="Balloon Text"/>
    <w:basedOn w:val="Normal"/>
    <w:link w:val="BalloonTextChar"/>
    <w:rsid w:val="0042211E"/>
    <w:rPr>
      <w:rFonts w:ascii="Tahoma" w:hAnsi="Tahoma" w:cs="Tahoma"/>
      <w:sz w:val="16"/>
      <w:szCs w:val="16"/>
    </w:rPr>
  </w:style>
  <w:style w:type="character" w:customStyle="1" w:styleId="BalloonTextChar">
    <w:name w:val="Balloon Text Char"/>
    <w:basedOn w:val="DefaultParagraphFont"/>
    <w:link w:val="BalloonText"/>
    <w:rsid w:val="004221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1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21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11E"/>
    <w:rPr>
      <w:b/>
      <w:color w:val="660033"/>
      <w:spacing w:val="0"/>
    </w:rPr>
  </w:style>
  <w:style w:type="paragraph" w:customStyle="1" w:styleId="Nameditemlist">
    <w:name w:val="Named item list"/>
    <w:basedOn w:val="BodyText"/>
    <w:qFormat/>
    <w:rsid w:val="004221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2432</Words>
  <Characters>14758</Characters>
  <Application>Microsoft Office Word</Application>
  <DocSecurity>0</DocSecurity>
  <Lines>631</Lines>
  <Paragraphs>250</Paragraphs>
  <ScaleCrop>false</ScaleCrop>
  <Company>Author-it Software Corporation Ltd.</Company>
  <LinksUpToDate>false</LinksUpToDate>
  <CharactersWithSpaces>17065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UEGNSG212B Construct, lay and connect a gas distribution service to a plastic main</dc:title>
  <dc:subject>Approved</dc:subject>
  <dc:creator>E-Oz Training Standards</dc:creator>
  <cp:keywords>Release 1</cp:keywords>
  <dc:description>Review Date: 12 April 2008</dc:description>
  <cp:lastModifiedBy>TPCMS</cp:lastModifiedBy>
  <cp:revision>3</cp:revision>
  <dcterms:created xsi:type="dcterms:W3CDTF">2014-03-13T15:17:47Z</dcterms:created>
  <dcterms:modified xsi:type="dcterms:W3CDTF">2014-03-13T03:48:00Z</dcterms:modified>
</cp:coreProperties>
</file>