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E32" w:rsidP="006F5E32">
      <w:pPr>
        <w:pStyle w:val="Title"/>
      </w:pPr>
      <w:r>
        <w:fldChar w:fldCharType="begin"/>
      </w:r>
      <w:r>
        <w:instrText xml:space="preserve"> TITLE   \* MERGEFORMAT </w:instrText>
      </w:r>
      <w:r>
        <w:fldChar w:fldCharType="separate"/>
      </w:r>
      <w:r>
        <w:t>UEGNSG205B Launch and recover PIG in a gas distribution pipeline</w:t>
      </w:r>
      <w:r>
        <w:fldChar w:fldCharType="end"/>
      </w:r>
    </w:p>
    <w:p w:rsidR="006F5E32" w:rsidP="006F5E32">
      <w:pPr>
        <w:pStyle w:val="Version"/>
        <w:sectPr w:rsidSect="007718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861" w:rsidP="00771861">
      <w:pPr>
        <w:pStyle w:val="SuperHeading"/>
      </w:pPr>
      <w:r w:rsidRPr="00771861">
        <w:t>UEGNSG205B Launch and recover PIG in a gas distribution pipeline</w:t>
      </w:r>
    </w:p>
    <w:p w:rsidR="00000000" w:rsidRPr="00771861" w:rsidP="00771861">
      <w:pPr>
        <w:pStyle w:val="Heading1"/>
      </w:pPr>
      <w:bookmarkStart w:id="1" w:name="O_401325"/>
      <w:bookmarkEnd w:id="1"/>
      <w:r w:rsidRPr="00771861">
        <w:t>Modification History</w:t>
      </w:r>
    </w:p>
    <w:p w:rsidR="00000000" w:rsidRPr="00771861" w:rsidP="00771861">
      <w:pPr>
        <w:pStyle w:val="BodyText"/>
      </w:pPr>
      <w:r w:rsidRPr="00771861">
        <w:t>Not applicable.</w:t>
      </w:r>
    </w:p>
    <w:p w:rsidR="00000000" w:rsidRPr="00771861" w:rsidP="00771861">
      <w:pPr>
        <w:pStyle w:val="AllowPageBreak"/>
      </w:pPr>
    </w:p>
    <w:p w:rsidR="00000000" w:rsidRPr="00771861" w:rsidP="00771861">
      <w:pPr>
        <w:pStyle w:val="Heading1"/>
      </w:pPr>
      <w:bookmarkStart w:id="2" w:name="O_401323"/>
      <w:bookmarkEnd w:id="2"/>
      <w:r w:rsidRPr="00771861">
        <w:t>Unit Descriptor</w:t>
      </w:r>
    </w:p>
    <w:tbl>
      <w:tblPr>
        <w:tblW w:w="0" w:type="auto"/>
        <w:tblLayout w:type="fixed"/>
        <w:tblCellMar>
          <w:left w:w="62" w:type="dxa"/>
          <w:right w:w="62" w:type="dxa"/>
        </w:tblCellMar>
        <w:tblLook w:val="0000"/>
      </w:tblPr>
      <w:tblGrid>
        <w:gridCol w:w="2700"/>
        <w:gridCol w:w="5760"/>
      </w:tblGrid>
      <w:tr w:rsidTr="006F5E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1) Scope:</w:t>
            </w:r>
          </w:p>
        </w:tc>
      </w:tr>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186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1.1) Descriptor</w:t>
            </w:r>
          </w:p>
        </w:tc>
      </w:tr>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 xml:space="preserve">This Competency Standard Unit covers the assembly launch and recovery of PIGs in gas distribution pipelines to correct and determine internal condition on pipeline. It also encompasses liaising with authorities; the analysis and interpretation of the data </w:t>
            </w:r>
            <w:r w:rsidRPr="00771861">
              <w:t>captured through the pigging process; using various types of PIGs; testing and inspecting; use of manufacturer’s and legislative requirements.</w:t>
            </w:r>
          </w:p>
        </w:tc>
      </w:tr>
    </w:tbl>
    <w:p w:rsidR="00000000" w:rsidRPr="00771861" w:rsidP="00771861">
      <w:pPr>
        <w:pStyle w:val="BodyText"/>
      </w:pPr>
    </w:p>
    <w:p w:rsidR="00000000" w:rsidRPr="00771861" w:rsidP="00771861">
      <w:pPr>
        <w:pStyle w:val="AllowPageBreak"/>
      </w:pPr>
    </w:p>
    <w:p w:rsidR="00000000" w:rsidRPr="00771861" w:rsidP="00771861">
      <w:pPr>
        <w:pStyle w:val="Heading1"/>
      </w:pPr>
      <w:bookmarkStart w:id="3" w:name="O_401312"/>
      <w:bookmarkEnd w:id="3"/>
      <w:r w:rsidRPr="00771861">
        <w:t>Application of the Unit</w:t>
      </w:r>
    </w:p>
    <w:tbl>
      <w:tblPr>
        <w:tblW w:w="0" w:type="auto"/>
        <w:tblLayout w:type="fixed"/>
        <w:tblCellMar>
          <w:left w:w="62" w:type="dxa"/>
          <w:right w:w="62" w:type="dxa"/>
        </w:tblCellMar>
        <w:tblLook w:val="0000"/>
      </w:tblPr>
      <w:tblGrid>
        <w:gridCol w:w="2672"/>
        <w:gridCol w:w="5699"/>
      </w:tblGrid>
      <w:tr w:rsidTr="006F5E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2)</w:t>
            </w:r>
          </w:p>
        </w:tc>
      </w:tr>
      <w:tr w:rsidTr="006F5E3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This competency standard shall apply to any basic and safe work site where Gas Industry operations occur. It could also apply, where applicable to other workplaces in the electricity supply industry (transmission and distribution and generation), the elect</w:t>
            </w:r>
            <w:r w:rsidRPr="00771861">
              <w:t>rotechnology industry and the water industry, subject to all Occupational Health and Safety and duty of care requirements being met for the workplace.</w:t>
            </w:r>
          </w:p>
        </w:tc>
      </w:tr>
    </w:tbl>
    <w:p w:rsidR="00000000" w:rsidRPr="00771861" w:rsidP="00771861">
      <w:pPr>
        <w:pStyle w:val="BodyText"/>
      </w:pPr>
    </w:p>
    <w:p w:rsidR="00000000" w:rsidRPr="00771861" w:rsidP="00771861">
      <w:pPr>
        <w:pStyle w:val="AllowPageBreak"/>
      </w:pPr>
    </w:p>
    <w:p w:rsidR="00000000" w:rsidRPr="00771861" w:rsidP="00771861">
      <w:pPr>
        <w:pStyle w:val="Heading1"/>
      </w:pPr>
      <w:bookmarkStart w:id="4" w:name="O_401319"/>
      <w:bookmarkEnd w:id="4"/>
      <w:r w:rsidRPr="00771861">
        <w:t>Licensing/Regulatory Information</w:t>
      </w:r>
    </w:p>
    <w:tbl>
      <w:tblPr>
        <w:tblW w:w="0" w:type="auto"/>
        <w:tblLayout w:type="fixed"/>
        <w:tblCellMar>
          <w:left w:w="62" w:type="dxa"/>
          <w:right w:w="62" w:type="dxa"/>
        </w:tblCellMar>
        <w:tblLook w:val="0000"/>
      </w:tblPr>
      <w:tblGrid>
        <w:gridCol w:w="2700"/>
        <w:gridCol w:w="5760"/>
      </w:tblGrid>
      <w:tr w:rsidTr="006F5E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 xml:space="preserve">3) </w:t>
            </w:r>
          </w:p>
        </w:tc>
      </w:tr>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 xml:space="preserve">The skills and knowledge described in this unit are not subject to licence regulation other than those directly related to Occupational Health and Safety, </w:t>
            </w:r>
            <w:r w:rsidRPr="00771861">
              <w:t>gas/electricity/water industry safety and compliance, industrial relations, environmental protection,</w:t>
            </w:r>
            <w:r w:rsidRPr="00771861">
              <w:t xml:space="preserve"> telecommunications, anti discrimination and training. Commonwealth, State/Territory or Local Government legislation and regulations may exist that limits the age of those who can operate certain equipment.</w:t>
            </w:r>
          </w:p>
        </w:tc>
      </w:tr>
    </w:tbl>
    <w:p w:rsidR="00000000" w:rsidRPr="00771861" w:rsidP="00771861">
      <w:pPr>
        <w:pStyle w:val="BodyText"/>
      </w:pPr>
    </w:p>
    <w:p w:rsidR="00000000" w:rsidRPr="00771861" w:rsidP="00771861">
      <w:pPr>
        <w:pStyle w:val="AllowPageBreak"/>
      </w:pPr>
    </w:p>
    <w:p w:rsidR="00000000" w:rsidRPr="00771861" w:rsidP="00771861">
      <w:pPr>
        <w:pStyle w:val="Heading1"/>
      </w:pPr>
      <w:bookmarkStart w:id="5" w:name="O_401320"/>
      <w:bookmarkEnd w:id="5"/>
      <w:r w:rsidRPr="00771861">
        <w:t>Pre-Requisites</w:t>
      </w:r>
    </w:p>
    <w:tbl>
      <w:tblPr>
        <w:tblW w:w="0" w:type="auto"/>
        <w:tblLayout w:type="fixed"/>
        <w:tblCellMar>
          <w:left w:w="62" w:type="dxa"/>
          <w:right w:w="62" w:type="dxa"/>
        </w:tblCellMar>
        <w:tblLook w:val="0000"/>
      </w:tblPr>
      <w:tblGrid>
        <w:gridCol w:w="2700"/>
        <w:gridCol w:w="1800"/>
        <w:gridCol w:w="3960"/>
      </w:tblGrid>
      <w:tr w:rsidTr="006F5E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 xml:space="preserve">4) </w:t>
            </w:r>
          </w:p>
        </w:tc>
      </w:tr>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4.1)</w:t>
            </w:r>
          </w:p>
        </w:tc>
      </w:tr>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Granting of competency in this unit shall be made only after competency in the following unit(s) has/have been confirmed:</w:t>
            </w:r>
          </w:p>
        </w:tc>
      </w:tr>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Nil</w:t>
            </w:r>
          </w:p>
        </w:tc>
        <w:tc>
          <w:tcPr>
            <w:tcW w:w="3960" w:type="dxa"/>
            <w:tcBorders>
              <w:top w:val="nil"/>
              <w:left w:val="nil"/>
              <w:bottom w:val="nil"/>
              <w:right w:val="nil"/>
            </w:tcBorders>
            <w:tcMar>
              <w:top w:w="0" w:type="dxa"/>
              <w:left w:w="62" w:type="dxa"/>
              <w:bottom w:w="0" w:type="dxa"/>
              <w:right w:w="62" w:type="dxa"/>
            </w:tcMar>
          </w:tcPr>
          <w:p w:rsidR="00000000" w:rsidRPr="00771861" w:rsidP="00771861">
            <w:pPr>
              <w:pStyle w:val="BodyText"/>
            </w:pPr>
          </w:p>
        </w:tc>
      </w:tr>
    </w:tbl>
    <w:p w:rsidR="00000000" w:rsidRPr="00771861" w:rsidP="0077186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 xml:space="preserve">4.2) </w:t>
            </w:r>
          </w:p>
          <w:p w:rsidR="00000000" w:rsidP="00771861">
            <w:pPr>
              <w:pStyle w:val="BodyText"/>
              <w:rPr>
                <w:lang w:val="en-NZ"/>
              </w:rPr>
            </w:pPr>
            <w:r w:rsidRPr="00771861">
              <w:t>Participants are best equipped to achieve this unit if they have reading, writing and numeracy skills indicated by the following scales. Description of each scale is given in Volume 2, Part 3 ‘Literacy and Numeracy’</w:t>
            </w:r>
          </w:p>
        </w:tc>
      </w:tr>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Reading</w:t>
            </w:r>
          </w:p>
        </w:tc>
        <w:tc>
          <w:tcPr>
            <w:tcW w:w="81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3</w:t>
            </w:r>
          </w:p>
        </w:tc>
        <w:tc>
          <w:tcPr>
            <w:tcW w:w="9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Writing</w:t>
            </w: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3</w:t>
            </w:r>
          </w:p>
        </w:tc>
        <w:tc>
          <w:tcPr>
            <w:tcW w:w="12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Numeracy</w:t>
            </w:r>
          </w:p>
        </w:tc>
        <w:tc>
          <w:tcPr>
            <w:tcW w:w="72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3</w:t>
            </w:r>
          </w:p>
        </w:tc>
      </w:tr>
    </w:tbl>
    <w:p w:rsidR="00000000" w:rsidRPr="00771861" w:rsidP="00771861">
      <w:pPr>
        <w:pStyle w:val="BodyText"/>
      </w:pPr>
    </w:p>
    <w:p w:rsidR="00000000" w:rsidRPr="00771861" w:rsidP="00771861">
      <w:pPr>
        <w:pStyle w:val="AllowPageBreak"/>
      </w:pPr>
    </w:p>
    <w:p w:rsidR="00000000" w:rsidRPr="00771861" w:rsidP="00771861">
      <w:pPr>
        <w:pStyle w:val="Heading1"/>
      </w:pPr>
      <w:bookmarkStart w:id="6" w:name="O_401316"/>
      <w:bookmarkEnd w:id="6"/>
      <w:r w:rsidRPr="00771861">
        <w:t>Employability Skills Information</w:t>
      </w:r>
    </w:p>
    <w:tbl>
      <w:tblPr>
        <w:tblW w:w="0" w:type="auto"/>
        <w:tblLayout w:type="fixed"/>
        <w:tblCellMar>
          <w:left w:w="62" w:type="dxa"/>
          <w:right w:w="62" w:type="dxa"/>
        </w:tblCellMar>
        <w:tblLook w:val="0000"/>
      </w:tblPr>
      <w:tblGrid>
        <w:gridCol w:w="2700"/>
        <w:gridCol w:w="5760"/>
      </w:tblGrid>
      <w:tr w:rsidTr="006F5E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 xml:space="preserve">5) </w:t>
            </w:r>
          </w:p>
        </w:tc>
      </w:tr>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This unit contains Employability Skills</w:t>
            </w:r>
          </w:p>
        </w:tc>
      </w:tr>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71861">
              <w:t>requirements.</w:t>
            </w:r>
          </w:p>
        </w:tc>
      </w:tr>
    </w:tbl>
    <w:p w:rsidR="00000000" w:rsidRPr="00771861" w:rsidP="00771861">
      <w:pPr>
        <w:pStyle w:val="BodyText"/>
      </w:pPr>
    </w:p>
    <w:p w:rsidR="00000000" w:rsidRPr="00771861" w:rsidP="00771861">
      <w:pPr>
        <w:pStyle w:val="AllowPageBreak"/>
      </w:pPr>
    </w:p>
    <w:p w:rsidR="00000000" w:rsidRPr="00771861" w:rsidP="00771861">
      <w:pPr>
        <w:pStyle w:val="Heading1"/>
      </w:pPr>
      <w:bookmarkStart w:id="7" w:name="O_401315"/>
      <w:bookmarkEnd w:id="7"/>
      <w:r w:rsidRPr="00771861">
        <w:t>Elements and Performance Criteria Pre-Content</w:t>
      </w:r>
    </w:p>
    <w:tbl>
      <w:tblPr>
        <w:tblW w:w="0" w:type="auto"/>
        <w:tblLayout w:type="fixed"/>
        <w:tblCellMar>
          <w:left w:w="62" w:type="dxa"/>
          <w:right w:w="62" w:type="dxa"/>
        </w:tblCellMar>
        <w:tblLook w:val="0000"/>
      </w:tblPr>
      <w:tblGrid>
        <w:gridCol w:w="2700"/>
        <w:gridCol w:w="5760"/>
      </w:tblGrid>
      <w:tr w:rsidTr="006F5E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6)</w:t>
            </w:r>
            <w:r w:rsidRPr="0077186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Performance Criteria describe the required performance needed to demonstrate achievement of the element</w:t>
            </w:r>
            <w:r w:rsidRPr="00771861">
              <w:t>. Assessment of performance is to be consistent with the Evidence Guide.</w:t>
            </w:r>
          </w:p>
        </w:tc>
      </w:tr>
    </w:tbl>
    <w:p w:rsidR="00000000" w:rsidRPr="00771861" w:rsidP="00771861">
      <w:pPr>
        <w:pStyle w:val="BodyText"/>
      </w:pPr>
    </w:p>
    <w:p w:rsidR="00000000" w:rsidRPr="00771861" w:rsidP="00771861">
      <w:pPr>
        <w:pStyle w:val="AllowPageBreak"/>
      </w:pPr>
    </w:p>
    <w:p w:rsidR="00000000" w:rsidRPr="00771861" w:rsidP="00771861">
      <w:pPr>
        <w:pStyle w:val="Heading1"/>
      </w:pPr>
      <w:bookmarkStart w:id="8" w:name="O_401314"/>
      <w:bookmarkEnd w:id="8"/>
      <w:r w:rsidRPr="0077186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F5E3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PERFORMANCE CRITERIA</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w:t>
            </w:r>
          </w:p>
        </w:tc>
        <w:tc>
          <w:tcPr>
            <w:tcW w:w="2296"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Prepare and plan for pigging gas distribution pipeline </w:t>
            </w: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1.1</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Distribution pipeline pigging operation is prepared and confirmed as per the work schedule(s), including drawings, plans, requirements and established procedures </w:t>
            </w:r>
          </w:p>
        </w:tc>
      </w:tr>
      <w:tr w:rsidTr="006F5E32">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1.2</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Relevant requirements and established procedures for the work are communicated to all persons and identified for all work sites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1.3</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OHS, environmental and sustainable energy policies and procedures related to the launch and recovery of gas distribution </w:t>
            </w:r>
            <w:r w:rsidRPr="00771861">
              <w:t xml:space="preserve">pipeline PIG are obtained and confirmed for the purposes of the work performed and communicated </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1.4</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Work is prioritised and sequenced following consultation with others for completion within acceptable timeframes and in accordance with established proc</w:t>
            </w:r>
            <w:r w:rsidRPr="00771861">
              <w:t>edures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1.5</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Risk control measures for identified hazards are implemented, prioritised and monitored against the work schedule</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1.6</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Relevant work permits are obtained to access, isolate/de-energise systems and perform work according to requirements and established procedures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1.7</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Resources including persons, equipment, tools and personal protective equipment required for the job are </w:t>
            </w:r>
            <w:r w:rsidRPr="00771861">
              <w:t>identified, scheduled and obtained and confirmed in working order</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1.8</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Relevant persons at worksite are confirmed to be current in First Aid and other related work procedures according to requirements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1.9</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Liaison and communication with authorised persons, authorities, clients and land-owners is completed so work can be carried out where necessary</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1.10</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Site PIG and pipeline is prepared according to the work schedule and to minimise risk and damage to prop</w:t>
            </w:r>
            <w:r w:rsidRPr="00771861">
              <w:t>erty, commerce and individuals in accordance with established procedures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1.11</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Persons participating in the work, including plant operators and contractors are fully briefed and respective responsibilities confirmed where applicable in accordance with es</w:t>
            </w:r>
            <w:r w:rsidRPr="00771861">
              <w:t xml:space="preserve">tablished procedures </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1.12</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Road signs, barriers and warning devices are positioned in accordance with requirements </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w:t>
            </w:r>
          </w:p>
        </w:tc>
        <w:tc>
          <w:tcPr>
            <w:tcW w:w="2296"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Launch, and recover distribution pipeline PIG</w:t>
            </w: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2.1</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OHS policies and procedures and safe work practices are followed to eliminate or min</w:t>
            </w:r>
            <w:r w:rsidRPr="00771861">
              <w:t>imise incidents and hazards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2.2</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Lifting, climbing, working in confined spaces or aloft, and use of power tools, techniques and practices are safely followed and currency according to requirements confirmed</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2.3</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Essential Knowledge and Associated Skills are applied to the launch and recovery of a gas distribution pipeline PIG to ensure completion in an agreed timeframe and to quality standards with a minimum of waste according to requirements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2.4</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Performing the</w:t>
            </w:r>
            <w:r w:rsidRPr="00771861">
              <w:t xml:space="preserve"> launch and recovery of gas distribution pipeline PIG is carried out in accordance with the work schedule and to established procedures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2.5</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Hazard warnings and safety signs are recognised and hazards and assessed OHS risks are reported to the authorised</w:t>
            </w:r>
            <w:r w:rsidRPr="00771861">
              <w:t xml:space="preserve"> persons for directions according to established procedures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2.6</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Data/results from distribution pipeline pigging operations is gathered/retrieved and analysed to determine internal pipeline conditions in </w:t>
            </w:r>
            <w:r w:rsidRPr="00771861">
              <w:t xml:space="preserve">accordance with requirements and established procedures </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2.7</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Tests and inspecting of the pipeline and pigging equipment is conducted in accordance with requirements and established procedures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2.8</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Unplanned events in the launch and recovery of a gas d</w:t>
            </w:r>
            <w:r w:rsidRPr="00771861">
              <w:t xml:space="preserve">istribution pipeline PIG is undertaken within the scope of established procedures </w:t>
            </w:r>
          </w:p>
        </w:tc>
      </w:tr>
      <w:tr w:rsidTr="006F5E32">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2.9</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Known solutions to a variety of problems are applied using acquired Essential Knowledge and Associated Skills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2.10</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Ongoing checks of work quality are undertaken in accordance with given instructions and established procedures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3</w:t>
            </w:r>
          </w:p>
        </w:tc>
        <w:tc>
          <w:tcPr>
            <w:tcW w:w="2296"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Re-establish distribution pipeline to operational conditions and notify of completion of work</w:t>
            </w: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3.1</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Inspection of the received PIG is undertaken</w:t>
            </w:r>
            <w:r w:rsidRPr="00771861">
              <w:t xml:space="preserve"> to determine the wear sustained to the PIG, material is checked against works schedule for conformance with requirements and anomalies reported in accordance with established procedures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3.2</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Accidents and injuries are reported in accordance with require</w:t>
            </w:r>
            <w:r w:rsidRPr="00771861">
              <w:t>ments and established procedures where applicable</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3.3</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Waste materials are safely disposed of and the work site is rehabilitated, cleaned up and made safe in accordance with given instructions and established procedures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3.4</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Tools, equipment and any surplus resources and materials are, where appropriate, cleaned, checked and returned to storage in accordance with established procedures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3.5</w:t>
            </w:r>
          </w:p>
        </w:tc>
        <w:tc>
          <w:tcPr>
            <w:tcW w:w="48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Relevant work permit(s) are signed off and equipment is returned to service in accord</w:t>
            </w:r>
            <w:r w:rsidRPr="00771861">
              <w:t>ance with requirements</w:t>
            </w:r>
          </w:p>
        </w:tc>
      </w:tr>
      <w:tr w:rsidTr="006F5E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3.6</w:t>
            </w:r>
          </w:p>
        </w:tc>
        <w:tc>
          <w:tcPr>
            <w:tcW w:w="486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Data is accurately recorded and work completion records, reports as modified drawings and documentation and information are finalised and processed and appropriate persons notified</w:t>
            </w:r>
          </w:p>
        </w:tc>
      </w:tr>
    </w:tbl>
    <w:p w:rsidR="00000000" w:rsidRPr="00771861" w:rsidP="00771861">
      <w:pPr>
        <w:pStyle w:val="BodyText"/>
      </w:pPr>
    </w:p>
    <w:p w:rsidR="00000000" w:rsidRPr="00771861" w:rsidP="00771861">
      <w:pPr>
        <w:pStyle w:val="AllowPageBreak"/>
      </w:pPr>
    </w:p>
    <w:p w:rsidR="00000000" w:rsidRPr="00771861" w:rsidP="00771861">
      <w:pPr>
        <w:pStyle w:val="Heading1"/>
      </w:pPr>
      <w:bookmarkStart w:id="9" w:name="O_401322"/>
      <w:bookmarkEnd w:id="9"/>
      <w:r w:rsidRPr="00771861">
        <w:t>Required Skills and Knowledge</w:t>
      </w:r>
    </w:p>
    <w:tbl>
      <w:tblPr>
        <w:tblW w:w="0" w:type="auto"/>
        <w:tblLayout w:type="fixed"/>
        <w:tblCellMar>
          <w:left w:w="62" w:type="dxa"/>
          <w:right w:w="62" w:type="dxa"/>
        </w:tblCellMar>
        <w:tblLook w:val="0000"/>
      </w:tblPr>
      <w:tblGrid>
        <w:gridCol w:w="8460"/>
      </w:tblGrid>
      <w:tr w:rsidTr="006F5E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REQUIRED SKILLS AND KNOWLEDGE</w:t>
            </w:r>
          </w:p>
        </w:tc>
      </w:tr>
      <w:tr w:rsidTr="006F5E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 xml:space="preserve">8) </w:t>
            </w:r>
            <w:r w:rsidRPr="00771861">
              <w:t>This describes the essential skills and knowledge and their level, required for this unit.</w:t>
            </w:r>
          </w:p>
        </w:tc>
      </w:tr>
      <w:tr w:rsidTr="006F5E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Evidence shall show that knowledge has been acquired of safe working practices for the launching and</w:t>
            </w:r>
            <w:r w:rsidRPr="00771861">
              <w:t xml:space="preserve"> recovering of a pig in a gas distribution pipeline.</w:t>
            </w:r>
          </w:p>
        </w:tc>
      </w:tr>
      <w:tr w:rsidTr="006F5E32">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 xml:space="preserve">All knowledge and skills detailed in this unit should be contextualised to current industry practices and technologies. </w:t>
            </w:r>
          </w:p>
        </w:tc>
      </w:tr>
    </w:tbl>
    <w:p w:rsidR="00000000" w:rsidRPr="00771861" w:rsidP="00771861">
      <w:pPr>
        <w:pStyle w:val="BodyText"/>
      </w:pPr>
    </w:p>
    <w:tbl>
      <w:tblPr>
        <w:tblW w:w="0" w:type="auto"/>
        <w:tblLayout w:type="fixed"/>
        <w:tblCellMar>
          <w:left w:w="62" w:type="dxa"/>
          <w:right w:w="62" w:type="dxa"/>
        </w:tblCellMar>
        <w:tblLook w:val="0000"/>
      </w:tblPr>
      <w:tblGrid>
        <w:gridCol w:w="1440"/>
        <w:gridCol w:w="990"/>
        <w:gridCol w:w="6030"/>
      </w:tblGrid>
      <w:tr w:rsidTr="006F5E32">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KS01-G205B</w:t>
            </w:r>
          </w:p>
        </w:tc>
        <w:tc>
          <w:tcPr>
            <w:tcW w:w="7020" w:type="dxa"/>
            <w:gridSpan w:val="2"/>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PIG launch and recovery</w:t>
            </w:r>
          </w:p>
        </w:tc>
      </w:tr>
      <w:tr w:rsidTr="006F5E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G 3.3.38 </w:t>
            </w:r>
          </w:p>
        </w:tc>
        <w:tc>
          <w:tcPr>
            <w:tcW w:w="603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Set up of pipeline for pigging</w:t>
            </w:r>
          </w:p>
          <w:p w:rsidR="00000000" w:rsidRPr="00771861" w:rsidP="00771861">
            <w:pPr>
              <w:pStyle w:val="BodyText"/>
            </w:pPr>
            <w:r w:rsidRPr="00771861">
              <w:t>Evidence shall show an understanding of the correct pipeline set up for the launching and recovery of a PIG, indicated by the following:</w:t>
            </w:r>
          </w:p>
          <w:p w:rsidR="00000000" w:rsidRPr="00771861" w:rsidP="00771861">
            <w:pPr>
              <w:pStyle w:val="ListBullet"/>
            </w:pPr>
            <w:r w:rsidRPr="00771861">
              <w:t>pipeline is set up correctly according to requirements</w:t>
            </w:r>
          </w:p>
          <w:p w:rsidR="00000000" w:rsidP="00771861">
            <w:pPr>
              <w:pStyle w:val="ListBullet"/>
              <w:rPr>
                <w:lang w:val="en-NZ"/>
              </w:rPr>
            </w:pPr>
            <w:r w:rsidRPr="00771861">
              <w:t>appropriate authorities and persons are identified and notified</w:t>
            </w:r>
            <w:r w:rsidRPr="00771861">
              <w:t xml:space="preserve"> according requirements.</w:t>
            </w:r>
          </w:p>
        </w:tc>
      </w:tr>
      <w:tr w:rsidTr="006F5E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G 3.3.39 </w:t>
            </w:r>
          </w:p>
        </w:tc>
        <w:tc>
          <w:tcPr>
            <w:tcW w:w="603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Assembly and use of pig</w:t>
            </w:r>
          </w:p>
          <w:p w:rsidR="00000000" w:rsidRPr="00771861" w:rsidP="00771861">
            <w:pPr>
              <w:pStyle w:val="BodyText"/>
            </w:pPr>
            <w:r w:rsidRPr="00771861">
              <w:t>Evidence shall show an understanding of how to assemble and launch and recover a PIG, indicated by the following:</w:t>
            </w:r>
          </w:p>
          <w:p w:rsidR="00000000" w:rsidRPr="00771861" w:rsidP="00771861">
            <w:pPr>
              <w:pStyle w:val="ListBullet"/>
            </w:pPr>
            <w:r w:rsidRPr="00771861">
              <w:t>understanding the different types of PIGs available</w:t>
            </w:r>
          </w:p>
          <w:p w:rsidR="00000000" w:rsidRPr="00771861" w:rsidP="00771861">
            <w:pPr>
              <w:pStyle w:val="ListBullet"/>
            </w:pPr>
            <w:r w:rsidRPr="00771861">
              <w:t>manufacturer's operating instructions</w:t>
            </w:r>
          </w:p>
          <w:p w:rsidR="00000000" w:rsidP="00771861">
            <w:pPr>
              <w:pStyle w:val="ListBullet"/>
              <w:rPr>
                <w:lang w:val="en-NZ"/>
              </w:rPr>
            </w:pPr>
            <w:r w:rsidRPr="00771861">
              <w:t>legislative requirements for using PIGs.</w:t>
            </w:r>
          </w:p>
        </w:tc>
      </w:tr>
      <w:tr w:rsidTr="006F5E32">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G 3.3.41 </w:t>
            </w:r>
          </w:p>
        </w:tc>
        <w:tc>
          <w:tcPr>
            <w:tcW w:w="603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Select and use appropriate tools and equipment for pigging</w:t>
            </w:r>
          </w:p>
          <w:p w:rsidR="00000000" w:rsidRPr="00771861" w:rsidP="00771861">
            <w:pPr>
              <w:pStyle w:val="BodyText"/>
            </w:pPr>
            <w:r w:rsidRPr="00771861">
              <w:t>Evidence shall show an understanding of the requirements to select and use the appropriate tools and equip</w:t>
            </w:r>
            <w:r w:rsidRPr="00771861">
              <w:t>ment for pigging, indicated by the following:</w:t>
            </w:r>
          </w:p>
          <w:p w:rsidR="00000000" w:rsidRPr="00771861" w:rsidP="00771861">
            <w:pPr>
              <w:pStyle w:val="ListBullet"/>
            </w:pPr>
            <w:r w:rsidRPr="00771861">
              <w:t>testing and inspection methods and their appropriate applications</w:t>
            </w:r>
          </w:p>
          <w:p w:rsidR="00000000" w:rsidRPr="00771861" w:rsidP="00771861">
            <w:pPr>
              <w:pStyle w:val="ListBullet"/>
            </w:pPr>
            <w:r w:rsidRPr="00771861">
              <w:t>appropriate use of test and inspection equipment.</w:t>
            </w:r>
          </w:p>
        </w:tc>
      </w:tr>
    </w:tbl>
    <w:p w:rsidR="006F5E32" w:rsidP="00771861">
      <w:pPr>
        <w:pStyle w:val="BodyText"/>
      </w:pPr>
    </w:p>
    <w:p w:rsidR="006F5E32" w:rsidP="00771861">
      <w:pPr>
        <w:pStyle w:val="BodyText"/>
      </w:pPr>
    </w:p>
    <w:p w:rsidR="00000000" w:rsidRPr="00771861" w:rsidP="00771861">
      <w:pPr>
        <w:pStyle w:val="Heading1"/>
      </w:pPr>
      <w:bookmarkStart w:id="10" w:name="O_401317"/>
      <w:bookmarkEnd w:id="10"/>
      <w:r w:rsidRPr="00771861">
        <w:t>Evidence Guide</w:t>
      </w:r>
    </w:p>
    <w:tbl>
      <w:tblPr>
        <w:tblW w:w="0" w:type="auto"/>
        <w:tblLayout w:type="fixed"/>
        <w:tblCellMar>
          <w:left w:w="62" w:type="dxa"/>
          <w:right w:w="62" w:type="dxa"/>
        </w:tblCellMar>
        <w:tblLook w:val="0000"/>
      </w:tblPr>
      <w:tblGrid>
        <w:gridCol w:w="8460"/>
      </w:tblGrid>
      <w:tr w:rsidTr="006F5E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EVIDENCE GUIDE</w:t>
            </w:r>
          </w:p>
        </w:tc>
      </w:tr>
      <w:tr w:rsidTr="006F5E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9)</w:t>
            </w:r>
            <w:r w:rsidRPr="00771861">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771861" w:rsidP="00771861">
      <w:pPr>
        <w:pStyle w:val="BodyText"/>
      </w:pPr>
    </w:p>
    <w:tbl>
      <w:tblPr>
        <w:tblW w:w="0" w:type="auto"/>
        <w:tblLayout w:type="fixed"/>
        <w:tblCellMar>
          <w:left w:w="62" w:type="dxa"/>
          <w:right w:w="62" w:type="dxa"/>
        </w:tblCellMar>
        <w:tblLook w:val="0000"/>
      </w:tblPr>
      <w:tblGrid>
        <w:gridCol w:w="1890"/>
        <w:gridCol w:w="6570"/>
      </w:tblGrid>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Overview of Assessmen</w:t>
            </w:r>
            <w:r w:rsidRPr="00771861">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9.1)</w:t>
            </w:r>
          </w:p>
        </w:tc>
      </w:tr>
      <w:tr w:rsidTr="006F5E32">
        <w:tblPrEx>
          <w:tblW w:w="0" w:type="auto"/>
          <w:tblLayout w:type="fixed"/>
          <w:tblCellMar>
            <w:left w:w="62" w:type="dxa"/>
            <w:right w:w="62" w:type="dxa"/>
          </w:tblCellMar>
          <w:tblLook w:val="0000"/>
        </w:tblPrEx>
        <w:trPr>
          <w:trHeight w:val="277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Longitudinal competency development approaches to assessment, such as Profiling, require data to be reliably gathered in a form that can be consistently interpreted over time. This approach is best utilised in Apprenticeship programs and reduces a</w:t>
            </w:r>
            <w:r w:rsidRPr="00771861">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771861">
              <w:t>the competency in a realistically simulated work environment. It is recognised that, in some circumstances, assessment in part or full can occur outside the workplace. However, it must be in accord with Industry regulatory policy in this regard.</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Methods chosen for a particular assessment will be influenced by various factors. These include the extent of the assessment, the most effective locations for the assessment activities to take place, access to physical resources, additional safety measures</w:t>
            </w:r>
            <w:r w:rsidRPr="00771861">
              <w:t xml:space="preserve"> that may be required and the critical nature of the competencies being assessed.</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The critical safety nature of working with electricity, electrical equipment, gas or any other hazardous substance/material carries risk in deeming a person competent. Henc</w:t>
            </w:r>
            <w:r w:rsidRPr="00771861">
              <w:t>e, sources of evidence need to be ‘rich’ in nature so as to minimise error in judgment.</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Activities associated with normal every day work have a bearing on the decision as to how much and how detailed the data gathered will contribute to its ‘richness’. S</w:t>
            </w:r>
            <w:r w:rsidRPr="00771861">
              <w:t>ome skills are more critical to safety and operational requirements while the same skills may be more or less frequently practiced. These points are raised for the assessors to consider when choosing an assessment method and developing assessment instrumen</w:t>
            </w:r>
            <w:r w:rsidRPr="00771861">
              <w:t>ts. Sample assessment instruments are included for Assessors in the Assessment Guidelines of this Training Package.</w:t>
            </w:r>
          </w:p>
        </w:tc>
      </w:tr>
    </w:tbl>
    <w:p w:rsidR="00000000" w:rsidRPr="00771861" w:rsidP="00771861">
      <w:pPr>
        <w:pStyle w:val="BodyText"/>
      </w:pPr>
    </w:p>
    <w:tbl>
      <w:tblPr>
        <w:tblW w:w="0" w:type="auto"/>
        <w:tblLayout w:type="fixed"/>
        <w:tblCellMar>
          <w:left w:w="62" w:type="dxa"/>
          <w:right w:w="62" w:type="dxa"/>
        </w:tblCellMar>
        <w:tblLook w:val="0000"/>
      </w:tblPr>
      <w:tblGrid>
        <w:gridCol w:w="1890"/>
        <w:gridCol w:w="6570"/>
      </w:tblGrid>
      <w:tr w:rsidTr="006F5E32">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9.2)</w:t>
            </w:r>
          </w:p>
        </w:tc>
      </w:tr>
      <w:tr w:rsidTr="006F5E32">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Before the critical aspects of evidence are considered all prerequisites shall be met.</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Evidence for competence in this unit shall be considered holistically. Each element and associated Performance Criteria shall be demonstrated on at least two occasions</w:t>
            </w:r>
            <w:r w:rsidRPr="00771861">
              <w:t xml:space="preserve"> in accordance with the ‘Assessment Guidelines — UEG11’. Evidence shall also comprise.</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
              <w:rPr>
                <w:lang w:val="en-NZ"/>
              </w:rPr>
            </w:pPr>
            <w:r w:rsidRPr="00771861">
              <w:t>A representative body of Performance Criteria demonstrated within the timeframes typically expected of the discipline, work function and industrial environment. In pa</w:t>
            </w:r>
            <w:r w:rsidRPr="00771861">
              <w:t>rticular this shall incorporate evidence that shows a candidate is able to:</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2"/>
              <w:rPr>
                <w:lang w:val="en-NZ"/>
              </w:rPr>
            </w:pPr>
            <w:r w:rsidRPr="00771861">
              <w:t>Implement Occupational Health and Safety workplace procedures and practices including the use of risk control measures as specified in the Performance Criteria and range</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2"/>
              <w:rPr>
                <w:lang w:val="en-NZ"/>
              </w:rPr>
            </w:pPr>
            <w:r w:rsidRPr="00771861">
              <w:t>Apply sustainable energy principles and practices as specified in the Performance Criteria and range</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2"/>
              <w:rPr>
                <w:lang w:val="en-NZ"/>
              </w:rPr>
            </w:pPr>
            <w:r w:rsidRPr="00771861">
              <w:t>Demonstrate an understanding of the essential knowledge and associated skills as described in this unit to such an extent that the learner’</w:t>
            </w:r>
            <w:r w:rsidRPr="00771861">
              <w:t>s performance outcome is reported in accordance with the preferred approach; namely a percentile graded result, where required by the regulated environment</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2"/>
              <w:rPr>
                <w:lang w:val="en-NZ"/>
              </w:rPr>
            </w:pPr>
            <w:r w:rsidRPr="00771861">
              <w:t>Demonstrate an appropriate level of employability skills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2"/>
              <w:rPr>
                <w:lang w:val="en-NZ"/>
              </w:rPr>
            </w:pPr>
            <w:r w:rsidRPr="00771861">
              <w:t>Conduct work observing the relevant a</w:t>
            </w:r>
            <w:r w:rsidRPr="00771861">
              <w:t>nti discrimination legislation, regulations, polices and workplace procedures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771861" w:rsidP="00771861">
            <w:pPr>
              <w:pStyle w:val="ListBullet"/>
            </w:pPr>
            <w:r w:rsidRPr="00771861">
              <w:t>Demonstrate performance across a representative range of contexts from the prescribed items below.</w:t>
            </w:r>
          </w:p>
        </w:tc>
      </w:tr>
    </w:tbl>
    <w:p w:rsidR="00000000" w:rsidRPr="00771861" w:rsidP="00771861">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6F5E32">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71861">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rPr>
                <w:rStyle w:val="SpecialBold"/>
              </w:rPr>
              <w:t>Range of tools/equipment/procedures/workplace</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771861">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rPr>
                <w:rStyle w:val="SpecialBold"/>
              </w:rPr>
              <w:t>Item List</w:t>
            </w:r>
          </w:p>
        </w:tc>
      </w:tr>
      <w:tr w:rsidTr="006F5E32">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Interpret technical drawings and symbols</w:t>
            </w:r>
          </w:p>
          <w:p w:rsidR="00000000" w:rsidRPr="00771861" w:rsidP="00771861">
            <w:pPr>
              <w:pStyle w:val="BodyText"/>
            </w:pPr>
            <w:r w:rsidRPr="00771861">
              <w:t>Ensure emergency response procedures in place</w:t>
            </w:r>
          </w:p>
          <w:p w:rsidR="00000000" w:rsidRPr="00771861" w:rsidP="00771861">
            <w:pPr>
              <w:pStyle w:val="BodyText"/>
            </w:pPr>
            <w:r w:rsidRPr="00771861">
              <w:t>Communicate with other authorities and stakeholders</w:t>
            </w:r>
          </w:p>
          <w:p w:rsidR="00000000" w:rsidRPr="00771861" w:rsidP="00771861">
            <w:pPr>
              <w:pStyle w:val="BodyText"/>
            </w:pPr>
            <w:r w:rsidRPr="00771861">
              <w:t>Communicate schedules/coordinate to persons</w:t>
            </w:r>
          </w:p>
          <w:p w:rsidR="00000000" w:rsidRPr="00771861" w:rsidP="00771861">
            <w:pPr>
              <w:pStyle w:val="BodyText"/>
            </w:pPr>
            <w:r w:rsidRPr="00771861">
              <w:t>Carry out job safety analysis</w:t>
            </w:r>
          </w:p>
          <w:p w:rsidR="00000000" w:rsidRPr="00771861" w:rsidP="00771861">
            <w:pPr>
              <w:pStyle w:val="BodyText"/>
            </w:pPr>
            <w:r w:rsidRPr="00771861">
              <w:t>Obtain work permit</w:t>
            </w:r>
          </w:p>
          <w:p w:rsidR="00000000" w:rsidP="00771861">
            <w:pPr>
              <w:pStyle w:val="BodyText"/>
              <w:rPr>
                <w:lang w:val="en-NZ"/>
              </w:rPr>
            </w:pPr>
            <w:r w:rsidRPr="00771861">
              <w:t>Use and interpret Dial Before You Dig report or its equivalent</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Excavation</w:t>
            </w:r>
          </w:p>
          <w:p w:rsidR="00000000" w:rsidRPr="00771861" w:rsidP="00771861">
            <w:pPr>
              <w:pStyle w:val="BodyText"/>
            </w:pPr>
            <w:r w:rsidRPr="00771861">
              <w:t>Trenching</w:t>
            </w:r>
          </w:p>
          <w:p w:rsidR="00000000" w:rsidRPr="00771861" w:rsidP="00771861">
            <w:pPr>
              <w:pStyle w:val="BodyText"/>
            </w:pPr>
            <w:r w:rsidRPr="00771861">
              <w:t>Shoring</w:t>
            </w:r>
          </w:p>
          <w:p w:rsidR="00000000" w:rsidRPr="00771861" w:rsidP="00771861">
            <w:pPr>
              <w:pStyle w:val="BodyText"/>
            </w:pPr>
            <w:r w:rsidRPr="00771861">
              <w:t>Stitch bore</w:t>
            </w:r>
          </w:p>
          <w:p w:rsidR="00000000" w:rsidRPr="00771861" w:rsidP="00771861">
            <w:pPr>
              <w:pStyle w:val="BodyText"/>
            </w:pPr>
            <w:r w:rsidRPr="00771861">
              <w:t>Horizontal drilling</w:t>
            </w:r>
          </w:p>
          <w:p w:rsidR="00000000" w:rsidP="00771861">
            <w:pPr>
              <w:pStyle w:val="BodyText"/>
              <w:rPr>
                <w:lang w:val="en-NZ"/>
              </w:rPr>
            </w:pPr>
            <w:r w:rsidRPr="00771861">
              <w:t>Directional drilling</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Nylon (Polyamide) pipeline laying techniques</w:t>
            </w:r>
          </w:p>
          <w:p w:rsidR="00000000" w:rsidRPr="00771861" w:rsidP="00771861">
            <w:pPr>
              <w:pStyle w:val="BodyText"/>
            </w:pPr>
            <w:r w:rsidRPr="00771861">
              <w:t>Nylon gluing</w:t>
            </w:r>
          </w:p>
          <w:p w:rsidR="00000000" w:rsidRPr="00771861" w:rsidP="00771861">
            <w:pPr>
              <w:pStyle w:val="BodyText"/>
            </w:pPr>
            <w:r w:rsidRPr="00771861">
              <w:t>Nylon Stop Off</w:t>
            </w:r>
          </w:p>
          <w:p w:rsidR="00000000" w:rsidRPr="00771861" w:rsidP="00771861">
            <w:pPr>
              <w:pStyle w:val="BodyText"/>
            </w:pPr>
            <w:r w:rsidRPr="00771861">
              <w:t>Connection to nylon PE</w:t>
            </w:r>
          </w:p>
          <w:p w:rsidR="00000000" w:rsidP="00771861">
            <w:pPr>
              <w:pStyle w:val="BodyText"/>
              <w:rPr>
                <w:lang w:val="en-NZ"/>
              </w:rPr>
            </w:pPr>
            <w:r w:rsidRPr="00771861">
              <w:t>Practical application of AS3723 Installation and maintenance of plastic pipe systems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PE Pipeline laying techniques</w:t>
            </w:r>
          </w:p>
          <w:p w:rsidR="00000000" w:rsidRPr="00771861" w:rsidP="00771861">
            <w:pPr>
              <w:pStyle w:val="BodyText"/>
            </w:pPr>
            <w:r w:rsidRPr="00771861">
              <w:t xml:space="preserve">Large Diameter </w:t>
            </w:r>
            <w:r w:rsidRPr="00771861">
              <w:t>PE</w:t>
            </w:r>
          </w:p>
          <w:p w:rsidR="00000000" w:rsidRPr="00771861" w:rsidP="00771861">
            <w:pPr>
              <w:pStyle w:val="BodyText"/>
            </w:pPr>
            <w:r w:rsidRPr="00771861">
              <w:t>PE Electro Fusion</w:t>
            </w:r>
          </w:p>
          <w:p w:rsidR="00000000" w:rsidRPr="00771861" w:rsidP="00771861">
            <w:pPr>
              <w:pStyle w:val="BodyText"/>
            </w:pPr>
            <w:r w:rsidRPr="00771861">
              <w:t>PE Butt Fusion</w:t>
            </w:r>
          </w:p>
          <w:p w:rsidR="00000000" w:rsidRPr="00771861" w:rsidP="00771861">
            <w:pPr>
              <w:pStyle w:val="BodyText"/>
            </w:pPr>
            <w:r w:rsidRPr="00771861">
              <w:t>Saddle Fusion</w:t>
            </w:r>
          </w:p>
          <w:p w:rsidR="00000000" w:rsidRPr="00771861" w:rsidP="00771861">
            <w:pPr>
              <w:pStyle w:val="BodyText"/>
            </w:pPr>
            <w:r w:rsidRPr="00771861">
              <w:t>Socket Fusion</w:t>
            </w:r>
          </w:p>
          <w:p w:rsidR="00000000" w:rsidRPr="00771861" w:rsidP="00771861">
            <w:pPr>
              <w:pStyle w:val="BodyText"/>
            </w:pPr>
            <w:r w:rsidRPr="00771861">
              <w:t>PE Stop Off</w:t>
            </w:r>
          </w:p>
          <w:p w:rsidR="00000000" w:rsidRPr="00771861" w:rsidP="00771861">
            <w:pPr>
              <w:pStyle w:val="BodyText"/>
            </w:pPr>
            <w:r w:rsidRPr="00771861">
              <w:t>Compressor Couplings or Flanges</w:t>
            </w:r>
          </w:p>
          <w:p w:rsidR="00000000" w:rsidRPr="00771861" w:rsidP="00771861">
            <w:pPr>
              <w:pStyle w:val="BodyText"/>
            </w:pPr>
            <w:r w:rsidRPr="00771861">
              <w:t>Connection of PE to nylon</w:t>
            </w:r>
          </w:p>
          <w:p w:rsidR="00000000" w:rsidP="00771861">
            <w:pPr>
              <w:pStyle w:val="BodyText"/>
              <w:rPr>
                <w:lang w:val="en-NZ"/>
              </w:rPr>
            </w:pPr>
            <w:r w:rsidRPr="00771861">
              <w:t>Practical application of AS3723 Installation and Maintenance of plastic pipe systems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UPVC pipeline laying techniques</w:t>
            </w:r>
          </w:p>
          <w:p w:rsidR="00000000" w:rsidRPr="00771861" w:rsidP="00771861">
            <w:pPr>
              <w:pStyle w:val="BodyText"/>
            </w:pPr>
            <w:r w:rsidRPr="00771861">
              <w:t>UPVC solvent cemented joints</w:t>
            </w:r>
          </w:p>
          <w:p w:rsidR="00000000" w:rsidRPr="00771861" w:rsidP="00771861">
            <w:pPr>
              <w:pStyle w:val="BodyText"/>
            </w:pPr>
            <w:r w:rsidRPr="00771861">
              <w:t>UPVC moulded joints</w:t>
            </w:r>
          </w:p>
          <w:p w:rsidR="00000000" w:rsidRPr="00771861" w:rsidP="00771861">
            <w:pPr>
              <w:pStyle w:val="BodyText"/>
            </w:pPr>
            <w:r w:rsidRPr="00771861">
              <w:t>UPVC Stop Off</w:t>
            </w:r>
          </w:p>
          <w:p w:rsidR="00000000" w:rsidRPr="00771861" w:rsidP="00771861">
            <w:pPr>
              <w:pStyle w:val="BodyText"/>
            </w:pPr>
            <w:r w:rsidRPr="00771861">
              <w:t>UPVC couplings and flanges</w:t>
            </w:r>
          </w:p>
          <w:p w:rsidR="00000000" w:rsidRPr="00771861" w:rsidP="00771861">
            <w:pPr>
              <w:pStyle w:val="BodyText"/>
            </w:pPr>
            <w:r w:rsidRPr="00771861">
              <w:t>Connection of UPVC to steel</w:t>
            </w:r>
          </w:p>
          <w:p w:rsidR="00000000" w:rsidP="00771861">
            <w:pPr>
              <w:pStyle w:val="BodyText"/>
              <w:rPr>
                <w:lang w:val="en-NZ"/>
              </w:rPr>
            </w:pPr>
            <w:r w:rsidRPr="00771861">
              <w:t>Practical application of AS3723 Installation and Maintenance of plastic pipe systems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Steel pipeline coating repair</w:t>
            </w:r>
          </w:p>
          <w:p w:rsidR="00000000" w:rsidRPr="00771861" w:rsidP="00771861">
            <w:pPr>
              <w:pStyle w:val="BodyText"/>
            </w:pPr>
            <w:r w:rsidRPr="00771861">
              <w:t>Steel pipeline coating testing (Jeeper)</w:t>
            </w:r>
          </w:p>
          <w:p w:rsidR="00000000" w:rsidP="00771861">
            <w:pPr>
              <w:pStyle w:val="BodyText"/>
              <w:rPr>
                <w:lang w:val="en-NZ"/>
              </w:rPr>
            </w:pPr>
            <w:r w:rsidRPr="00771861">
              <w:t>Steel, field joint coating</w:t>
            </w:r>
          </w:p>
        </w:tc>
      </w:tr>
      <w:tr w:rsidTr="006F5E32">
        <w:tblPrEx>
          <w:tblW w:w="0" w:type="auto"/>
          <w:tblLayout w:type="fixed"/>
          <w:tblCellMar>
            <w:left w:w="62" w:type="dxa"/>
            <w:right w:w="62" w:type="dxa"/>
          </w:tblCellMar>
          <w:tblLook w:val="0000"/>
        </w:tblPrEx>
        <w:trPr>
          <w:trHeight w:val="219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Connection of PE to steel mains</w:t>
            </w:r>
          </w:p>
          <w:p w:rsidR="00000000" w:rsidRPr="00771861" w:rsidP="00771861">
            <w:pPr>
              <w:pStyle w:val="BodyText"/>
            </w:pPr>
            <w:r w:rsidRPr="00771861">
              <w:t>Steel mains welding/repair</w:t>
            </w:r>
          </w:p>
          <w:p w:rsidR="00000000" w:rsidRPr="00771861" w:rsidP="00771861">
            <w:pPr>
              <w:pStyle w:val="BodyText"/>
            </w:pPr>
            <w:r w:rsidRPr="00771861">
              <w:t>Sleeve application</w:t>
            </w:r>
          </w:p>
          <w:p w:rsidR="00000000" w:rsidRPr="00771861" w:rsidP="00771861">
            <w:pPr>
              <w:pStyle w:val="BodyText"/>
            </w:pPr>
            <w:r w:rsidRPr="00771861">
              <w:t>Clamp application</w:t>
            </w:r>
          </w:p>
          <w:p w:rsidR="00000000" w:rsidP="00771861">
            <w:pPr>
              <w:pStyle w:val="BodyText"/>
              <w:rPr>
                <w:lang w:val="en-NZ"/>
              </w:rPr>
            </w:pPr>
            <w:r w:rsidRPr="00771861">
              <w:t>Hot Tap and Stopple</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 xml:space="preserve">Isolate, vent and purge gas pipeline systems </w:t>
            </w:r>
          </w:p>
          <w:p w:rsidR="00000000" w:rsidRPr="00771861" w:rsidP="00771861">
            <w:pPr>
              <w:pStyle w:val="BodyText"/>
            </w:pPr>
            <w:r w:rsidRPr="00771861">
              <w:t>Operation of gas detector</w:t>
            </w:r>
          </w:p>
          <w:p w:rsidR="00000000" w:rsidRPr="00771861" w:rsidP="00771861">
            <w:pPr>
              <w:pStyle w:val="BodyText"/>
            </w:pPr>
            <w:r w:rsidRPr="00771861">
              <w:t>Operate service locator</w:t>
            </w:r>
          </w:p>
          <w:p w:rsidR="00000000" w:rsidP="00771861">
            <w:pPr>
              <w:pStyle w:val="BodyText"/>
              <w:rPr>
                <w:lang w:val="en-NZ"/>
              </w:rPr>
            </w:pPr>
            <w:r w:rsidRPr="00771861">
              <w:t>Where relevant, calculate nitrogen volume needed</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High Pressure Stop Off</w:t>
            </w:r>
          </w:p>
          <w:p w:rsidR="00000000" w:rsidRPr="00771861" w:rsidP="00771861">
            <w:pPr>
              <w:pStyle w:val="BodyText"/>
            </w:pPr>
            <w:r w:rsidRPr="00771861">
              <w:t>312</w:t>
            </w:r>
          </w:p>
          <w:p w:rsidR="00000000" w:rsidRPr="00771861" w:rsidP="00771861">
            <w:pPr>
              <w:pStyle w:val="BodyText"/>
            </w:pPr>
            <w:r w:rsidRPr="00771861">
              <w:t>Bagtube</w:t>
            </w:r>
          </w:p>
          <w:p w:rsidR="00000000" w:rsidRPr="00771861" w:rsidP="00771861">
            <w:pPr>
              <w:pStyle w:val="BodyText"/>
            </w:pPr>
            <w:r w:rsidRPr="00771861">
              <w:t>Squash Off Jacks</w:t>
            </w:r>
          </w:p>
          <w:p w:rsidR="00000000" w:rsidP="00771861">
            <w:pPr>
              <w:pStyle w:val="BodyText"/>
              <w:rPr>
                <w:lang w:val="en-NZ"/>
              </w:rPr>
            </w:pPr>
            <w:r w:rsidRPr="00771861">
              <w:t>Squash Off Pliers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Prepare pig trap for launch</w:t>
            </w:r>
          </w:p>
          <w:p w:rsidR="00000000" w:rsidRPr="00771861" w:rsidP="00771861">
            <w:pPr>
              <w:pStyle w:val="BodyText"/>
            </w:pPr>
            <w:r w:rsidRPr="00771861">
              <w:t>Prepare trap for receiving</w:t>
            </w:r>
          </w:p>
          <w:p w:rsidR="00000000" w:rsidRPr="00771861" w:rsidP="00771861">
            <w:pPr>
              <w:pStyle w:val="BodyText"/>
            </w:pPr>
            <w:r w:rsidRPr="00771861">
              <w:t>Determine volume of water needed</w:t>
            </w:r>
          </w:p>
          <w:p w:rsidR="00000000" w:rsidRPr="00771861" w:rsidP="00771861">
            <w:pPr>
              <w:pStyle w:val="BodyText"/>
            </w:pPr>
            <w:r w:rsidRPr="00771861">
              <w:t>Install disc pig</w:t>
            </w:r>
          </w:p>
          <w:p w:rsidR="00000000" w:rsidRPr="00771861" w:rsidP="00771861">
            <w:pPr>
              <w:pStyle w:val="BodyText"/>
            </w:pPr>
            <w:r w:rsidRPr="00771861">
              <w:t>Carry out pigging operation</w:t>
            </w:r>
          </w:p>
          <w:p w:rsidR="00000000" w:rsidRPr="00771861" w:rsidP="00771861">
            <w:pPr>
              <w:pStyle w:val="BodyText"/>
            </w:pPr>
            <w:r w:rsidRPr="00771861">
              <w:t>Install foam pig</w:t>
            </w:r>
          </w:p>
          <w:p w:rsidR="00000000" w:rsidRPr="00771861" w:rsidP="00771861">
            <w:pPr>
              <w:pStyle w:val="BodyText"/>
            </w:pPr>
            <w:r w:rsidRPr="00771861">
              <w:t>Carry out pigging operation</w:t>
            </w:r>
          </w:p>
          <w:p w:rsidR="00000000" w:rsidP="00771861">
            <w:pPr>
              <w:pStyle w:val="BodyText"/>
              <w:rPr>
                <w:lang w:val="en-NZ"/>
              </w:rPr>
            </w:pPr>
            <w:r w:rsidRPr="00771861">
              <w:t>Pressure test pipeline</w:t>
            </w:r>
          </w:p>
        </w:tc>
      </w:tr>
      <w:tr w:rsidTr="006F5E32">
        <w:tblPrEx>
          <w:tblW w:w="0" w:type="auto"/>
          <w:tblLayout w:type="fixed"/>
          <w:tblCellMar>
            <w:left w:w="62" w:type="dxa"/>
            <w:right w:w="62" w:type="dxa"/>
          </w:tblCellMar>
          <w:tblLook w:val="0000"/>
        </w:tblPrEx>
        <w:trPr>
          <w:trHeight w:val="200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K</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1861">
            <w:pPr>
              <w:pStyle w:val="BodyText"/>
              <w:rPr>
                <w:lang w:val="en-NZ"/>
              </w:rPr>
            </w:pPr>
            <w:r w:rsidRPr="00771861">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1861" w:rsidP="00771861">
            <w:pPr>
              <w:pStyle w:val="BodyText"/>
            </w:pPr>
            <w:r w:rsidRPr="00771861">
              <w:t xml:space="preserve">Deal with an unplanned event by drawing on essential knowledge and associated skills to provide appropriate solutions incorporated in the holistic assessment with the above listed items </w:t>
            </w:r>
          </w:p>
        </w:tc>
      </w:tr>
    </w:tbl>
    <w:p w:rsidR="00000000" w:rsidRPr="00771861" w:rsidP="00771861">
      <w:pPr>
        <w:pStyle w:val="BodyText"/>
      </w:pPr>
    </w:p>
    <w:tbl>
      <w:tblPr>
        <w:tblW w:w="0" w:type="auto"/>
        <w:tblLayout w:type="fixed"/>
        <w:tblCellMar>
          <w:left w:w="62" w:type="dxa"/>
          <w:right w:w="62" w:type="dxa"/>
        </w:tblCellMar>
        <w:tblLook w:val="0000"/>
      </w:tblPr>
      <w:tblGrid>
        <w:gridCol w:w="1890"/>
        <w:gridCol w:w="6570"/>
      </w:tblGrid>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9.3)</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This unit should be assessed as it relates to normal work practice using procedures, information and resources typical of a workplace. This should include:</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
              <w:rPr>
                <w:lang w:val="en-NZ"/>
              </w:rPr>
            </w:pPr>
            <w:r w:rsidRPr="00771861">
              <w:t>OHS policy and work procedures and instructions.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
              <w:rPr>
                <w:lang w:val="en-NZ"/>
              </w:rPr>
            </w:pPr>
            <w:r w:rsidRPr="00771861">
              <w:t>Suitable work environment, facilities, equipm</w:t>
            </w:r>
            <w:r w:rsidRPr="00771861">
              <w:t>ent and materials to undertake actual work as prescribed by this Competency Standard Unit.</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
              <w:rPr>
                <w:lang w:val="en-NZ"/>
              </w:rPr>
            </w:pPr>
            <w:r w:rsidRPr="00771861">
              <w:t>Appropriate environmental regulation and work practices.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
              <w:rPr>
                <w:lang w:val="en-NZ"/>
              </w:rPr>
            </w:pPr>
            <w:r w:rsidRPr="00771861">
              <w:t>Appropriate organisational requirements.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ListBullet"/>
              <w:rPr>
                <w:lang w:val="en-NZ"/>
              </w:rPr>
            </w:pPr>
            <w:r w:rsidRPr="00771861">
              <w:t>Appropriate work environment, equipment and tools.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In addition to the resources listed above, in Context of and specific resources for assessment, evidence should show demonstrated competency in launching and recovering PIG in a gas distribution pipeline. </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Assessment of this competency must also be under</w:t>
            </w:r>
            <w:r w:rsidRPr="00771861">
              <w:t>taken in either an actual workplace or under a simulated work environment. Assessment must also integrate the employability skills.</w:t>
            </w:r>
          </w:p>
        </w:tc>
      </w:tr>
    </w:tbl>
    <w:p w:rsidR="00000000" w:rsidRPr="00771861" w:rsidP="00771861">
      <w:pPr>
        <w:pStyle w:val="BodyText"/>
      </w:pPr>
    </w:p>
    <w:tbl>
      <w:tblPr>
        <w:tblW w:w="0" w:type="auto"/>
        <w:tblLayout w:type="fixed"/>
        <w:tblCellMar>
          <w:left w:w="62" w:type="dxa"/>
          <w:right w:w="62" w:type="dxa"/>
        </w:tblCellMar>
        <w:tblLook w:val="0000"/>
      </w:tblPr>
      <w:tblGrid>
        <w:gridCol w:w="1890"/>
        <w:gridCol w:w="6570"/>
      </w:tblGrid>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9.4)</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This Competency Standard Unit shall be assessed by methods given in Volume 1, Part 3 ‘</w:t>
            </w:r>
            <w:r w:rsidRPr="00771861">
              <w:t>Assessment Guidelines’.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Note: Competent performance with inherent safe working practices is expected in the Industry to which this Competency Standard Unit applies. This requires that the specified Essential Knowledge and Associated Skills are assessed i</w:t>
            </w:r>
            <w:r w:rsidRPr="00771861">
              <w:t>n 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771861" w:rsidP="00771861">
      <w:pPr>
        <w:pStyle w:val="BodyText"/>
      </w:pPr>
    </w:p>
    <w:tbl>
      <w:tblPr>
        <w:tblW w:w="0" w:type="auto"/>
        <w:tblLayout w:type="fixed"/>
        <w:tblCellMar>
          <w:left w:w="62" w:type="dxa"/>
          <w:right w:w="62" w:type="dxa"/>
        </w:tblCellMar>
        <w:tblLook w:val="0000"/>
      </w:tblPr>
      <w:tblGrid>
        <w:gridCol w:w="1890"/>
        <w:gridCol w:w="1620"/>
        <w:gridCol w:w="4950"/>
      </w:tblGrid>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Concurren</w:t>
            </w:r>
            <w:r w:rsidRPr="00771861">
              <w:rPr>
                <w:rStyle w:val="SpecialBold"/>
              </w:rPr>
              <w:t>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9.5)</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There are no recommended concurrent assessments with this unit, however in some cases efficiencies may be gained in terms of learning and assessment effort being concurrently managed with allied Compet</w:t>
            </w:r>
            <w:r w:rsidRPr="00771861">
              <w:t>ency Standard Units where listed.</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UEGNSG102B</w:t>
            </w:r>
          </w:p>
        </w:tc>
        <w:tc>
          <w:tcPr>
            <w:tcW w:w="495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Carry out work activities in a utilities industry work environment</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UEENEEE101A</w:t>
            </w:r>
          </w:p>
        </w:tc>
        <w:tc>
          <w:tcPr>
            <w:tcW w:w="495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Apply Occupational Health and Safety regulations, codes and practices in the workplace</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UEGNSG104B</w:t>
            </w:r>
          </w:p>
        </w:tc>
        <w:tc>
          <w:tcPr>
            <w:tcW w:w="495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Comply  with environmental policies and procedures policies and procedures</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UEGNSG105B</w:t>
            </w:r>
          </w:p>
        </w:tc>
        <w:tc>
          <w:tcPr>
            <w:tcW w:w="495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Establish the work site</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BSBFLM312B</w:t>
            </w:r>
          </w:p>
        </w:tc>
        <w:tc>
          <w:tcPr>
            <w:tcW w:w="495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 xml:space="preserve">Contribute to team effectiveness </w:t>
            </w:r>
          </w:p>
        </w:tc>
      </w:tr>
      <w:tr w:rsidTr="006F5E3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BSBFLM303C</w:t>
            </w:r>
          </w:p>
        </w:tc>
        <w:tc>
          <w:tcPr>
            <w:tcW w:w="495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Contribute to effective workplace relationships</w:t>
            </w:r>
          </w:p>
        </w:tc>
      </w:tr>
    </w:tbl>
    <w:p w:rsidR="006F5E32" w:rsidP="00771861">
      <w:pPr>
        <w:pStyle w:val="BodyText"/>
      </w:pPr>
    </w:p>
    <w:p w:rsidR="006F5E32" w:rsidP="00771861">
      <w:pPr>
        <w:pStyle w:val="BodyText"/>
      </w:pPr>
    </w:p>
    <w:p w:rsidR="00000000" w:rsidRPr="00771861" w:rsidP="00771861">
      <w:pPr>
        <w:pStyle w:val="Heading1"/>
      </w:pPr>
      <w:bookmarkStart w:id="11" w:name="O_401321"/>
      <w:bookmarkEnd w:id="11"/>
      <w:r w:rsidRPr="00771861">
        <w:t>Range Statement</w:t>
      </w:r>
    </w:p>
    <w:tbl>
      <w:tblPr>
        <w:tblW w:w="0" w:type="auto"/>
        <w:tblLayout w:type="fixed"/>
        <w:tblCellMar>
          <w:left w:w="62" w:type="dxa"/>
          <w:right w:w="62" w:type="dxa"/>
        </w:tblCellMar>
        <w:tblLook w:val="0000"/>
      </w:tblPr>
      <w:tblGrid>
        <w:gridCol w:w="8460"/>
      </w:tblGrid>
      <w:tr w:rsidTr="006F5E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RANGE STATEMENT</w:t>
            </w:r>
          </w:p>
        </w:tc>
      </w:tr>
      <w:tr w:rsidTr="006F5E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10)</w:t>
            </w:r>
            <w:r w:rsidRPr="00771861">
              <w:t xml:space="preserve"> This relates to the competency standard unit as a whole providing the range of contexts and conditions to which the Performance Criteria apply. It allows for different work environments and situations that will affect performance.</w:t>
            </w:r>
          </w:p>
        </w:tc>
      </w:tr>
      <w:tr w:rsidTr="006F5E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This Competency Standard Unit shall be demonstrated in relation to the launch and Recovery of PIGs in a gas distribution pipeline.</w:t>
            </w:r>
          </w:p>
        </w:tc>
      </w:tr>
      <w:tr w:rsidTr="006F5E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t>The following constants and variables included in the Element/Performance Criteria in this unit are fully described in the D</w:t>
            </w:r>
            <w:r w:rsidRPr="00771861">
              <w:t>efinitions Section of this volume and form an integral part of the Range Statement of this unit:</w:t>
            </w:r>
          </w:p>
        </w:tc>
      </w:tr>
      <w:tr w:rsidTr="006F5E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Equipment (3)</w:t>
            </w:r>
          </w:p>
        </w:tc>
      </w:tr>
    </w:tbl>
    <w:p w:rsidR="00000000" w:rsidRPr="00771861" w:rsidP="00771861">
      <w:pPr>
        <w:pStyle w:val="BodyText"/>
      </w:pPr>
    </w:p>
    <w:p w:rsidR="00000000" w:rsidRPr="00771861" w:rsidP="00771861">
      <w:pPr>
        <w:pStyle w:val="AllowPageBreak"/>
      </w:pPr>
    </w:p>
    <w:p w:rsidR="00000000" w:rsidRPr="00771861" w:rsidP="00771861">
      <w:pPr>
        <w:pStyle w:val="Heading1"/>
      </w:pPr>
      <w:bookmarkStart w:id="12" w:name="O_401324"/>
      <w:bookmarkEnd w:id="12"/>
      <w:r w:rsidRPr="00771861">
        <w:t>Unit Sector(s)</w:t>
      </w:r>
    </w:p>
    <w:p w:rsidR="00000000" w:rsidRPr="00771861" w:rsidP="00771861">
      <w:pPr>
        <w:pStyle w:val="BodyText"/>
      </w:pPr>
      <w:r w:rsidRPr="00771861">
        <w:t>Not applicable.</w:t>
      </w:r>
    </w:p>
    <w:p w:rsidR="00000000" w:rsidRPr="00771861" w:rsidP="00771861">
      <w:pPr>
        <w:pStyle w:val="AllowPageBreak"/>
      </w:pPr>
    </w:p>
    <w:p w:rsidR="00000000" w:rsidRPr="00771861" w:rsidP="00771861">
      <w:pPr>
        <w:pStyle w:val="Heading1"/>
      </w:pPr>
      <w:bookmarkStart w:id="13" w:name="O_401313"/>
      <w:bookmarkEnd w:id="13"/>
      <w:r w:rsidRPr="00771861">
        <w:t>Competency Field</w:t>
      </w:r>
    </w:p>
    <w:tbl>
      <w:tblPr>
        <w:tblW w:w="0" w:type="auto"/>
        <w:tblLayout w:type="fixed"/>
        <w:tblCellMar>
          <w:left w:w="62" w:type="dxa"/>
          <w:right w:w="62" w:type="dxa"/>
        </w:tblCellMar>
        <w:tblLook w:val="0000"/>
      </w:tblPr>
      <w:tblGrid>
        <w:gridCol w:w="2700"/>
        <w:gridCol w:w="5760"/>
      </w:tblGrid>
      <w:tr w:rsidTr="006F5E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71861">
            <w:pPr>
              <w:pStyle w:val="BodyText"/>
              <w:rPr>
                <w:lang w:val="en-NZ"/>
              </w:rPr>
            </w:pPr>
            <w:r w:rsidRPr="00771861">
              <w:rPr>
                <w:rStyle w:val="SpecialBold"/>
              </w:rPr>
              <w:t xml:space="preserve">11) </w:t>
            </w:r>
          </w:p>
        </w:tc>
      </w:tr>
      <w:tr w:rsidTr="006F5E32">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71861" w:rsidP="00771861">
            <w:pPr>
              <w:pStyle w:val="BodyText"/>
            </w:pPr>
            <w:r w:rsidRPr="00771861">
              <w:t>Distribution.</w:t>
            </w:r>
          </w:p>
        </w:tc>
      </w:tr>
    </w:tbl>
    <w:p w:rsidR="00000000" w:rsidRPr="00771861" w:rsidP="00771861">
      <w:pPr>
        <w:pStyle w:val="BodyText"/>
      </w:pPr>
    </w:p>
    <w:p w:rsidR="00000000" w:rsidRPr="00771861" w:rsidP="00771861"/>
    <w:sectPr w:rsidSect="007718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E32" w:rsidP="006F5E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32" w:rsidP="007718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F5E32" w:rsidP="007718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F5E32" w:rsidP="007718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E32" w:rsidP="006F5E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8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32" w:rsidP="00771861">
    <w:pPr>
      <w:pStyle w:val="Header"/>
      <w:framePr w:wrap="around"/>
    </w:pPr>
    <w:r>
      <w:fldChar w:fldCharType="begin"/>
    </w:r>
    <w:r>
      <w:instrText xml:space="preserve"> TITLE   \* MERGEFORMAT </w:instrText>
    </w:r>
    <w:r>
      <w:fldChar w:fldCharType="separate"/>
    </w:r>
    <w:r>
      <w:t>UEGNSG205B Launch and recover PIG in a gas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5E32" w:rsidP="007718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687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6C3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63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8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1861"/>
    <w:pPr>
      <w:spacing w:before="360" w:after="60"/>
      <w:outlineLvl w:val="0"/>
    </w:pPr>
    <w:rPr>
      <w:sz w:val="32"/>
    </w:rPr>
  </w:style>
  <w:style w:type="paragraph" w:styleId="Heading2">
    <w:name w:val="heading 2"/>
    <w:basedOn w:val="HeadingBase"/>
    <w:next w:val="BodyText"/>
    <w:link w:val="Heading2Char"/>
    <w:qFormat/>
    <w:rsid w:val="00771861"/>
    <w:pPr>
      <w:keepLines/>
      <w:spacing w:before="240" w:after="120"/>
      <w:outlineLvl w:val="1"/>
    </w:pPr>
    <w:rPr>
      <w:sz w:val="28"/>
      <w:szCs w:val="40"/>
    </w:rPr>
  </w:style>
  <w:style w:type="paragraph" w:styleId="Heading3">
    <w:name w:val="heading 3"/>
    <w:basedOn w:val="HeadingBase"/>
    <w:next w:val="BodyText"/>
    <w:link w:val="Heading3Char"/>
    <w:qFormat/>
    <w:rsid w:val="00771861"/>
    <w:pPr>
      <w:spacing w:before="180" w:after="120"/>
      <w:outlineLvl w:val="2"/>
    </w:pPr>
    <w:rPr>
      <w:spacing w:val="-10"/>
      <w:kern w:val="32"/>
    </w:rPr>
  </w:style>
  <w:style w:type="paragraph" w:styleId="Heading4">
    <w:name w:val="heading 4"/>
    <w:basedOn w:val="HeadingBase"/>
    <w:next w:val="BodyText"/>
    <w:link w:val="Heading4Char"/>
    <w:qFormat/>
    <w:rsid w:val="00771861"/>
    <w:pPr>
      <w:spacing w:before="160" w:after="120"/>
      <w:outlineLvl w:val="3"/>
    </w:pPr>
    <w:rPr>
      <w:sz w:val="22"/>
    </w:rPr>
  </w:style>
  <w:style w:type="paragraph" w:styleId="Heading5">
    <w:name w:val="heading 5"/>
    <w:basedOn w:val="HeadingBase"/>
    <w:next w:val="Normal"/>
    <w:link w:val="Heading5Char"/>
    <w:qFormat/>
    <w:rsid w:val="00771861"/>
    <w:pPr>
      <w:spacing w:before="80"/>
      <w:outlineLvl w:val="4"/>
    </w:pPr>
    <w:rPr>
      <w:color w:val="918585"/>
      <w:sz w:val="20"/>
    </w:rPr>
  </w:style>
  <w:style w:type="paragraph" w:styleId="Heading6">
    <w:name w:val="heading 6"/>
    <w:basedOn w:val="HeadingBase"/>
    <w:next w:val="Normal"/>
    <w:link w:val="Heading6Char"/>
    <w:qFormat/>
    <w:rsid w:val="00771861"/>
    <w:pPr>
      <w:spacing w:before="60"/>
      <w:outlineLvl w:val="5"/>
    </w:pPr>
    <w:rPr>
      <w:color w:val="918585"/>
      <w:sz w:val="20"/>
    </w:rPr>
  </w:style>
  <w:style w:type="paragraph" w:styleId="Heading7">
    <w:name w:val="heading 7"/>
    <w:basedOn w:val="Normal"/>
    <w:next w:val="Normal"/>
    <w:link w:val="Heading7Char"/>
    <w:qFormat/>
    <w:rsid w:val="00771861"/>
    <w:pPr>
      <w:ind w:left="720"/>
      <w:outlineLvl w:val="6"/>
    </w:pPr>
    <w:rPr>
      <w:i/>
    </w:rPr>
  </w:style>
  <w:style w:type="paragraph" w:styleId="Heading8">
    <w:name w:val="heading 8"/>
    <w:basedOn w:val="Normal"/>
    <w:next w:val="Normal"/>
    <w:link w:val="Heading8Char"/>
    <w:qFormat/>
    <w:rsid w:val="00771861"/>
    <w:pPr>
      <w:ind w:left="720"/>
      <w:outlineLvl w:val="7"/>
    </w:pPr>
    <w:rPr>
      <w:i/>
    </w:rPr>
  </w:style>
  <w:style w:type="paragraph" w:styleId="Heading9">
    <w:name w:val="heading 9"/>
    <w:basedOn w:val="Normal"/>
    <w:next w:val="Normal"/>
    <w:link w:val="Heading9Char"/>
    <w:qFormat/>
    <w:rsid w:val="00771861"/>
    <w:pPr>
      <w:ind w:left="720"/>
      <w:outlineLvl w:val="8"/>
    </w:pPr>
    <w:rPr>
      <w:i/>
    </w:rPr>
  </w:style>
  <w:style w:type="character" w:default="1" w:styleId="DefaultParagraphFont">
    <w:name w:val="Default Paragraph Font"/>
    <w:uiPriority w:val="1"/>
    <w:unhideWhenUsed/>
    <w:rsid w:val="007718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861"/>
  </w:style>
  <w:style w:type="character" w:customStyle="1" w:styleId="Heading1Char">
    <w:name w:val="Heading 1 Char"/>
    <w:basedOn w:val="DefaultParagraphFont"/>
    <w:link w:val="Heading1"/>
    <w:rsid w:val="00771861"/>
    <w:rPr>
      <w:rFonts w:ascii="Times New Roman" w:eastAsia="Times New Roman" w:hAnsi="Times New Roman" w:cs="Times New Roman"/>
      <w:b/>
      <w:sz w:val="32"/>
      <w:szCs w:val="20"/>
      <w:lang w:eastAsia="en-US"/>
    </w:rPr>
  </w:style>
  <w:style w:type="paragraph" w:styleId="BodyText">
    <w:name w:val="Body Text"/>
    <w:basedOn w:val="Normal"/>
    <w:link w:val="BodyTextChar"/>
    <w:rsid w:val="007718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861"/>
    <w:rPr>
      <w:rFonts w:ascii="Times New Roman" w:eastAsia="Times New Roman" w:hAnsi="Times New Roman" w:cs="Times New Roman"/>
      <w:sz w:val="24"/>
      <w:lang w:val="en-US" w:eastAsia="en-US"/>
    </w:rPr>
  </w:style>
  <w:style w:type="paragraph" w:styleId="Footer">
    <w:name w:val="footer"/>
    <w:basedOn w:val="Normal"/>
    <w:link w:val="FooterChar"/>
    <w:rsid w:val="007718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861"/>
    <w:rPr>
      <w:rFonts w:ascii="Times New Roman" w:eastAsia="Times New Roman" w:hAnsi="Times New Roman" w:cs="Times New Roman"/>
      <w:sz w:val="16"/>
      <w:lang w:val="en-US" w:eastAsia="en-US"/>
    </w:rPr>
  </w:style>
  <w:style w:type="paragraph" w:styleId="ListBullet">
    <w:name w:val="List Bullet"/>
    <w:basedOn w:val="List"/>
    <w:rsid w:val="00771861"/>
    <w:pPr>
      <w:numPr>
        <w:numId w:val="13"/>
      </w:numPr>
      <w:tabs>
        <w:tab w:val="clear" w:pos="340"/>
      </w:tabs>
      <w:spacing w:before="40" w:after="40"/>
    </w:pPr>
  </w:style>
  <w:style w:type="character" w:customStyle="1" w:styleId="SpecialBold">
    <w:name w:val="Special Bold"/>
    <w:basedOn w:val="DefaultParagraphFont"/>
    <w:rsid w:val="00771861"/>
    <w:rPr>
      <w:b/>
      <w:spacing w:val="0"/>
    </w:rPr>
  </w:style>
  <w:style w:type="paragraph" w:styleId="ListBullet2">
    <w:name w:val="List Bullet 2"/>
    <w:basedOn w:val="List2"/>
    <w:rsid w:val="00771861"/>
    <w:pPr>
      <w:numPr>
        <w:numId w:val="14"/>
      </w:numPr>
      <w:tabs>
        <w:tab w:val="clear" w:pos="680"/>
      </w:tabs>
    </w:pPr>
  </w:style>
  <w:style w:type="paragraph" w:styleId="Header">
    <w:name w:val="header"/>
    <w:basedOn w:val="Normal"/>
    <w:link w:val="HeaderChar"/>
    <w:rsid w:val="007718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8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1861"/>
    <w:pPr>
      <w:spacing w:before="240" w:after="120"/>
      <w:outlineLvl w:val="0"/>
    </w:pPr>
    <w:rPr>
      <w:rFonts w:ascii="Times New Roman" w:hAnsi="Times New Roman"/>
      <w:b/>
      <w:sz w:val="28"/>
    </w:rPr>
  </w:style>
  <w:style w:type="paragraph" w:customStyle="1" w:styleId="AllowPageBreak">
    <w:name w:val="AllowPageBreak"/>
    <w:rsid w:val="007718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8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8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8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8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8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8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18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1861"/>
    <w:rPr>
      <w:rFonts w:ascii="Courier New" w:eastAsia="Times New Roman" w:hAnsi="Courier New" w:cs="Times New Roman"/>
      <w:i/>
      <w:szCs w:val="20"/>
      <w:lang w:val="en-US" w:eastAsia="en-US"/>
    </w:rPr>
  </w:style>
  <w:style w:type="paragraph" w:customStyle="1" w:styleId="HeadingBase">
    <w:name w:val="Heading Base"/>
    <w:rsid w:val="007718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861"/>
    <w:pPr>
      <w:tabs>
        <w:tab w:val="right" w:leader="dot" w:pos="9072"/>
      </w:tabs>
      <w:ind w:left="567"/>
    </w:pPr>
    <w:rPr>
      <w:szCs w:val="22"/>
    </w:rPr>
  </w:style>
  <w:style w:type="paragraph" w:customStyle="1" w:styleId="TOCBase">
    <w:name w:val="TOC Base"/>
    <w:rsid w:val="007718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861"/>
    <w:pPr>
      <w:tabs>
        <w:tab w:val="right" w:leader="dot" w:pos="9072"/>
      </w:tabs>
      <w:spacing w:before="40" w:after="40"/>
      <w:ind w:left="284"/>
    </w:pPr>
    <w:rPr>
      <w:rFonts w:ascii="Times New Roman" w:hAnsi="Times New Roman"/>
    </w:rPr>
  </w:style>
  <w:style w:type="paragraph" w:styleId="TOC1">
    <w:name w:val="toc 1"/>
    <w:basedOn w:val="TOCBase"/>
    <w:next w:val="Normal"/>
    <w:rsid w:val="007718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861"/>
    <w:pPr>
      <w:spacing w:before="5040"/>
      <w:jc w:val="center"/>
    </w:pPr>
    <w:rPr>
      <w:sz w:val="48"/>
      <w:szCs w:val="72"/>
      <w:lang w:val="en-US"/>
    </w:rPr>
  </w:style>
  <w:style w:type="character" w:customStyle="1" w:styleId="TitleChar">
    <w:name w:val="Title Char"/>
    <w:basedOn w:val="DefaultParagraphFont"/>
    <w:link w:val="Title"/>
    <w:rsid w:val="007718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861"/>
    <w:pPr>
      <w:tabs>
        <w:tab w:val="left" w:pos="3600"/>
        <w:tab w:val="left" w:pos="3958"/>
      </w:tabs>
    </w:pPr>
  </w:style>
  <w:style w:type="paragraph" w:styleId="List">
    <w:name w:val="List"/>
    <w:basedOn w:val="BodyText"/>
    <w:next w:val="BodyText"/>
    <w:rsid w:val="00771861"/>
    <w:pPr>
      <w:tabs>
        <w:tab w:val="left" w:pos="340"/>
      </w:tabs>
      <w:spacing w:before="60" w:after="60"/>
      <w:ind w:left="340" w:hanging="340"/>
    </w:pPr>
  </w:style>
  <w:style w:type="paragraph" w:customStyle="1" w:styleId="Note">
    <w:name w:val="Note"/>
    <w:basedOn w:val="BodyText"/>
    <w:rsid w:val="007718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861"/>
    <w:pPr>
      <w:framePr w:wrap="auto" w:hAnchor="text" w:y="6049"/>
    </w:pPr>
    <w:rPr>
      <w:color w:val="000000"/>
      <w:sz w:val="40"/>
    </w:rPr>
  </w:style>
  <w:style w:type="paragraph" w:customStyle="1" w:styleId="TOCTitle">
    <w:name w:val="TOCTitle"/>
    <w:basedOn w:val="Heading1"/>
    <w:rsid w:val="00771861"/>
    <w:pPr>
      <w:spacing w:after="240"/>
      <w:jc w:val="center"/>
      <w:outlineLvl w:val="9"/>
    </w:pPr>
    <w:rPr>
      <w:caps/>
    </w:rPr>
  </w:style>
  <w:style w:type="paragraph" w:customStyle="1" w:styleId="Version">
    <w:name w:val="Version"/>
    <w:rsid w:val="007718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861"/>
    <w:pPr>
      <w:keepNext w:val="0"/>
      <w:tabs>
        <w:tab w:val="right" w:pos="4176"/>
      </w:tabs>
      <w:ind w:left="198" w:hanging="198"/>
    </w:pPr>
    <w:rPr>
      <w:rFonts w:ascii="Garamond" w:hAnsi="Garamond"/>
    </w:rPr>
  </w:style>
  <w:style w:type="paragraph" w:styleId="IndexHeading">
    <w:name w:val="index heading"/>
    <w:basedOn w:val="Normal"/>
    <w:next w:val="Index1"/>
    <w:semiHidden/>
    <w:rsid w:val="00771861"/>
    <w:pPr>
      <w:spacing w:before="120" w:after="120"/>
    </w:pPr>
    <w:rPr>
      <w:rFonts w:ascii="Arial" w:hAnsi="Arial"/>
      <w:b/>
      <w:color w:val="918585"/>
      <w:sz w:val="24"/>
    </w:rPr>
  </w:style>
  <w:style w:type="paragraph" w:customStyle="1" w:styleId="Chapter">
    <w:name w:val="Chapter"/>
    <w:basedOn w:val="Normal"/>
    <w:rsid w:val="00771861"/>
    <w:pPr>
      <w:spacing w:before="240"/>
    </w:pPr>
    <w:rPr>
      <w:rFonts w:ascii="Times New Roman" w:hAnsi="Times New Roman"/>
      <w:smallCaps/>
      <w:spacing w:val="80"/>
      <w:sz w:val="28"/>
    </w:rPr>
  </w:style>
  <w:style w:type="paragraph" w:customStyle="1" w:styleId="InChapter">
    <w:name w:val="InChapter"/>
    <w:basedOn w:val="Heading3"/>
    <w:rsid w:val="00771861"/>
    <w:pPr>
      <w:spacing w:after="240"/>
      <w:outlineLvl w:val="9"/>
    </w:pPr>
    <w:rPr>
      <w:noProof/>
    </w:rPr>
  </w:style>
  <w:style w:type="paragraph" w:styleId="Index2">
    <w:name w:val="index 2"/>
    <w:basedOn w:val="Normal"/>
    <w:next w:val="Normal"/>
    <w:semiHidden/>
    <w:rsid w:val="00771861"/>
    <w:pPr>
      <w:tabs>
        <w:tab w:val="right" w:pos="4176"/>
      </w:tabs>
      <w:ind w:left="568" w:hanging="284"/>
    </w:pPr>
    <w:rPr>
      <w:rFonts w:ascii="Garamond" w:hAnsi="Garamond"/>
    </w:rPr>
  </w:style>
  <w:style w:type="paragraph" w:customStyle="1" w:styleId="Byline">
    <w:name w:val="Byline"/>
    <w:rsid w:val="007718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861"/>
    <w:pPr>
      <w:tabs>
        <w:tab w:val="clear" w:pos="3600"/>
        <w:tab w:val="clear" w:pos="3958"/>
      </w:tabs>
      <w:jc w:val="right"/>
    </w:pPr>
  </w:style>
  <w:style w:type="character" w:styleId="Emphasis">
    <w:name w:val="Emphasis"/>
    <w:basedOn w:val="DefaultParagraphFont"/>
    <w:qFormat/>
    <w:rsid w:val="00771861"/>
    <w:rPr>
      <w:i/>
    </w:rPr>
  </w:style>
  <w:style w:type="paragraph" w:styleId="Caption">
    <w:name w:val="caption"/>
    <w:basedOn w:val="BodyText"/>
    <w:next w:val="Normal"/>
    <w:qFormat/>
    <w:rsid w:val="00771861"/>
    <w:pPr>
      <w:framePr w:w="2268" w:hSpace="181" w:vSpace="181" w:wrap="around" w:vAnchor="text" w:hAnchor="page" w:x="1135" w:y="285" w:anchorLock="1"/>
    </w:pPr>
    <w:rPr>
      <w:i/>
    </w:rPr>
  </w:style>
  <w:style w:type="paragraph" w:customStyle="1" w:styleId="MiniTOCTitle">
    <w:name w:val="MiniTOCTitle"/>
    <w:basedOn w:val="Heading4"/>
    <w:rsid w:val="00771861"/>
    <w:pPr>
      <w:spacing w:before="240"/>
      <w:outlineLvl w:val="9"/>
    </w:pPr>
    <w:rPr>
      <w:noProof/>
      <w:sz w:val="24"/>
    </w:rPr>
  </w:style>
  <w:style w:type="paragraph" w:customStyle="1" w:styleId="MiniTOCItem">
    <w:name w:val="MiniTOCItem"/>
    <w:basedOn w:val="ListBullet"/>
    <w:rsid w:val="00771861"/>
    <w:pPr>
      <w:numPr>
        <w:numId w:val="0"/>
      </w:numPr>
      <w:tabs>
        <w:tab w:val="right" w:leader="dot" w:pos="6521"/>
      </w:tabs>
      <w:spacing w:before="0" w:after="0"/>
    </w:pPr>
  </w:style>
  <w:style w:type="paragraph" w:customStyle="1" w:styleId="TOFTitle">
    <w:name w:val="TOFTitle"/>
    <w:basedOn w:val="TOCTitle"/>
    <w:rsid w:val="00771861"/>
  </w:style>
  <w:style w:type="paragraph" w:styleId="TableofFigures">
    <w:name w:val="table of figures"/>
    <w:basedOn w:val="Normal"/>
    <w:next w:val="Normal"/>
    <w:semiHidden/>
    <w:rsid w:val="00771861"/>
    <w:pPr>
      <w:tabs>
        <w:tab w:val="right" w:leader="dot" w:pos="9072"/>
      </w:tabs>
      <w:ind w:left="970" w:hanging="403"/>
    </w:pPr>
    <w:rPr>
      <w:rFonts w:ascii="Times New Roman" w:hAnsi="Times New Roman"/>
      <w:b/>
    </w:rPr>
  </w:style>
  <w:style w:type="paragraph" w:styleId="ListNumber">
    <w:name w:val="List Number"/>
    <w:basedOn w:val="List"/>
    <w:rsid w:val="00771861"/>
    <w:pPr>
      <w:numPr>
        <w:numId w:val="11"/>
      </w:numPr>
    </w:pPr>
  </w:style>
  <w:style w:type="character" w:customStyle="1" w:styleId="WingdingSymbols">
    <w:name w:val="Wingding Symbols"/>
    <w:rsid w:val="00771861"/>
    <w:rPr>
      <w:rFonts w:ascii="Wingdings" w:hAnsi="Wingdings"/>
    </w:rPr>
  </w:style>
  <w:style w:type="paragraph" w:customStyle="1" w:styleId="TableHeading">
    <w:name w:val="Table Heading"/>
    <w:basedOn w:val="HeadingBase"/>
    <w:rsid w:val="00771861"/>
    <w:pPr>
      <w:keepLines/>
      <w:pBdr>
        <w:bottom w:val="single" w:sz="6" w:space="1" w:color="918585"/>
      </w:pBdr>
      <w:spacing w:before="240"/>
    </w:pPr>
  </w:style>
  <w:style w:type="character" w:customStyle="1" w:styleId="HotSpot">
    <w:name w:val="HotSpot"/>
    <w:rsid w:val="00771861"/>
    <w:rPr>
      <w:color w:val="0033CC"/>
      <w:u w:val="none"/>
    </w:rPr>
  </w:style>
  <w:style w:type="paragraph" w:customStyle="1" w:styleId="BodyTextRight">
    <w:name w:val="Body Text Right"/>
    <w:basedOn w:val="BodyText"/>
    <w:rsid w:val="00771861"/>
    <w:pPr>
      <w:spacing w:before="0" w:after="0"/>
      <w:jc w:val="right"/>
    </w:pPr>
  </w:style>
  <w:style w:type="paragraph" w:styleId="Index3">
    <w:name w:val="index 3"/>
    <w:basedOn w:val="ListNumber2"/>
    <w:next w:val="Normal"/>
    <w:semiHidden/>
    <w:rsid w:val="00771861"/>
    <w:pPr>
      <w:numPr>
        <w:numId w:val="0"/>
      </w:numPr>
      <w:tabs>
        <w:tab w:val="right" w:leader="dot" w:pos="4176"/>
      </w:tabs>
    </w:pPr>
  </w:style>
  <w:style w:type="paragraph" w:styleId="ListNumber2">
    <w:name w:val="List Number 2"/>
    <w:basedOn w:val="List2"/>
    <w:rsid w:val="00771861"/>
    <w:pPr>
      <w:numPr>
        <w:numId w:val="10"/>
      </w:numPr>
      <w:tabs>
        <w:tab w:val="clear" w:pos="1060"/>
      </w:tabs>
    </w:pPr>
  </w:style>
  <w:style w:type="paragraph" w:customStyle="1" w:styleId="MarginNote">
    <w:name w:val="Margin Note"/>
    <w:basedOn w:val="BodyText"/>
    <w:rsid w:val="007718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8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8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1861"/>
    <w:rPr>
      <w:sz w:val="32"/>
    </w:rPr>
  </w:style>
  <w:style w:type="paragraph" w:customStyle="1" w:styleId="HeadingProcedure">
    <w:name w:val="Heading Procedure"/>
    <w:basedOn w:val="HeadingBase"/>
    <w:next w:val="Normal"/>
    <w:rsid w:val="00771861"/>
    <w:pPr>
      <w:tabs>
        <w:tab w:val="left" w:pos="0"/>
      </w:tabs>
      <w:spacing w:before="120" w:after="60"/>
    </w:pPr>
    <w:rPr>
      <w:i/>
      <w:color w:val="918585"/>
      <w:sz w:val="22"/>
    </w:rPr>
  </w:style>
  <w:style w:type="paragraph" w:customStyle="1" w:styleId="TableBodyText">
    <w:name w:val="Table Body Text"/>
    <w:basedOn w:val="BodyText"/>
    <w:rsid w:val="00771861"/>
    <w:pPr>
      <w:spacing w:before="60" w:after="60"/>
    </w:pPr>
  </w:style>
  <w:style w:type="paragraph" w:styleId="ListContinue">
    <w:name w:val="List Continue"/>
    <w:basedOn w:val="List"/>
    <w:rsid w:val="00771861"/>
    <w:pPr>
      <w:ind w:firstLine="0"/>
    </w:pPr>
  </w:style>
  <w:style w:type="paragraph" w:customStyle="1" w:styleId="ListNote">
    <w:name w:val="List Note"/>
    <w:basedOn w:val="List"/>
    <w:rsid w:val="00771861"/>
    <w:pPr>
      <w:pBdr>
        <w:top w:val="single" w:sz="6" w:space="2" w:color="918585"/>
        <w:bottom w:val="single" w:sz="6" w:space="2" w:color="918585"/>
      </w:pBdr>
      <w:tabs>
        <w:tab w:val="left" w:pos="1021"/>
      </w:tabs>
      <w:ind w:firstLine="0"/>
    </w:pPr>
  </w:style>
  <w:style w:type="paragraph" w:customStyle="1" w:styleId="Warning">
    <w:name w:val="Warning"/>
    <w:basedOn w:val="BodyText"/>
    <w:rsid w:val="00771861"/>
    <w:pPr>
      <w:shd w:val="clear" w:color="auto" w:fill="D9D9D9"/>
      <w:tabs>
        <w:tab w:val="left" w:pos="992"/>
      </w:tabs>
      <w:ind w:left="119" w:right="119"/>
    </w:pPr>
    <w:rPr>
      <w:sz w:val="20"/>
    </w:rPr>
  </w:style>
  <w:style w:type="paragraph" w:customStyle="1" w:styleId="MarginIcons">
    <w:name w:val="Margin Icons"/>
    <w:basedOn w:val="BodyText"/>
    <w:rsid w:val="007718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861"/>
    <w:rPr>
      <w:rFonts w:ascii="Courier New" w:hAnsi="Courier New"/>
    </w:rPr>
  </w:style>
  <w:style w:type="paragraph" w:customStyle="1" w:styleId="NoteBullet">
    <w:name w:val="Note Bullet"/>
    <w:basedOn w:val="Note"/>
    <w:rsid w:val="00771861"/>
    <w:pPr>
      <w:tabs>
        <w:tab w:val="clear" w:pos="680"/>
      </w:tabs>
      <w:spacing w:before="60" w:after="60"/>
    </w:pPr>
  </w:style>
  <w:style w:type="paragraph" w:customStyle="1" w:styleId="SubHeading2">
    <w:name w:val="SubHeading2"/>
    <w:basedOn w:val="HeadingBase"/>
    <w:rsid w:val="00771861"/>
    <w:pPr>
      <w:spacing w:before="240" w:after="60"/>
    </w:pPr>
    <w:rPr>
      <w:sz w:val="20"/>
    </w:rPr>
  </w:style>
  <w:style w:type="paragraph" w:customStyle="1" w:styleId="SubHeading1">
    <w:name w:val="SubHeading1"/>
    <w:basedOn w:val="HeadingBase"/>
    <w:rsid w:val="00771861"/>
    <w:pPr>
      <w:spacing w:before="240" w:after="60"/>
    </w:pPr>
    <w:rPr>
      <w:color w:val="918585"/>
      <w:sz w:val="22"/>
    </w:rPr>
  </w:style>
  <w:style w:type="paragraph" w:customStyle="1" w:styleId="SideHeading">
    <w:name w:val="Side Heading"/>
    <w:basedOn w:val="HeadingBase"/>
    <w:rsid w:val="007718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861"/>
    <w:pPr>
      <w:numPr>
        <w:numId w:val="12"/>
      </w:numPr>
    </w:pPr>
  </w:style>
  <w:style w:type="paragraph" w:styleId="PlainText">
    <w:name w:val="Plain Text"/>
    <w:basedOn w:val="Normal"/>
    <w:link w:val="PlainTextChar"/>
    <w:rsid w:val="00771861"/>
    <w:rPr>
      <w:sz w:val="20"/>
    </w:rPr>
  </w:style>
  <w:style w:type="character" w:customStyle="1" w:styleId="PlainTextChar">
    <w:name w:val="Plain Text Char"/>
    <w:basedOn w:val="DefaultParagraphFont"/>
    <w:link w:val="PlainText"/>
    <w:rsid w:val="007718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1861"/>
    <w:rPr>
      <w:b/>
      <w:smallCaps/>
    </w:rPr>
  </w:style>
  <w:style w:type="paragraph" w:customStyle="1" w:styleId="TableListNumber">
    <w:name w:val="Table List Number"/>
    <w:basedOn w:val="ListNumber"/>
    <w:rsid w:val="00771861"/>
    <w:pPr>
      <w:numPr>
        <w:numId w:val="0"/>
      </w:numPr>
    </w:pPr>
  </w:style>
  <w:style w:type="paragraph" w:styleId="TOC4">
    <w:name w:val="toc 4"/>
    <w:basedOn w:val="TOCBase"/>
    <w:next w:val="Normal"/>
    <w:semiHidden/>
    <w:rsid w:val="00771861"/>
    <w:pPr>
      <w:tabs>
        <w:tab w:val="right" w:leader="dot" w:pos="9071"/>
      </w:tabs>
      <w:ind w:left="1701"/>
    </w:pPr>
  </w:style>
  <w:style w:type="paragraph" w:customStyle="1" w:styleId="ListAlpha">
    <w:name w:val="List Alpha"/>
    <w:basedOn w:val="List"/>
    <w:rsid w:val="00771861"/>
    <w:pPr>
      <w:numPr>
        <w:numId w:val="9"/>
      </w:numPr>
    </w:pPr>
  </w:style>
  <w:style w:type="paragraph" w:customStyle="1" w:styleId="ListAlpha2">
    <w:name w:val="List Alpha 2"/>
    <w:basedOn w:val="List2"/>
    <w:rsid w:val="00771861"/>
    <w:pPr>
      <w:numPr>
        <w:numId w:val="8"/>
      </w:numPr>
    </w:pPr>
  </w:style>
  <w:style w:type="paragraph" w:styleId="List2">
    <w:name w:val="List 2"/>
    <w:basedOn w:val="BodyText"/>
    <w:rsid w:val="00771861"/>
    <w:pPr>
      <w:tabs>
        <w:tab w:val="left" w:pos="680"/>
      </w:tabs>
      <w:spacing w:before="60" w:after="60"/>
      <w:ind w:left="680" w:hanging="340"/>
    </w:pPr>
  </w:style>
  <w:style w:type="paragraph" w:styleId="List3">
    <w:name w:val="List 3"/>
    <w:basedOn w:val="BodyText"/>
    <w:rsid w:val="00771861"/>
    <w:pPr>
      <w:tabs>
        <w:tab w:val="left" w:pos="1021"/>
      </w:tabs>
      <w:spacing w:before="60" w:after="60"/>
      <w:ind w:left="1020" w:hanging="340"/>
    </w:pPr>
  </w:style>
  <w:style w:type="paragraph" w:styleId="List4">
    <w:name w:val="List 4"/>
    <w:basedOn w:val="BodyText"/>
    <w:rsid w:val="00771861"/>
    <w:pPr>
      <w:tabs>
        <w:tab w:val="left" w:pos="1361"/>
      </w:tabs>
      <w:spacing w:before="60" w:after="60"/>
      <w:ind w:left="1361" w:hanging="340"/>
    </w:pPr>
  </w:style>
  <w:style w:type="paragraph" w:styleId="List5">
    <w:name w:val="List 5"/>
    <w:basedOn w:val="BodyText"/>
    <w:rsid w:val="00771861"/>
    <w:pPr>
      <w:tabs>
        <w:tab w:val="left" w:pos="1701"/>
      </w:tabs>
      <w:spacing w:before="60" w:after="60"/>
      <w:ind w:left="1701" w:hanging="340"/>
    </w:pPr>
  </w:style>
  <w:style w:type="paragraph" w:styleId="ListBullet3">
    <w:name w:val="List Bullet 3"/>
    <w:basedOn w:val="List3"/>
    <w:rsid w:val="00771861"/>
    <w:pPr>
      <w:numPr>
        <w:numId w:val="15"/>
      </w:numPr>
      <w:tabs>
        <w:tab w:val="clear" w:pos="1021"/>
      </w:tabs>
      <w:ind w:left="1037" w:hanging="357"/>
    </w:pPr>
  </w:style>
  <w:style w:type="paragraph" w:styleId="ListBullet4">
    <w:name w:val="List Bullet 4"/>
    <w:basedOn w:val="List4"/>
    <w:rsid w:val="00771861"/>
    <w:pPr>
      <w:numPr>
        <w:numId w:val="3"/>
      </w:numPr>
    </w:pPr>
  </w:style>
  <w:style w:type="paragraph" w:styleId="ListBullet5">
    <w:name w:val="List Bullet 5"/>
    <w:basedOn w:val="List5"/>
    <w:rsid w:val="00771861"/>
    <w:pPr>
      <w:numPr>
        <w:numId w:val="4"/>
      </w:numPr>
    </w:pPr>
  </w:style>
  <w:style w:type="paragraph" w:styleId="ListContinue2">
    <w:name w:val="List Continue 2"/>
    <w:basedOn w:val="List2"/>
    <w:rsid w:val="00771861"/>
    <w:pPr>
      <w:ind w:firstLine="0"/>
    </w:pPr>
  </w:style>
  <w:style w:type="paragraph" w:styleId="ListContinue3">
    <w:name w:val="List Continue 3"/>
    <w:basedOn w:val="List3"/>
    <w:rsid w:val="00771861"/>
    <w:pPr>
      <w:ind w:left="1021" w:firstLine="0"/>
    </w:pPr>
  </w:style>
  <w:style w:type="paragraph" w:styleId="ListContinue4">
    <w:name w:val="List Continue 4"/>
    <w:basedOn w:val="List4"/>
    <w:rsid w:val="00771861"/>
    <w:pPr>
      <w:ind w:firstLine="0"/>
    </w:pPr>
  </w:style>
  <w:style w:type="paragraph" w:styleId="ListContinue5">
    <w:name w:val="List Continue 5"/>
    <w:basedOn w:val="List5"/>
    <w:rsid w:val="00771861"/>
    <w:pPr>
      <w:ind w:firstLine="0"/>
    </w:pPr>
  </w:style>
  <w:style w:type="paragraph" w:styleId="ListNumber3">
    <w:name w:val="List Number 3"/>
    <w:basedOn w:val="List3"/>
    <w:rsid w:val="00771861"/>
    <w:pPr>
      <w:numPr>
        <w:numId w:val="5"/>
      </w:numPr>
    </w:pPr>
  </w:style>
  <w:style w:type="paragraph" w:styleId="ListNumber4">
    <w:name w:val="List Number 4"/>
    <w:basedOn w:val="List4"/>
    <w:rsid w:val="00771861"/>
    <w:pPr>
      <w:numPr>
        <w:numId w:val="6"/>
      </w:numPr>
    </w:pPr>
  </w:style>
  <w:style w:type="paragraph" w:styleId="ListNumber5">
    <w:name w:val="List Number 5"/>
    <w:basedOn w:val="List5"/>
    <w:rsid w:val="00771861"/>
    <w:pPr>
      <w:numPr>
        <w:numId w:val="7"/>
      </w:numPr>
    </w:pPr>
  </w:style>
  <w:style w:type="paragraph" w:styleId="BlockText">
    <w:name w:val="Block Text"/>
    <w:basedOn w:val="Normal"/>
    <w:rsid w:val="00771861"/>
    <w:pPr>
      <w:spacing w:after="120"/>
      <w:ind w:left="1440" w:right="1440"/>
    </w:pPr>
  </w:style>
  <w:style w:type="character" w:customStyle="1" w:styleId="Subscript">
    <w:name w:val="Subscript"/>
    <w:basedOn w:val="DefaultParagraphFont"/>
    <w:rsid w:val="00771861"/>
    <w:rPr>
      <w:sz w:val="16"/>
      <w:vertAlign w:val="subscript"/>
    </w:rPr>
  </w:style>
  <w:style w:type="character" w:customStyle="1" w:styleId="Superscript">
    <w:name w:val="Superscript"/>
    <w:basedOn w:val="DefaultParagraphFont"/>
    <w:rsid w:val="00771861"/>
    <w:rPr>
      <w:sz w:val="16"/>
      <w:vertAlign w:val="superscript"/>
    </w:rPr>
  </w:style>
  <w:style w:type="character" w:customStyle="1" w:styleId="Symbols">
    <w:name w:val="Symbols"/>
    <w:basedOn w:val="DefaultParagraphFont"/>
    <w:rsid w:val="00771861"/>
    <w:rPr>
      <w:rFonts w:ascii="Symbol" w:hAnsi="Symbol"/>
    </w:rPr>
  </w:style>
  <w:style w:type="character" w:customStyle="1" w:styleId="MenuOptions">
    <w:name w:val="Menu Options"/>
    <w:basedOn w:val="DefaultParagraphFont"/>
    <w:rsid w:val="00771861"/>
    <w:rPr>
      <w:rFonts w:ascii="Arial Narrow" w:hAnsi="Arial Narrow"/>
      <w:smallCaps/>
    </w:rPr>
  </w:style>
  <w:style w:type="character" w:customStyle="1" w:styleId="Buttons">
    <w:name w:val="Buttons"/>
    <w:basedOn w:val="DefaultParagraphFont"/>
    <w:rsid w:val="00771861"/>
    <w:rPr>
      <w:b/>
    </w:rPr>
  </w:style>
  <w:style w:type="character" w:customStyle="1" w:styleId="Underlined">
    <w:name w:val="Underlined"/>
    <w:basedOn w:val="DefaultParagraphFont"/>
    <w:rsid w:val="00771861"/>
    <w:rPr>
      <w:u w:val="single"/>
    </w:rPr>
  </w:style>
  <w:style w:type="paragraph" w:customStyle="1" w:styleId="TableBodyTextRight">
    <w:name w:val="Table Body Text Right"/>
    <w:basedOn w:val="TableBodyText"/>
    <w:rsid w:val="00771861"/>
    <w:pPr>
      <w:widowControl w:val="0"/>
      <w:autoSpaceDE w:val="0"/>
      <w:autoSpaceDN w:val="0"/>
      <w:adjustRightInd w:val="0"/>
      <w:jc w:val="right"/>
    </w:pPr>
    <w:rPr>
      <w:rFonts w:cs="Arial"/>
      <w:szCs w:val="18"/>
    </w:rPr>
  </w:style>
  <w:style w:type="paragraph" w:customStyle="1" w:styleId="CopyrightText">
    <w:name w:val="Copyright Text"/>
    <w:basedOn w:val="BodyText"/>
    <w:rsid w:val="00771861"/>
    <w:rPr>
      <w:sz w:val="18"/>
    </w:rPr>
  </w:style>
  <w:style w:type="paragraph" w:customStyle="1" w:styleId="BodySmallRight">
    <w:name w:val="Body Small Right"/>
    <w:basedOn w:val="BodyTextRight"/>
    <w:rsid w:val="00771861"/>
    <w:rPr>
      <w:sz w:val="18"/>
      <w:szCs w:val="18"/>
    </w:rPr>
  </w:style>
  <w:style w:type="paragraph" w:customStyle="1" w:styleId="MarginEdition">
    <w:name w:val="Margin Edition"/>
    <w:basedOn w:val="MarginNote"/>
    <w:rsid w:val="00771861"/>
    <w:pPr>
      <w:spacing w:before="0" w:after="0"/>
    </w:pPr>
    <w:rPr>
      <w:rFonts w:ascii="Times New Roman" w:hAnsi="Times New Roman"/>
      <w:color w:val="999999"/>
    </w:rPr>
  </w:style>
  <w:style w:type="paragraph" w:customStyle="1" w:styleId="Spacer">
    <w:name w:val="Spacer"/>
    <w:basedOn w:val="Normal"/>
    <w:rsid w:val="00771861"/>
    <w:rPr>
      <w:sz w:val="2"/>
      <w:szCs w:val="2"/>
    </w:rPr>
  </w:style>
  <w:style w:type="character" w:customStyle="1" w:styleId="Small">
    <w:name w:val="Small"/>
    <w:basedOn w:val="DefaultParagraphFont"/>
    <w:rsid w:val="00771861"/>
    <w:rPr>
      <w:sz w:val="16"/>
    </w:rPr>
  </w:style>
  <w:style w:type="paragraph" w:customStyle="1" w:styleId="WideTable">
    <w:name w:val="Wide Table"/>
    <w:basedOn w:val="Normal"/>
    <w:rsid w:val="00771861"/>
    <w:pPr>
      <w:ind w:left="-1418"/>
    </w:pPr>
    <w:rPr>
      <w:sz w:val="2"/>
      <w:szCs w:val="2"/>
    </w:rPr>
  </w:style>
  <w:style w:type="character" w:styleId="PageNumber">
    <w:name w:val="page number"/>
    <w:basedOn w:val="DefaultParagraphFont"/>
    <w:rsid w:val="00771861"/>
  </w:style>
  <w:style w:type="paragraph" w:styleId="Quote">
    <w:name w:val="Quote"/>
    <w:basedOn w:val="Heading1"/>
    <w:link w:val="QuoteChar"/>
    <w:qFormat/>
    <w:rsid w:val="00771861"/>
    <w:rPr>
      <w:b w:val="0"/>
      <w:sz w:val="72"/>
      <w:szCs w:val="72"/>
      <w:lang w:val="en-NZ"/>
    </w:rPr>
  </w:style>
  <w:style w:type="character" w:customStyle="1" w:styleId="QuoteChar">
    <w:name w:val="Quote Char"/>
    <w:basedOn w:val="DefaultParagraphFont"/>
    <w:link w:val="Quote"/>
    <w:rsid w:val="007718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861"/>
    <w:pPr>
      <w:pageBreakBefore/>
    </w:pPr>
  </w:style>
  <w:style w:type="paragraph" w:customStyle="1" w:styleId="Border">
    <w:name w:val="Border"/>
    <w:basedOn w:val="Normal"/>
    <w:qFormat/>
    <w:rsid w:val="007718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861"/>
    <w:rPr>
      <w:b/>
      <w:bCs/>
      <w:i/>
      <w:iCs/>
      <w:color w:val="auto"/>
    </w:rPr>
  </w:style>
  <w:style w:type="paragraph" w:styleId="IntenseQuote">
    <w:name w:val="Intense Quote"/>
    <w:basedOn w:val="Normal"/>
    <w:next w:val="Normal"/>
    <w:link w:val="IntenseQuoteChar"/>
    <w:uiPriority w:val="30"/>
    <w:qFormat/>
    <w:rsid w:val="007718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8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1861"/>
    <w:rPr>
      <w:smallCaps/>
      <w:color w:val="auto"/>
      <w:u w:val="single"/>
    </w:rPr>
  </w:style>
  <w:style w:type="character" w:styleId="IntenseReference">
    <w:name w:val="Intense Reference"/>
    <w:basedOn w:val="DefaultParagraphFont"/>
    <w:uiPriority w:val="32"/>
    <w:qFormat/>
    <w:rsid w:val="00771861"/>
    <w:rPr>
      <w:b/>
      <w:bCs/>
      <w:smallCaps/>
      <w:color w:val="auto"/>
      <w:spacing w:val="5"/>
      <w:u w:val="single"/>
    </w:rPr>
  </w:style>
  <w:style w:type="paragraph" w:customStyle="1" w:styleId="2ColumnHeading">
    <w:name w:val="2Column Heading"/>
    <w:basedOn w:val="BodyText"/>
    <w:qFormat/>
    <w:rsid w:val="00771861"/>
    <w:pPr>
      <w:spacing w:after="60"/>
      <w:ind w:left="-2268"/>
    </w:pPr>
    <w:rPr>
      <w:b/>
    </w:rPr>
  </w:style>
  <w:style w:type="paragraph" w:customStyle="1" w:styleId="Heading1TOC">
    <w:name w:val="Heading1 TOC"/>
    <w:basedOn w:val="Normal"/>
    <w:qFormat/>
    <w:rsid w:val="00771861"/>
    <w:pPr>
      <w:spacing w:before="240" w:after="120"/>
    </w:pPr>
    <w:rPr>
      <w:rFonts w:ascii="Times New Roman" w:hAnsi="Times New Roman"/>
      <w:b/>
      <w:sz w:val="32"/>
    </w:rPr>
  </w:style>
  <w:style w:type="paragraph" w:customStyle="1" w:styleId="Heading2TOC">
    <w:name w:val="Heading2 TOC"/>
    <w:basedOn w:val="Normal"/>
    <w:qFormat/>
    <w:rsid w:val="00771861"/>
    <w:pPr>
      <w:spacing w:before="240" w:after="60"/>
    </w:pPr>
    <w:rPr>
      <w:rFonts w:ascii="Times New Roman" w:hAnsi="Times New Roman"/>
      <w:b/>
      <w:sz w:val="28"/>
    </w:rPr>
  </w:style>
  <w:style w:type="character" w:customStyle="1" w:styleId="Underline">
    <w:name w:val="Underline"/>
    <w:basedOn w:val="DefaultParagraphFont"/>
    <w:qFormat/>
    <w:rsid w:val="00771861"/>
    <w:rPr>
      <w:u w:val="single"/>
    </w:rPr>
  </w:style>
  <w:style w:type="character" w:customStyle="1" w:styleId="BoldandItalics">
    <w:name w:val="Bold and Italics"/>
    <w:qFormat/>
    <w:rsid w:val="00771861"/>
    <w:rPr>
      <w:b/>
      <w:i/>
      <w:u w:val="none"/>
    </w:rPr>
  </w:style>
  <w:style w:type="paragraph" w:styleId="BalloonText">
    <w:name w:val="Balloon Text"/>
    <w:basedOn w:val="Normal"/>
    <w:link w:val="BalloonTextChar"/>
    <w:rsid w:val="00771861"/>
    <w:rPr>
      <w:rFonts w:ascii="Tahoma" w:hAnsi="Tahoma" w:cs="Tahoma"/>
      <w:sz w:val="16"/>
      <w:szCs w:val="16"/>
    </w:rPr>
  </w:style>
  <w:style w:type="character" w:customStyle="1" w:styleId="BalloonTextChar">
    <w:name w:val="Balloon Text Char"/>
    <w:basedOn w:val="DefaultParagraphFont"/>
    <w:link w:val="BalloonText"/>
    <w:rsid w:val="007718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18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8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2537</Words>
  <Characters>15080</Characters>
  <Application>Microsoft Office Word</Application>
  <DocSecurity>0</DocSecurity>
  <Lines>700</Lines>
  <Paragraphs>278</Paragraphs>
  <ScaleCrop>false</ScaleCrop>
  <Company>Author-it Software Corporation Ltd.</Company>
  <LinksUpToDate>false</LinksUpToDate>
  <CharactersWithSpaces>17379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UEGNSG205B Launch and recover PIG in a gas distribution pipeline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2012-05-26T22:04:00Z</dcterms:created>
  <dcterms:modified xsi:type="dcterms:W3CDTF">2012-05-26T22:04:00Z</dcterms:modified>
</cp:coreProperties>
</file>