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672" w:rsidP="00C25672">
      <w:pPr>
        <w:pStyle w:val="Title"/>
      </w:pPr>
      <w:r>
        <w:fldChar w:fldCharType="begin"/>
      </w:r>
      <w:r>
        <w:instrText xml:space="preserve"> TITLE   \* MERGEFORMAT </w:instrText>
      </w:r>
      <w:r>
        <w:fldChar w:fldCharType="separate"/>
      </w:r>
      <w:r>
        <w:t>UEGNSG141A Apply Workplace Health and Safety regulations, codes and practices in the gas supply industry</w:t>
      </w:r>
      <w:r>
        <w:fldChar w:fldCharType="end"/>
      </w:r>
    </w:p>
    <w:p w:rsidR="00C25672" w:rsidP="00C25672">
      <w:pPr>
        <w:pStyle w:val="Version"/>
        <w:sectPr w:rsidSect="005027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79A" w:rsidP="0050279A">
      <w:pPr>
        <w:pStyle w:val="SuperHeading"/>
      </w:pPr>
      <w:r w:rsidRPr="0050279A">
        <w:t>UEGNSG141A Apply Workplace Health and Safety regulations, codes and practices in the gas supply industry</w:t>
      </w:r>
    </w:p>
    <w:p w:rsidR="00000000" w:rsidRPr="0050279A" w:rsidP="0050279A">
      <w:pPr>
        <w:pStyle w:val="Heading1"/>
      </w:pPr>
      <w:bookmarkStart w:id="1" w:name="O_613638"/>
      <w:bookmarkEnd w:id="1"/>
      <w:r w:rsidRPr="0050279A">
        <w:t>Modification History</w:t>
      </w:r>
    </w:p>
    <w:tbl>
      <w:tblPr>
        <w:tblW w:w="0" w:type="auto"/>
        <w:tblLayout w:type="fixed"/>
        <w:tblCellMar>
          <w:left w:w="62" w:type="dxa"/>
          <w:right w:w="62" w:type="dxa"/>
        </w:tblCellMar>
        <w:tblLook w:val="0000"/>
      </w:tblPr>
      <w:tblGrid>
        <w:gridCol w:w="8280"/>
      </w:tblGrid>
      <w:tr w:rsidTr="00C25672">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This unit is a replacement in the gas supply industry for unit UEENEEE101A Apply Occupational Health and Safety regulations, codes and practices in the workplace.</w:t>
            </w:r>
          </w:p>
        </w:tc>
      </w:tr>
    </w:tbl>
    <w:p w:rsidR="00000000" w:rsidRPr="0050279A" w:rsidP="0050279A">
      <w:pPr>
        <w:pStyle w:val="BodyText"/>
      </w:pPr>
    </w:p>
    <w:p w:rsidR="00000000" w:rsidRPr="0050279A" w:rsidP="0050279A">
      <w:pPr>
        <w:pStyle w:val="AllowPageBreak"/>
      </w:pPr>
    </w:p>
    <w:p w:rsidR="00000000" w:rsidRPr="0050279A" w:rsidP="0050279A">
      <w:pPr>
        <w:pStyle w:val="Heading1"/>
      </w:pPr>
      <w:bookmarkStart w:id="2" w:name="O_613639"/>
      <w:bookmarkEnd w:id="2"/>
      <w:r w:rsidRPr="0050279A">
        <w:t>Unit Descriptor</w:t>
      </w:r>
    </w:p>
    <w:tbl>
      <w:tblPr>
        <w:tblW w:w="0" w:type="auto"/>
        <w:tblLayout w:type="fixed"/>
        <w:tblCellMar>
          <w:left w:w="62" w:type="dxa"/>
          <w:right w:w="62" w:type="dxa"/>
        </w:tblCellMar>
        <w:tblLook w:val="0000"/>
      </w:tblPr>
      <w:tblGrid>
        <w:gridCol w:w="2476"/>
        <w:gridCol w:w="5894"/>
      </w:tblGrid>
      <w:tr w:rsidTr="0050279A">
        <w:tblPrEx>
          <w:tblW w:w="0" w:type="auto"/>
          <w:tblLayout w:type="fixed"/>
          <w:tblCellMar>
            <w:left w:w="62" w:type="dxa"/>
            <w:right w:w="62" w:type="dxa"/>
          </w:tblCellMar>
          <w:tblLook w:val="0000"/>
        </w:tblPrEx>
        <w:trPr>
          <w:tblHeader/>
        </w:trPr>
        <w:tc>
          <w:tcPr>
            <w:tcW w:w="2476"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1)</w:t>
            </w:r>
          </w:p>
          <w:p w:rsidR="00000000" w:rsidP="0050279A">
            <w:pPr>
              <w:pStyle w:val="BodyText"/>
              <w:rPr>
                <w:lang w:val="en-NZ"/>
              </w:rPr>
            </w:pPr>
            <w:r w:rsidRPr="0050279A">
              <w:rPr>
                <w:rStyle w:val="SpecialBold"/>
              </w:rPr>
              <w:t>1.1) Descriptor</w:t>
            </w:r>
          </w:p>
        </w:tc>
      </w:tr>
      <w:tr w:rsidTr="0050279A">
        <w:tblPrEx>
          <w:tblW w:w="0" w:type="auto"/>
          <w:tblLayout w:type="fixed"/>
          <w:tblCellMar>
            <w:left w:w="62" w:type="dxa"/>
            <w:right w:w="62" w:type="dxa"/>
          </w:tblCellMar>
          <w:tblLook w:val="0000"/>
        </w:tblPrEx>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This unit specifies t</w:t>
            </w:r>
            <w:r w:rsidRPr="0050279A">
              <w:t xml:space="preserve">he mandatory requirements of Workplace Health and Safety (WHS)/Occupational Health and Safety (OH&amp;S) and how they apply to the various gas supply industry work functions. </w:t>
            </w:r>
          </w:p>
          <w:p w:rsidR="00000000" w:rsidRPr="0050279A" w:rsidP="0050279A">
            <w:pPr>
              <w:pStyle w:val="BodyText"/>
            </w:pPr>
            <w:r w:rsidRPr="0050279A">
              <w:t xml:space="preserve">It encompasses responsibilities for health and safety, risk management processes at </w:t>
            </w:r>
            <w:r w:rsidRPr="0050279A">
              <w:t>all operative levels and adherence to safety practices as part of the normal way of doing work.</w:t>
            </w:r>
          </w:p>
        </w:tc>
      </w:tr>
    </w:tbl>
    <w:p w:rsidR="00C25672" w:rsidP="0050279A">
      <w:pPr>
        <w:pStyle w:val="BodyText"/>
      </w:pPr>
    </w:p>
    <w:p w:rsidR="00C25672" w:rsidP="0050279A">
      <w:pPr>
        <w:pStyle w:val="BodyText"/>
      </w:pPr>
    </w:p>
    <w:p w:rsidR="00000000" w:rsidRPr="0050279A" w:rsidP="0050279A">
      <w:pPr>
        <w:pStyle w:val="Heading1"/>
      </w:pPr>
      <w:bookmarkStart w:id="3" w:name="O_613640"/>
      <w:bookmarkEnd w:id="3"/>
      <w:r w:rsidRPr="0050279A">
        <w:t>Application of the Unit</w:t>
      </w:r>
    </w:p>
    <w:tbl>
      <w:tblPr>
        <w:tblW w:w="0" w:type="auto"/>
        <w:tblLayout w:type="fixed"/>
        <w:tblCellMar>
          <w:left w:w="62" w:type="dxa"/>
          <w:right w:w="62" w:type="dxa"/>
        </w:tblCellMar>
        <w:tblLook w:val="0000"/>
      </w:tblPr>
      <w:tblGrid>
        <w:gridCol w:w="2570"/>
        <w:gridCol w:w="5800"/>
      </w:tblGrid>
      <w:tr w:rsidTr="0050279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Application of the Unit</w:t>
            </w:r>
            <w:r w:rsidRPr="0050279A">
              <w:rPr>
                <w:rStyle w:val="SpecialBold"/>
              </w:rPr>
              <w:tab/>
            </w:r>
          </w:p>
        </w:tc>
        <w:tc>
          <w:tcPr>
            <w:tcW w:w="580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2)</w:t>
            </w:r>
          </w:p>
        </w:tc>
      </w:tr>
      <w:tr w:rsidTr="0050279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This unit addresses information, processes and techniques for the application of general workplace/occupational health and safety requirements in gas supply industry workplaces and is essential for employees without managerial or supervisory responsibiliti</w:t>
            </w:r>
            <w:r w:rsidRPr="0050279A">
              <w:t xml:space="preserve">es. </w:t>
            </w:r>
          </w:p>
          <w:p w:rsidR="00000000" w:rsidRPr="0050279A" w:rsidP="0050279A">
            <w:pPr>
              <w:pStyle w:val="BodyText"/>
            </w:pPr>
            <w:r w:rsidRPr="0050279A">
              <w:t>It is subject to all Workplace Health and Safety (WHS)/Occupational Health and Safety (OH&amp;S) and duty of care requirements being met for the workplace.</w:t>
            </w:r>
          </w:p>
          <w:p w:rsidR="00000000" w:rsidRPr="0050279A" w:rsidP="0050279A">
            <w:pPr>
              <w:pStyle w:val="BodyText"/>
            </w:pPr>
            <w:r w:rsidRPr="0050279A">
              <w:t>This unit is intended as an entry level AQF 2 competency for new entrants in the gas supply industr</w:t>
            </w:r>
            <w:r w:rsidRPr="0050279A">
              <w:t>y. It is suitable for employment-based programs under an approved contract of training.</w:t>
            </w:r>
          </w:p>
        </w:tc>
      </w:tr>
    </w:tbl>
    <w:p w:rsidR="00C25672" w:rsidP="0050279A">
      <w:pPr>
        <w:pStyle w:val="BodyText"/>
      </w:pPr>
    </w:p>
    <w:p w:rsidR="00C25672" w:rsidP="0050279A">
      <w:pPr>
        <w:pStyle w:val="BodyText"/>
      </w:pPr>
    </w:p>
    <w:p w:rsidR="00000000" w:rsidRPr="0050279A" w:rsidP="0050279A">
      <w:pPr>
        <w:pStyle w:val="Heading1"/>
      </w:pPr>
      <w:bookmarkStart w:id="4" w:name="O_613641"/>
      <w:bookmarkEnd w:id="4"/>
      <w:r w:rsidRPr="0050279A">
        <w:t>Licensing/Regulatory Information</w:t>
      </w:r>
    </w:p>
    <w:tbl>
      <w:tblPr>
        <w:tblW w:w="0" w:type="auto"/>
        <w:tblLayout w:type="fixed"/>
        <w:tblCellMar>
          <w:left w:w="62" w:type="dxa"/>
          <w:right w:w="62" w:type="dxa"/>
        </w:tblCellMar>
        <w:tblLook w:val="0000"/>
      </w:tblPr>
      <w:tblGrid>
        <w:gridCol w:w="2250"/>
        <w:gridCol w:w="6120"/>
      </w:tblGrid>
      <w:tr w:rsidTr="0050279A">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License to practice</w:t>
            </w:r>
          </w:p>
        </w:tc>
        <w:tc>
          <w:tcPr>
            <w:tcW w:w="612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 xml:space="preserve"> 3)</w:t>
            </w:r>
          </w:p>
        </w:tc>
      </w:tr>
      <w:tr w:rsidTr="0050279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50279A">
            <w:pPr>
              <w:pStyle w:val="BodyText"/>
              <w:keepNext w:val="0"/>
              <w:keepLines w:val="0"/>
              <w:contextualSpacing w:val="0"/>
            </w:pPr>
          </w:p>
        </w:tc>
        <w:tc>
          <w:tcPr>
            <w:tcW w:w="612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During Training: </w:t>
            </w:r>
          </w:p>
          <w:p w:rsidR="00000000" w:rsidRPr="0050279A" w:rsidP="0050279A">
            <w:pPr>
              <w:pStyle w:val="BodyText"/>
            </w:pPr>
            <w:r w:rsidRPr="0050279A">
              <w:t xml:space="preserve">Competency development activities are subject to regulations directly related to licencing, Workplace Health and Safety/Occupational Health and Safety and where applicable contracts of training such as apprenticeships. </w:t>
            </w:r>
          </w:p>
          <w:p w:rsidR="00000000" w:rsidRPr="0050279A" w:rsidP="0050279A">
            <w:pPr>
              <w:pStyle w:val="BodyText"/>
            </w:pPr>
            <w:r w:rsidRPr="0050279A">
              <w:rPr>
                <w:rStyle w:val="SpecialBold"/>
              </w:rPr>
              <w:t xml:space="preserve">In the workplace: </w:t>
            </w:r>
          </w:p>
          <w:p w:rsidR="00000000" w:rsidRPr="0050279A" w:rsidP="0050279A">
            <w:pPr>
              <w:pStyle w:val="BodyText"/>
            </w:pPr>
            <w:r w:rsidRPr="0050279A">
              <w:t>The application o</w:t>
            </w:r>
            <w:r w:rsidRPr="0050279A">
              <w:t>f the skills and knowledge described in this unit are not subject to license regulation other than those directly related to Workplace Health and Safety (WHS)/Occupational Health and Safety (OH&amp;S), gas/electricity/water industry safety and compliance, indu</w:t>
            </w:r>
            <w:r w:rsidRPr="0050279A">
              <w:t>strial relations, environmental protection, telecommunications, anti-discrimination and training.</w:t>
            </w:r>
          </w:p>
          <w:p w:rsidR="00000000" w:rsidRPr="0050279A" w:rsidP="0050279A">
            <w:pPr>
              <w:pStyle w:val="BodyText"/>
            </w:pPr>
            <w:r w:rsidRPr="0050279A">
              <w:t>Commonwealth, State/Territory or Local Government legislation and regulations may exist that limit the age at which a person can operate certain equipment. Ot</w:t>
            </w:r>
            <w:r w:rsidRPr="0050279A">
              <w:t>her conditions may apply under State and Territory legislative and regulatory requirements.</w:t>
            </w:r>
          </w:p>
        </w:tc>
      </w:tr>
    </w:tbl>
    <w:p w:rsidR="00C25672" w:rsidP="0050279A">
      <w:pPr>
        <w:pStyle w:val="BodyText"/>
      </w:pPr>
    </w:p>
    <w:p w:rsidR="00C25672" w:rsidP="0050279A">
      <w:pPr>
        <w:pStyle w:val="BodyText"/>
      </w:pPr>
    </w:p>
    <w:p w:rsidR="00000000" w:rsidRPr="0050279A" w:rsidP="0050279A">
      <w:pPr>
        <w:pStyle w:val="Heading1"/>
      </w:pPr>
      <w:bookmarkStart w:id="5" w:name="O_613642"/>
      <w:bookmarkEnd w:id="5"/>
      <w:r w:rsidRPr="0050279A">
        <w:t>Pre-Requisites</w:t>
      </w:r>
    </w:p>
    <w:tbl>
      <w:tblPr>
        <w:tblW w:w="0" w:type="auto"/>
        <w:tblLayout w:type="fixed"/>
        <w:tblCellMar>
          <w:left w:w="62" w:type="dxa"/>
          <w:right w:w="62" w:type="dxa"/>
        </w:tblCellMar>
        <w:tblLook w:val="0000"/>
      </w:tblPr>
      <w:tblGrid>
        <w:gridCol w:w="2476"/>
        <w:gridCol w:w="5804"/>
      </w:tblGrid>
      <w:tr w:rsidTr="0050279A">
        <w:tblPrEx>
          <w:tblW w:w="0" w:type="auto"/>
          <w:tblLayout w:type="fixed"/>
          <w:tblCellMar>
            <w:left w:w="62" w:type="dxa"/>
            <w:right w:w="62" w:type="dxa"/>
          </w:tblCellMar>
          <w:tblLook w:val="0000"/>
        </w:tblPrEx>
        <w:trPr>
          <w:trHeight w:val="481"/>
          <w:tblHeader/>
        </w:trPr>
        <w:tc>
          <w:tcPr>
            <w:tcW w:w="2476"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Prerequisite Unit(s)</w:t>
            </w:r>
          </w:p>
        </w:tc>
        <w:tc>
          <w:tcPr>
            <w:tcW w:w="58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4)</w:t>
            </w:r>
          </w:p>
        </w:tc>
      </w:tr>
      <w:tr w:rsidTr="0050279A">
        <w:tblPrEx>
          <w:tblW w:w="0" w:type="auto"/>
          <w:tblLayout w:type="fixed"/>
          <w:tblCellMar>
            <w:left w:w="62" w:type="dxa"/>
            <w:right w:w="62" w:type="dxa"/>
          </w:tblCellMar>
          <w:tblLook w:val="0000"/>
        </w:tblPrEx>
        <w:tc>
          <w:tcPr>
            <w:tcW w:w="2476" w:type="dxa"/>
            <w:tcBorders>
              <w:top w:val="nil"/>
              <w:left w:val="nil"/>
              <w:bottom w:val="nil"/>
              <w:right w:val="nil"/>
            </w:tcBorders>
            <w:tcMar>
              <w:top w:w="0" w:type="dxa"/>
              <w:left w:w="62" w:type="dxa"/>
              <w:bottom w:w="0" w:type="dxa"/>
              <w:right w:w="62" w:type="dxa"/>
            </w:tcMar>
          </w:tcPr>
          <w:p w:rsidR="00000000" w:rsidRPr="0050279A">
            <w:pPr>
              <w:pStyle w:val="BodyText"/>
              <w:keepNext w:val="0"/>
              <w:keepLines w:val="0"/>
              <w:contextualSpacing w:val="0"/>
            </w:pPr>
          </w:p>
        </w:tc>
        <w:tc>
          <w:tcPr>
            <w:tcW w:w="58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4.1) Competencies</w:t>
            </w:r>
          </w:p>
        </w:tc>
      </w:tr>
      <w:tr w:rsidTr="0050279A">
        <w:tblPrEx>
          <w:tblW w:w="0" w:type="auto"/>
          <w:tblLayout w:type="fixed"/>
          <w:tblCellMar>
            <w:left w:w="62" w:type="dxa"/>
            <w:right w:w="62" w:type="dxa"/>
          </w:tblCellMar>
          <w:tblLook w:val="0000"/>
        </w:tblPrEx>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4"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There are no prerequisite competencies for this unit.</w:t>
            </w:r>
          </w:p>
        </w:tc>
      </w:tr>
    </w:tbl>
    <w:p w:rsidR="00000000" w:rsidRPr="0050279A" w:rsidP="0050279A">
      <w:pPr>
        <w:pStyle w:val="BodyText"/>
      </w:pPr>
    </w:p>
    <w:tbl>
      <w:tblPr>
        <w:tblW w:w="0" w:type="auto"/>
        <w:tblLayout w:type="fixed"/>
        <w:tblCellMar>
          <w:left w:w="62" w:type="dxa"/>
          <w:right w:w="62" w:type="dxa"/>
        </w:tblCellMar>
        <w:tblLook w:val="0000"/>
      </w:tblPr>
      <w:tblGrid>
        <w:gridCol w:w="2476"/>
        <w:gridCol w:w="5804"/>
      </w:tblGrid>
      <w:tr w:rsidTr="0050279A">
        <w:tblPrEx>
          <w:tblW w:w="0" w:type="auto"/>
          <w:tblLayout w:type="fixed"/>
          <w:tblCellMar>
            <w:left w:w="62" w:type="dxa"/>
            <w:right w:w="62" w:type="dxa"/>
          </w:tblCellMar>
          <w:tblLook w:val="0000"/>
        </w:tblPrEx>
        <w:tc>
          <w:tcPr>
            <w:tcW w:w="2476"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Literacy and numeracy skills</w:t>
            </w:r>
          </w:p>
        </w:tc>
        <w:tc>
          <w:tcPr>
            <w:tcW w:w="5804"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4.2) </w:t>
            </w:r>
          </w:p>
          <w:p w:rsidR="00000000" w:rsidRPr="0050279A" w:rsidP="0050279A">
            <w:pPr>
              <w:pStyle w:val="BodyText"/>
            </w:pPr>
            <w:r w:rsidRPr="0050279A">
              <w:t>Participants are best equipped to achieve this unit if they have reading, writing and numeracy skills indicated by the following scales. Description of each scale is given in Volume 2, Part 3 'Literacy and Numeracy'</w:t>
            </w:r>
          </w:p>
          <w:p w:rsidR="00000000" w:rsidRPr="0050279A" w:rsidP="0050279A">
            <w:pPr>
              <w:pStyle w:val="BodyText"/>
            </w:pPr>
            <w:r w:rsidRPr="0050279A">
              <w:t>Readi</w:t>
            </w:r>
            <w:r w:rsidRPr="0050279A">
              <w:t>ng     3</w:t>
            </w:r>
            <w:r w:rsidRPr="0050279A">
              <w:tab/>
              <w:t>Writing    3</w:t>
            </w:r>
            <w:r w:rsidRPr="0050279A">
              <w:tab/>
              <w:t>Numeracy</w:t>
            </w:r>
            <w:r w:rsidRPr="0050279A">
              <w:tab/>
              <w:t>3</w:t>
            </w:r>
          </w:p>
        </w:tc>
      </w:tr>
    </w:tbl>
    <w:p w:rsidR="00C25672" w:rsidP="0050279A">
      <w:pPr>
        <w:pStyle w:val="BodyText"/>
      </w:pPr>
    </w:p>
    <w:p w:rsidR="00C25672" w:rsidP="0050279A">
      <w:pPr>
        <w:pStyle w:val="BodyText"/>
      </w:pPr>
    </w:p>
    <w:p w:rsidR="00000000" w:rsidRPr="0050279A" w:rsidP="0050279A">
      <w:pPr>
        <w:pStyle w:val="Heading1"/>
      </w:pPr>
      <w:bookmarkStart w:id="6" w:name="O_613643"/>
      <w:bookmarkEnd w:id="6"/>
      <w:r w:rsidRPr="0050279A">
        <w:t>Employability Skills Information</w:t>
      </w:r>
    </w:p>
    <w:tbl>
      <w:tblPr>
        <w:tblW w:w="0" w:type="auto"/>
        <w:tblLayout w:type="fixed"/>
        <w:tblCellMar>
          <w:left w:w="62" w:type="dxa"/>
          <w:right w:w="62" w:type="dxa"/>
        </w:tblCellMar>
        <w:tblLook w:val="0000"/>
      </w:tblPr>
      <w:tblGrid>
        <w:gridCol w:w="2458"/>
        <w:gridCol w:w="5940"/>
      </w:tblGrid>
      <w:tr w:rsidTr="0050279A">
        <w:tblPrEx>
          <w:tblW w:w="0" w:type="auto"/>
          <w:tblLayout w:type="fixed"/>
          <w:tblCellMar>
            <w:left w:w="62" w:type="dxa"/>
            <w:right w:w="62" w:type="dxa"/>
          </w:tblCellMar>
          <w:tblLook w:val="0000"/>
        </w:tblPrEx>
        <w:tc>
          <w:tcPr>
            <w:tcW w:w="2458"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5)</w:t>
            </w:r>
          </w:p>
          <w:p w:rsidR="00000000" w:rsidRPr="0050279A" w:rsidP="0050279A">
            <w:pPr>
              <w:pStyle w:val="BodyText"/>
            </w:pPr>
            <w:r w:rsidRPr="0050279A">
              <w:t>This unit contains Employability Skills</w:t>
            </w:r>
          </w:p>
          <w:p w:rsidR="00000000" w:rsidRPr="0050279A" w:rsidP="0050279A">
            <w:pPr>
              <w:pStyle w:val="BodyText"/>
            </w:pPr>
            <w:r w:rsidRPr="0050279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0279A">
              <w:t>requirements.</w:t>
            </w:r>
          </w:p>
        </w:tc>
      </w:tr>
    </w:tbl>
    <w:p w:rsidR="00C25672" w:rsidP="0050279A">
      <w:pPr>
        <w:pStyle w:val="BodyText"/>
      </w:pPr>
    </w:p>
    <w:p w:rsidR="00C25672" w:rsidP="0050279A">
      <w:pPr>
        <w:pStyle w:val="BodyText"/>
      </w:pPr>
    </w:p>
    <w:p w:rsidR="00000000" w:rsidRPr="0050279A" w:rsidP="0050279A">
      <w:pPr>
        <w:pStyle w:val="Heading1"/>
      </w:pPr>
      <w:bookmarkStart w:id="7" w:name="O_613644"/>
      <w:bookmarkEnd w:id="7"/>
      <w:r w:rsidRPr="0050279A">
        <w:t>Elements and Performance Criteria Pre-Content</w:t>
      </w:r>
    </w:p>
    <w:tbl>
      <w:tblPr>
        <w:tblW w:w="0" w:type="auto"/>
        <w:tblLayout w:type="fixed"/>
        <w:tblCellMar>
          <w:left w:w="62" w:type="dxa"/>
          <w:right w:w="62" w:type="dxa"/>
        </w:tblCellMar>
        <w:tblLook w:val="0000"/>
      </w:tblPr>
      <w:tblGrid>
        <w:gridCol w:w="2220"/>
        <w:gridCol w:w="6121"/>
      </w:tblGrid>
      <w:tr w:rsidTr="0050279A">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6)</w:t>
            </w:r>
            <w:r w:rsidRPr="0050279A">
              <w:rPr>
                <w:rStyle w:val="Emphasis"/>
              </w:rPr>
              <w:t xml:space="preserve"> Elements describe the essential outcomes of a unit of competency</w:t>
            </w:r>
          </w:p>
        </w:tc>
        <w:tc>
          <w:tcPr>
            <w:tcW w:w="6121"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Emphasis"/>
              </w:rPr>
              <w:t>Performance criteria describe the required performance needed to demonstrate achievement of the Element. Assessment of performance is to be consistent with the evidence guide.</w:t>
            </w:r>
          </w:p>
        </w:tc>
      </w:tr>
    </w:tbl>
    <w:p w:rsidR="00C25672" w:rsidP="0050279A">
      <w:pPr>
        <w:pStyle w:val="BodyText"/>
      </w:pPr>
    </w:p>
    <w:p w:rsidR="00C25672" w:rsidP="0050279A">
      <w:pPr>
        <w:pStyle w:val="BodyText"/>
      </w:pPr>
    </w:p>
    <w:p w:rsidR="00000000" w:rsidRPr="0050279A" w:rsidP="0050279A">
      <w:pPr>
        <w:pStyle w:val="Heading1"/>
      </w:pPr>
      <w:bookmarkStart w:id="8" w:name="O_613645"/>
      <w:bookmarkEnd w:id="8"/>
      <w:r w:rsidRPr="0050279A">
        <w:t>Elements and Performance Criteria</w:t>
      </w:r>
    </w:p>
    <w:tbl>
      <w:tblPr>
        <w:tblW w:w="0" w:type="auto"/>
        <w:tblLayout w:type="fixed"/>
        <w:tblCellMar>
          <w:left w:w="62" w:type="dxa"/>
          <w:right w:w="62" w:type="dxa"/>
        </w:tblCellMar>
        <w:tblLook w:val="0000"/>
      </w:tblPr>
      <w:tblGrid>
        <w:gridCol w:w="343"/>
        <w:gridCol w:w="1877"/>
        <w:gridCol w:w="904"/>
        <w:gridCol w:w="5217"/>
      </w:tblGrid>
      <w:tr w:rsidTr="0050279A">
        <w:tblPrEx>
          <w:tblW w:w="0" w:type="auto"/>
          <w:tblLayout w:type="fixed"/>
          <w:tblCellMar>
            <w:left w:w="62" w:type="dxa"/>
            <w:right w:w="62" w:type="dxa"/>
          </w:tblCellMar>
          <w:tblLook w:val="0000"/>
        </w:tblPrEx>
        <w:trPr>
          <w:tblHeader/>
        </w:trPr>
        <w:tc>
          <w:tcPr>
            <w:tcW w:w="2220" w:type="dxa"/>
            <w:gridSpan w:val="2"/>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ELEMENT</w:t>
            </w:r>
          </w:p>
        </w:tc>
        <w:tc>
          <w:tcPr>
            <w:tcW w:w="61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PERFORMANCE CRITERIA</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1</w:t>
            </w:r>
          </w:p>
        </w:tc>
        <w:tc>
          <w:tcPr>
            <w:tcW w:w="1877" w:type="dxa"/>
            <w:vMerge w:val="restart"/>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Prepare to enter a work area</w:t>
            </w: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1.1</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Work area access permits are obtained from appropriate personnel according to established procedures</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1.2</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Safe work methods for controlling risk are obtained, read and understood prior to undertaking a work activity.</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1.3.</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 xml:space="preserve">Preparations for the isolation of the plant/machine/equipment are carried out where required to prevent creation of hazards from loss of </w:t>
            </w:r>
            <w:r w:rsidRPr="0050279A">
              <w:t>machine/system/process control according to established procedures.</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1.4</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 xml:space="preserve">Tools and equipment needed for the work are checked for safety and correct functionality according to established procedures and regulatory requirements. </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2</w:t>
            </w:r>
          </w:p>
        </w:tc>
        <w:tc>
          <w:tcPr>
            <w:tcW w:w="1877" w:type="dxa"/>
            <w:vMerge w:val="restart"/>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Apply safe working prac</w:t>
            </w:r>
            <w:r w:rsidRPr="0050279A">
              <w:rPr>
                <w:rStyle w:val="SpecialBold"/>
              </w:rPr>
              <w:t xml:space="preserve">tices. </w:t>
            </w: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2.1</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Safe work methods for controlling risk are followed accurately.</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2.2</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Workplace procedures for dealing with accidents, fires and emergencies are followed according to work procedures and scope of responsibility and competencies.</w:t>
            </w:r>
          </w:p>
        </w:tc>
      </w:tr>
      <w:tr w:rsidTr="0050279A">
        <w:tblPrEx>
          <w:tblW w:w="0" w:type="auto"/>
          <w:tblLayout w:type="fixed"/>
          <w:tblCellMar>
            <w:left w:w="62" w:type="dxa"/>
            <w:right w:w="62" w:type="dxa"/>
          </w:tblCellMar>
          <w:tblLook w:val="0000"/>
        </w:tblPrEx>
        <w:trPr>
          <w:trHeight w:val="999"/>
        </w:trPr>
        <w:tc>
          <w:tcPr>
            <w:tcW w:w="343"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3.</w:t>
            </w:r>
          </w:p>
        </w:tc>
        <w:tc>
          <w:tcPr>
            <w:tcW w:w="187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Follow workplace procedures for hazard identification and risk control</w:t>
            </w: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3.1</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Hazards are identified and control measures implemented and monitored through active participation in the consultation process with employer and other employees.</w:t>
            </w:r>
          </w:p>
        </w:tc>
      </w:tr>
      <w:tr w:rsidTr="0050279A">
        <w:tblPrEx>
          <w:tblW w:w="0" w:type="auto"/>
          <w:tblLayout w:type="fixed"/>
          <w:tblCellMar>
            <w:left w:w="62" w:type="dxa"/>
            <w:right w:w="62" w:type="dxa"/>
          </w:tblCellMar>
          <w:tblLook w:val="0000"/>
        </w:tblPrEx>
        <w:trPr>
          <w:trHeight w:val="931"/>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3.2</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Hazards in the work area are recognised and reported to appropriate personnel according to established procedures.</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3.3</w:t>
            </w:r>
          </w:p>
        </w:tc>
        <w:tc>
          <w:tcPr>
            <w:tcW w:w="5217"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WHS/OH&amp;S records of incidents are completed in accordance with regulatory requirements and established procedures.</w:t>
            </w:r>
          </w:p>
        </w:tc>
      </w:tr>
      <w:tr w:rsidTr="0050279A">
        <w:tblPrEx>
          <w:tblW w:w="0" w:type="auto"/>
          <w:tblLayout w:type="fixed"/>
          <w:tblCellMar>
            <w:left w:w="62" w:type="dxa"/>
            <w:right w:w="62" w:type="dxa"/>
          </w:tblCellMar>
          <w:tblLook w:val="0000"/>
        </w:tblPrEx>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3.4</w:t>
            </w:r>
          </w:p>
        </w:tc>
        <w:tc>
          <w:tcPr>
            <w:tcW w:w="5217"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Workplace instructions and training are followed accurately within established procedures.</w:t>
            </w:r>
          </w:p>
        </w:tc>
      </w:tr>
    </w:tbl>
    <w:p w:rsidR="00C25672" w:rsidP="0050279A">
      <w:pPr>
        <w:pStyle w:val="BodyText"/>
      </w:pPr>
    </w:p>
    <w:p w:rsidR="00C25672" w:rsidP="0050279A">
      <w:pPr>
        <w:pStyle w:val="BodyText"/>
      </w:pPr>
    </w:p>
    <w:p w:rsidR="00000000" w:rsidRPr="0050279A" w:rsidP="0050279A">
      <w:pPr>
        <w:pStyle w:val="Heading1"/>
      </w:pPr>
      <w:bookmarkStart w:id="9" w:name="O_613646"/>
      <w:bookmarkEnd w:id="9"/>
      <w:r w:rsidRPr="0050279A">
        <w:t>Required Skills and Knowledge</w:t>
      </w:r>
    </w:p>
    <w:tbl>
      <w:tblPr>
        <w:tblW w:w="0" w:type="auto"/>
        <w:tblLayout w:type="fixed"/>
        <w:tblCellMar>
          <w:left w:w="62" w:type="dxa"/>
          <w:right w:w="62" w:type="dxa"/>
        </w:tblCellMar>
        <w:tblLook w:val="0000"/>
      </w:tblPr>
      <w:tblGrid>
        <w:gridCol w:w="8341"/>
      </w:tblGrid>
      <w:tr w:rsidTr="00C25672">
        <w:tblPrEx>
          <w:tblW w:w="0" w:type="auto"/>
          <w:tblLayout w:type="fixed"/>
          <w:tblCellMar>
            <w:left w:w="62" w:type="dxa"/>
            <w:right w:w="62" w:type="dxa"/>
          </w:tblCellMar>
          <w:tblLook w:val="0000"/>
        </w:tblPrEx>
        <w:trPr>
          <w:tblHeader/>
        </w:trPr>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REQUIRED SKILLS AND KNOWLEDGE</w:t>
            </w:r>
          </w:p>
        </w:tc>
      </w:tr>
      <w:tr w:rsidTr="00C25672">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 xml:space="preserve">7) </w:t>
            </w:r>
            <w:r w:rsidRPr="0050279A">
              <w:rPr>
                <w:rStyle w:val="Emphasis"/>
              </w:rPr>
              <w:t>This describes the skills and knowledge and their level, required for this unit.</w:t>
            </w:r>
          </w:p>
        </w:tc>
      </w:tr>
      <w:tr w:rsidTr="00C25672">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Evidence shall show that knowledge has been acquired of safe working practices and applying WHS/OH&amp;S practices in the workplace.</w:t>
            </w:r>
          </w:p>
          <w:p w:rsidR="00000000" w:rsidP="0050279A">
            <w:pPr>
              <w:pStyle w:val="BodyText"/>
              <w:rPr>
                <w:lang w:val="en-NZ"/>
              </w:rPr>
            </w:pPr>
            <w:r w:rsidRPr="0050279A">
              <w:t>The knowledge and skills shall be contextualised to current industry standards, technologies and practices. The extent o</w:t>
            </w:r>
            <w:r w:rsidRPr="0050279A">
              <w:t>f the required skills and knowledge is provided below. It forms an integral part of the unit.</w:t>
            </w:r>
          </w:p>
        </w:tc>
      </w:tr>
      <w:tr w:rsidTr="00C25672">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KS01-G141A</w:t>
            </w:r>
            <w:r w:rsidRPr="0050279A">
              <w:rPr>
                <w:rStyle w:val="SpecialBold"/>
              </w:rPr>
              <w:tab/>
              <w:t xml:space="preserve">          Workplace/Occupational Health and Safety principles in the gas supply industry</w:t>
            </w:r>
          </w:p>
        </w:tc>
      </w:tr>
      <w:tr w:rsidTr="00C25672">
        <w:tblPrEx>
          <w:tblW w:w="0" w:type="auto"/>
          <w:tblLayout w:type="fixed"/>
          <w:tblCellMar>
            <w:left w:w="62" w:type="dxa"/>
            <w:right w:w="62" w:type="dxa"/>
          </w:tblCellMar>
          <w:tblLook w:val="0000"/>
        </w:tblPrEx>
        <w:trPr>
          <w:trHeight w:val="722"/>
        </w:trPr>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Evidence shall show an understanding of Workplace Health and</w:t>
            </w:r>
            <w:r w:rsidRPr="0050279A">
              <w:t xml:space="preserve"> Safety (WHS)/Occupational Health and Safety (OH&amp;S) to an extent indicated by the following aspects</w:t>
            </w:r>
          </w:p>
        </w:tc>
      </w:tr>
      <w:tr w:rsidTr="00C25672">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 xml:space="preserve">T1. The basic legal requirements covering workplace/occupational health and safety in the workplace encompassing: </w:t>
            </w:r>
          </w:p>
          <w:p w:rsidR="00000000" w:rsidRPr="0050279A" w:rsidP="0050279A">
            <w:pPr>
              <w:pStyle w:val="ListBullet"/>
            </w:pPr>
            <w:r w:rsidRPr="0050279A">
              <w:t>underlying principles of WHS/OH&amp;S</w:t>
            </w:r>
          </w:p>
          <w:p w:rsidR="00000000" w:rsidRPr="0050279A" w:rsidP="0050279A">
            <w:pPr>
              <w:pStyle w:val="ListBullet"/>
            </w:pPr>
            <w:r w:rsidRPr="0050279A">
              <w:t>general aims and objectives of the relevant state or territory legislation relating to WHS/OH&amp;S.</w:t>
            </w:r>
          </w:p>
          <w:p w:rsidR="00000000" w:rsidRPr="0050279A" w:rsidP="0050279A">
            <w:pPr>
              <w:pStyle w:val="ListBullet"/>
            </w:pPr>
            <w:r w:rsidRPr="0050279A">
              <w:t>enterprise policies and procedures</w:t>
            </w:r>
          </w:p>
          <w:p w:rsidR="00000000" w:rsidRPr="0050279A" w:rsidP="0050279A">
            <w:pPr>
              <w:pStyle w:val="ListBullet"/>
            </w:pPr>
            <w:r w:rsidRPr="0050279A">
              <w:t>employer and employee responsibilities, rights and obligations.</w:t>
            </w:r>
          </w:p>
          <w:p w:rsidR="00000000" w:rsidRPr="0050279A" w:rsidP="0050279A">
            <w:pPr>
              <w:pStyle w:val="ListBullet"/>
            </w:pPr>
            <w:r w:rsidRPr="0050279A">
              <w:t>major functions of safety committees and representatives.</w:t>
            </w:r>
          </w:p>
          <w:p w:rsidR="00000000" w:rsidRPr="0050279A" w:rsidP="0050279A">
            <w:pPr>
              <w:pStyle w:val="ListBullet"/>
            </w:pPr>
            <w:r w:rsidRPr="0050279A">
              <w:t>po</w:t>
            </w:r>
            <w:r w:rsidRPr="0050279A">
              <w:t>wers given to Workplace/Occupational Health and Safety Inspectors</w:t>
            </w:r>
          </w:p>
          <w:p w:rsidR="00000000" w:rsidRPr="0050279A" w:rsidP="0050279A">
            <w:pPr>
              <w:pStyle w:val="ListBullet"/>
            </w:pPr>
            <w:r w:rsidRPr="0050279A">
              <w:t>housekeeping and potential hazards in relation to improper housekeeping</w:t>
            </w:r>
          </w:p>
          <w:p w:rsidR="00000000" w:rsidRPr="0050279A" w:rsidP="0050279A">
            <w:pPr>
              <w:pStyle w:val="ListBullet"/>
            </w:pPr>
            <w:r w:rsidRPr="0050279A">
              <w:t>selecting appropriate personal protective equipment (PPE) given hazardous situations</w:t>
            </w:r>
          </w:p>
          <w:p w:rsidR="00000000" w:rsidRPr="0050279A" w:rsidP="0050279A">
            <w:pPr>
              <w:pStyle w:val="BodyText"/>
            </w:pPr>
            <w:r w:rsidRPr="0050279A">
              <w:t>T2. The work environment encompas</w:t>
            </w:r>
            <w:r w:rsidRPr="0050279A">
              <w:t xml:space="preserve">sing: </w:t>
            </w:r>
          </w:p>
          <w:p w:rsidR="00000000" w:rsidRPr="0050279A" w:rsidP="0050279A">
            <w:pPr>
              <w:pStyle w:val="ListBullet"/>
            </w:pPr>
            <w:r w:rsidRPr="0050279A">
              <w:t>typical hazards associated with a range of work environments</w:t>
            </w:r>
          </w:p>
          <w:p w:rsidR="00000000" w:rsidRPr="0050279A" w:rsidP="0050279A">
            <w:pPr>
              <w:pStyle w:val="ListBullet"/>
            </w:pPr>
            <w:r w:rsidRPr="0050279A">
              <w:t>procedures used to control the risks associated with these hazards</w:t>
            </w:r>
          </w:p>
          <w:p w:rsidR="00000000" w:rsidRPr="0050279A" w:rsidP="0050279A">
            <w:pPr>
              <w:pStyle w:val="ListBullet"/>
            </w:pPr>
            <w:r w:rsidRPr="0050279A">
              <w:t>principles of risk assessment / management and state the purpose of each.</w:t>
            </w:r>
          </w:p>
          <w:p w:rsidR="00000000" w:rsidRPr="0050279A" w:rsidP="0050279A">
            <w:pPr>
              <w:pStyle w:val="ListBullet"/>
            </w:pPr>
            <w:r w:rsidRPr="0050279A">
              <w:t>hierarchy of WHS/OH&amp;S hazard control measures.</w:t>
            </w:r>
          </w:p>
          <w:p w:rsidR="00000000" w:rsidRPr="0050279A" w:rsidP="0050279A">
            <w:pPr>
              <w:pStyle w:val="ListBullet"/>
            </w:pPr>
            <w:r w:rsidRPr="0050279A">
              <w:t>required documentation for risk assessment.</w:t>
            </w:r>
          </w:p>
          <w:p w:rsidR="00000000" w:rsidRPr="0050279A" w:rsidP="0050279A">
            <w:pPr>
              <w:pStyle w:val="ListBullet"/>
            </w:pPr>
            <w:r w:rsidRPr="0050279A">
              <w:t>commonly used workplace safety signs.</w:t>
            </w:r>
          </w:p>
          <w:p w:rsidR="00000000" w:rsidRPr="0050279A" w:rsidP="0050279A">
            <w:pPr>
              <w:pStyle w:val="ListBullet"/>
            </w:pPr>
            <w:r w:rsidRPr="0050279A">
              <w:t>workplace emergencies that pose a threat to health and safety and suitable procedure for an emergency workplace evacuation.</w:t>
            </w:r>
          </w:p>
          <w:p w:rsidR="00000000" w:rsidRPr="0050279A" w:rsidP="0050279A">
            <w:pPr>
              <w:pStyle w:val="ListBullet"/>
            </w:pPr>
            <w:r w:rsidRPr="0050279A">
              <w:t>appropriate fire extinguisher for a given type of</w:t>
            </w:r>
            <w:r w:rsidRPr="0050279A">
              <w:t xml:space="preserve"> fire.</w:t>
            </w:r>
          </w:p>
          <w:p w:rsidR="00000000" w:rsidRPr="0050279A" w:rsidP="0050279A">
            <w:pPr>
              <w:pStyle w:val="ListBullet"/>
            </w:pPr>
            <w:r w:rsidRPr="0050279A">
              <w:t>requirements for the location, mounting and maintenance of portable fire extinguishers.</w:t>
            </w:r>
          </w:p>
          <w:p w:rsidR="00000000" w:rsidRPr="0050279A" w:rsidP="0050279A">
            <w:pPr>
              <w:pStyle w:val="ListBullet"/>
            </w:pPr>
            <w:r w:rsidRPr="0050279A">
              <w:t>basic process of fighting a fire.</w:t>
            </w:r>
          </w:p>
          <w:p w:rsidR="00000000" w:rsidRPr="0050279A" w:rsidP="0050279A">
            <w:pPr>
              <w:pStyle w:val="ListBullet"/>
            </w:pPr>
            <w:r w:rsidRPr="0050279A">
              <w:t>Importance of safe premises, buildings and security in an industrial setting and the consequences of non- compliance.</w:t>
            </w:r>
          </w:p>
          <w:p w:rsidR="00000000" w:rsidRPr="0050279A" w:rsidP="0050279A">
            <w:pPr>
              <w:pStyle w:val="ListBullet"/>
            </w:pPr>
            <w:r w:rsidRPr="0050279A">
              <w:t xml:space="preserve">standard </w:t>
            </w:r>
            <w:r w:rsidRPr="0050279A">
              <w:t>work procedure.</w:t>
            </w:r>
          </w:p>
          <w:p w:rsidR="00000000" w:rsidRPr="0050279A" w:rsidP="0050279A">
            <w:pPr>
              <w:pStyle w:val="BodyText"/>
            </w:pPr>
            <w:r w:rsidRPr="0050279A">
              <w:t>T3. Manual Handling encompassing:</w:t>
            </w:r>
          </w:p>
          <w:p w:rsidR="00000000" w:rsidRPr="0050279A" w:rsidP="0050279A">
            <w:pPr>
              <w:pStyle w:val="ListBullet"/>
            </w:pPr>
            <w:r w:rsidRPr="0050279A">
              <w:t>typical manual handling injuries and the effect they can have on lifestyle</w:t>
            </w:r>
          </w:p>
          <w:p w:rsidR="00000000" w:rsidRPr="0050279A" w:rsidP="0050279A">
            <w:pPr>
              <w:pStyle w:val="ListBullet"/>
            </w:pPr>
            <w:r w:rsidRPr="0050279A">
              <w:t>situations that may cause manual handling injuries</w:t>
            </w:r>
          </w:p>
          <w:p w:rsidR="00000000" w:rsidRPr="0050279A" w:rsidP="0050279A">
            <w:pPr>
              <w:pStyle w:val="ListBullet"/>
            </w:pPr>
            <w:r w:rsidRPr="0050279A">
              <w:t>correct procedures for lifting and carrying to prevent manual handling injuries</w:t>
            </w:r>
          </w:p>
          <w:p w:rsidR="00000000" w:rsidRPr="0050279A" w:rsidP="0050279A">
            <w:pPr>
              <w:pStyle w:val="BodyText"/>
            </w:pPr>
            <w:r w:rsidRPr="0050279A">
              <w:t>T4. Chemicals in the workplace encompassing:</w:t>
            </w:r>
          </w:p>
          <w:p w:rsidR="00000000" w:rsidRPr="0050279A" w:rsidP="0050279A">
            <w:pPr>
              <w:pStyle w:val="ListBullet"/>
            </w:pPr>
            <w:r w:rsidRPr="0050279A">
              <w:t>hazardous substances and dangerous goods.</w:t>
            </w:r>
          </w:p>
          <w:p w:rsidR="00000000" w:rsidRPr="0050279A" w:rsidP="0050279A">
            <w:pPr>
              <w:pStyle w:val="ListBullet"/>
            </w:pPr>
            <w:r w:rsidRPr="0050279A">
              <w:t>classification of chemicals as hazardous substances and/or dangerous goods</w:t>
            </w:r>
          </w:p>
          <w:p w:rsidR="00000000" w:rsidRPr="0050279A" w:rsidP="0050279A">
            <w:pPr>
              <w:pStyle w:val="ListBullet"/>
            </w:pPr>
            <w:r w:rsidRPr="0050279A">
              <w:t>requirements for labelling of chemicals in the workplace</w:t>
            </w:r>
          </w:p>
          <w:p w:rsidR="00000000" w:rsidRPr="0050279A" w:rsidP="0050279A">
            <w:pPr>
              <w:pStyle w:val="ListBullet"/>
            </w:pPr>
            <w:r w:rsidRPr="0050279A">
              <w:t>safe storage procedures for chemica</w:t>
            </w:r>
            <w:r w:rsidRPr="0050279A">
              <w:t>ls</w:t>
            </w:r>
          </w:p>
          <w:p w:rsidR="00000000" w:rsidRPr="0050279A" w:rsidP="0050279A">
            <w:pPr>
              <w:pStyle w:val="ListBullet"/>
            </w:pPr>
            <w:r w:rsidRPr="0050279A">
              <w:t>purpose and interpretation of material safety data sheet (MSDS)</w:t>
            </w:r>
          </w:p>
          <w:p w:rsidR="00000000" w:rsidRPr="0050279A" w:rsidP="0050279A">
            <w:pPr>
              <w:pStyle w:val="BodyText"/>
            </w:pPr>
            <w:r w:rsidRPr="0050279A">
              <w:t>T5. Working at heights encompassing:</w:t>
            </w:r>
          </w:p>
          <w:p w:rsidR="00000000" w:rsidRPr="0050279A" w:rsidP="0050279A">
            <w:pPr>
              <w:pStyle w:val="ListBullet"/>
            </w:pPr>
            <w:r w:rsidRPr="0050279A">
              <w:t>dangers associated with working on ladders and scaffolds</w:t>
            </w:r>
          </w:p>
          <w:p w:rsidR="00000000" w:rsidRPr="0050279A" w:rsidP="0050279A">
            <w:pPr>
              <w:pStyle w:val="ListBullet"/>
            </w:pPr>
            <w:r w:rsidRPr="0050279A">
              <w:t>identification of work area as a height risk and use appropriate safety equipment to prevent a</w:t>
            </w:r>
            <w:r w:rsidRPr="0050279A">
              <w:t xml:space="preserve"> fall</w:t>
            </w:r>
          </w:p>
          <w:p w:rsidR="00000000" w:rsidRPr="0050279A" w:rsidP="0050279A">
            <w:pPr>
              <w:pStyle w:val="ListBullet"/>
            </w:pPr>
            <w:r w:rsidRPr="0050279A">
              <w:t>selecting an appropriate ladder for a given situation and perform a safety check before use</w:t>
            </w:r>
          </w:p>
          <w:p w:rsidR="00000000" w:rsidRPr="0050279A" w:rsidP="0050279A">
            <w:pPr>
              <w:pStyle w:val="ListBullet"/>
            </w:pPr>
            <w:r w:rsidRPr="0050279A">
              <w:t>precautions that should be taken when ascending and working off a ladder</w:t>
            </w:r>
          </w:p>
          <w:p w:rsidR="00000000" w:rsidRPr="0050279A" w:rsidP="0050279A">
            <w:pPr>
              <w:pStyle w:val="ListBullet"/>
            </w:pPr>
            <w:r w:rsidRPr="0050279A">
              <w:t>precautions that should be taken when working on and around a scaffold and elevated p</w:t>
            </w:r>
            <w:r w:rsidRPr="0050279A">
              <w:t>latforms.</w:t>
            </w:r>
          </w:p>
          <w:p w:rsidR="00000000" w:rsidRPr="0050279A" w:rsidP="0050279A">
            <w:pPr>
              <w:pStyle w:val="BodyText"/>
            </w:pPr>
            <w:r w:rsidRPr="0050279A">
              <w:t>T6. Confined spaces encompassing:</w:t>
            </w:r>
          </w:p>
          <w:p w:rsidR="00000000" w:rsidRPr="0050279A" w:rsidP="0050279A">
            <w:pPr>
              <w:pStyle w:val="ListBullet"/>
            </w:pPr>
            <w:r w:rsidRPr="0050279A">
              <w:t>hazards associated with working in a confined space</w:t>
            </w:r>
          </w:p>
          <w:p w:rsidR="00000000" w:rsidRPr="0050279A" w:rsidP="0050279A">
            <w:pPr>
              <w:pStyle w:val="ListBullet"/>
            </w:pPr>
            <w:r w:rsidRPr="0050279A">
              <w:t>identifying workplace situations that could be classified as a confined space</w:t>
            </w:r>
          </w:p>
          <w:p w:rsidR="00000000" w:rsidRPr="0050279A" w:rsidP="0050279A">
            <w:pPr>
              <w:pStyle w:val="ListBullet"/>
            </w:pPr>
            <w:r w:rsidRPr="0050279A">
              <w:t>requirements for working in a designated confined space</w:t>
            </w:r>
          </w:p>
          <w:p w:rsidR="00000000" w:rsidRPr="0050279A" w:rsidP="0050279A">
            <w:pPr>
              <w:pStyle w:val="BodyText"/>
            </w:pPr>
            <w:r w:rsidRPr="0050279A">
              <w:t>T7. Hazardous areas encompassing:</w:t>
            </w:r>
          </w:p>
          <w:p w:rsidR="00000000" w:rsidRPr="0050279A" w:rsidP="0050279A">
            <w:pPr>
              <w:pStyle w:val="ListBullet"/>
            </w:pPr>
            <w:r w:rsidRPr="0050279A">
              <w:t>hazards associated with working in a hazardous area</w:t>
            </w:r>
          </w:p>
          <w:p w:rsidR="00000000" w:rsidRPr="0050279A" w:rsidP="0050279A">
            <w:pPr>
              <w:pStyle w:val="ListBullet"/>
            </w:pPr>
            <w:r w:rsidRPr="0050279A">
              <w:t>identifying workplace situations that could be classified as a hazardous area</w:t>
            </w:r>
          </w:p>
          <w:p w:rsidR="00000000" w:rsidRPr="0050279A" w:rsidP="0050279A">
            <w:pPr>
              <w:pStyle w:val="ListBullet"/>
            </w:pPr>
            <w:r w:rsidRPr="0050279A">
              <w:t>requirements for working in a designated hazardous area</w:t>
            </w:r>
          </w:p>
          <w:p w:rsidR="00000000" w:rsidRPr="0050279A" w:rsidP="0050279A">
            <w:pPr>
              <w:pStyle w:val="BodyText"/>
            </w:pPr>
            <w:r w:rsidRPr="0050279A">
              <w:t>T8. Physical and psychological haza</w:t>
            </w:r>
            <w:r w:rsidRPr="0050279A">
              <w:t>rds encompassing:</w:t>
            </w:r>
          </w:p>
          <w:p w:rsidR="00000000" w:rsidRPr="0050279A" w:rsidP="0050279A">
            <w:pPr>
              <w:pStyle w:val="ListBullet"/>
            </w:pPr>
            <w:r w:rsidRPr="0050279A">
              <w:t>short and long term effects of excessive noise and techniques to avoid damage to hearing due to excessive noise</w:t>
            </w:r>
          </w:p>
          <w:p w:rsidR="00000000" w:rsidRPr="0050279A" w:rsidP="0050279A">
            <w:pPr>
              <w:pStyle w:val="ListBullet"/>
            </w:pPr>
            <w:r w:rsidRPr="0050279A">
              <w:t>effects of vibration on the human body and work practices to protect against vibration</w:t>
            </w:r>
          </w:p>
          <w:p w:rsidR="00000000" w:rsidRPr="0050279A" w:rsidP="0050279A">
            <w:pPr>
              <w:pStyle w:val="ListBullet"/>
            </w:pPr>
            <w:r w:rsidRPr="0050279A">
              <w:t>effects of thermal stress on the human</w:t>
            </w:r>
            <w:r w:rsidRPr="0050279A">
              <w:t xml:space="preserve"> body and work practices to protect against thermal stress</w:t>
            </w:r>
          </w:p>
          <w:p w:rsidR="00000000" w:rsidRPr="0050279A" w:rsidP="0050279A">
            <w:pPr>
              <w:pStyle w:val="ListBullet"/>
            </w:pPr>
            <w:r w:rsidRPr="0050279A">
              <w:t>effects of ultraviolet (UV) radiation on the human body and work practices to protect against UV radiation.</w:t>
            </w:r>
          </w:p>
          <w:p w:rsidR="00000000" w:rsidRPr="0050279A" w:rsidP="0050279A">
            <w:pPr>
              <w:pStyle w:val="ListBullet"/>
            </w:pPr>
            <w:r w:rsidRPr="0050279A">
              <w:t>dangers associated with laser operated equipment and tools and suitable protective measur</w:t>
            </w:r>
            <w:r w:rsidRPr="0050279A">
              <w:t>es to overcome the danger.</w:t>
            </w:r>
          </w:p>
          <w:p w:rsidR="00000000" w:rsidRPr="0050279A" w:rsidP="0050279A">
            <w:pPr>
              <w:pStyle w:val="ListBullet"/>
            </w:pPr>
            <w:r w:rsidRPr="0050279A">
              <w:t>occupational overuse syndrome, how it occurs and means to overcome it</w:t>
            </w:r>
          </w:p>
          <w:p w:rsidR="00000000" w:rsidRPr="0050279A" w:rsidP="0050279A">
            <w:pPr>
              <w:pStyle w:val="ListBullet"/>
            </w:pPr>
            <w:r w:rsidRPr="0050279A">
              <w:t>factors that cause stress in the workplace, symptoms of a person suffering from stress and personal stress management techniques</w:t>
            </w:r>
          </w:p>
          <w:p w:rsidR="00000000" w:rsidRPr="0050279A" w:rsidP="0050279A">
            <w:pPr>
              <w:pStyle w:val="ListBullet"/>
            </w:pPr>
            <w:r w:rsidRPr="0050279A">
              <w:t>detrimental effects and danger</w:t>
            </w:r>
            <w:r w:rsidRPr="0050279A">
              <w:t>s of drug and alcohol use in the workplace</w:t>
            </w:r>
          </w:p>
          <w:p w:rsidR="00000000" w:rsidRPr="0050279A" w:rsidP="0050279A">
            <w:pPr>
              <w:pStyle w:val="BodyText"/>
            </w:pPr>
            <w:r w:rsidRPr="0050279A">
              <w:t>T9. Working safely with gases encompassing:</w:t>
            </w:r>
          </w:p>
          <w:p w:rsidR="00000000" w:rsidRPr="0050279A" w:rsidP="0050279A">
            <w:pPr>
              <w:pStyle w:val="ListBullet"/>
            </w:pPr>
            <w:r w:rsidRPr="0050279A">
              <w:t>types and classes: fuelled, flammable and other relevant gases</w:t>
            </w:r>
          </w:p>
          <w:p w:rsidR="00000000" w:rsidRPr="0050279A" w:rsidP="0050279A">
            <w:pPr>
              <w:pStyle w:val="ListBullet"/>
            </w:pPr>
            <w:r w:rsidRPr="0050279A">
              <w:t>effects of gases on the human body</w:t>
            </w:r>
          </w:p>
          <w:p w:rsidR="00000000" w:rsidRPr="0050279A" w:rsidP="0050279A">
            <w:pPr>
              <w:pStyle w:val="ListBullet"/>
            </w:pPr>
            <w:r w:rsidRPr="0050279A">
              <w:t>common causes of gas accidents and ignition</w:t>
            </w:r>
          </w:p>
          <w:p w:rsidR="00000000" w:rsidRPr="0050279A" w:rsidP="0050279A">
            <w:pPr>
              <w:pStyle w:val="ListBullet"/>
            </w:pPr>
            <w:r w:rsidRPr="0050279A">
              <w:t xml:space="preserve">products of (complete and </w:t>
            </w:r>
            <w:r w:rsidRPr="0050279A">
              <w:t>incomplete) combustion</w:t>
            </w:r>
          </w:p>
          <w:p w:rsidR="00000000" w:rsidRPr="0050279A" w:rsidP="0050279A">
            <w:pPr>
              <w:pStyle w:val="ListBullet"/>
            </w:pPr>
            <w:r w:rsidRPr="0050279A">
              <w:t>precautions that can minimise the chance of gas accidents and ignition</w:t>
            </w:r>
          </w:p>
          <w:p w:rsidR="00000000" w:rsidRPr="0050279A" w:rsidP="0050279A">
            <w:pPr>
              <w:pStyle w:val="ListBullet"/>
            </w:pPr>
            <w:r w:rsidRPr="0050279A">
              <w:t xml:space="preserve">requirements for working with gases </w:t>
            </w:r>
          </w:p>
          <w:p w:rsidR="00000000" w:rsidRPr="0050279A" w:rsidP="0050279A">
            <w:pPr>
              <w:pStyle w:val="ListBullet"/>
            </w:pPr>
            <w:r w:rsidRPr="0050279A">
              <w:t>fire protection and control/extinguishing</w:t>
            </w:r>
          </w:p>
          <w:p w:rsidR="00000000" w:rsidRPr="0050279A" w:rsidP="0050279A">
            <w:pPr>
              <w:pStyle w:val="BodyText"/>
            </w:pPr>
            <w:r w:rsidRPr="0050279A">
              <w:t>T10. Working safely with electricity encompassing:</w:t>
            </w:r>
          </w:p>
          <w:p w:rsidR="00000000" w:rsidRPr="0050279A" w:rsidP="0050279A">
            <w:pPr>
              <w:pStyle w:val="ListBullet"/>
            </w:pPr>
            <w:r w:rsidRPr="0050279A">
              <w:t>effects of electric shock on the human body</w:t>
            </w:r>
          </w:p>
          <w:p w:rsidR="00000000" w:rsidRPr="0050279A" w:rsidP="0050279A">
            <w:pPr>
              <w:pStyle w:val="ListBullet"/>
            </w:pPr>
            <w:r w:rsidRPr="0050279A">
              <w:t>common causes of electrical accidents</w:t>
            </w:r>
          </w:p>
          <w:p w:rsidR="00000000" w:rsidRPr="0050279A" w:rsidP="0050279A">
            <w:pPr>
              <w:pStyle w:val="ListBullet"/>
            </w:pPr>
            <w:r w:rsidRPr="0050279A">
              <w:t>static electricity</w:t>
            </w:r>
          </w:p>
          <w:p w:rsidR="00000000" w:rsidRPr="0050279A" w:rsidP="0050279A">
            <w:pPr>
              <w:pStyle w:val="ListBullet"/>
            </w:pPr>
            <w:r w:rsidRPr="0050279A">
              <w:t xml:space="preserve">precautions that can minimise the chance of electric shock </w:t>
            </w:r>
          </w:p>
          <w:p w:rsidR="00000000" w:rsidRPr="0050279A" w:rsidP="0050279A">
            <w:pPr>
              <w:pStyle w:val="ListBullet"/>
            </w:pPr>
            <w:r w:rsidRPr="0050279A">
              <w:t>precautions when of removing an electric shock victim from a live electrical situation</w:t>
            </w:r>
          </w:p>
          <w:p w:rsidR="00000000" w:rsidRPr="0050279A" w:rsidP="0050279A">
            <w:pPr>
              <w:pStyle w:val="BodyText"/>
            </w:pPr>
            <w:r w:rsidRPr="0050279A">
              <w:t>T11. Fir</w:t>
            </w:r>
            <w:r w:rsidRPr="0050279A">
              <w:t xml:space="preserve">st Aid in the workplace encompassing: </w:t>
            </w:r>
          </w:p>
          <w:p w:rsidR="00000000" w:rsidRPr="0050279A" w:rsidP="0050279A">
            <w:pPr>
              <w:pStyle w:val="ListBullet"/>
            </w:pPr>
            <w:r w:rsidRPr="0050279A">
              <w:t xml:space="preserve">First Aid response procedures </w:t>
            </w:r>
          </w:p>
          <w:p w:rsidR="00000000" w:rsidRPr="0050279A" w:rsidP="0050279A">
            <w:pPr>
              <w:pStyle w:val="ListBullet2"/>
            </w:pPr>
            <w:r w:rsidRPr="0050279A">
              <w:t>DRS</w:t>
            </w:r>
          </w:p>
          <w:p w:rsidR="00000000" w:rsidRPr="0050279A" w:rsidP="0050279A">
            <w:pPr>
              <w:pStyle w:val="ListBullet2"/>
            </w:pPr>
            <w:r w:rsidRPr="0050279A">
              <w:t xml:space="preserve">Overview of ABCD </w:t>
            </w:r>
          </w:p>
          <w:p w:rsidR="00000000" w:rsidRPr="0050279A" w:rsidP="0050279A">
            <w:pPr>
              <w:pStyle w:val="ListBullet"/>
            </w:pPr>
            <w:r w:rsidRPr="0050279A">
              <w:t>responsibilities of the First Aider.</w:t>
            </w:r>
          </w:p>
          <w:p w:rsidR="00000000" w:rsidRPr="0050279A" w:rsidP="0050279A">
            <w:pPr>
              <w:pStyle w:val="ListBullet"/>
            </w:pPr>
            <w:r w:rsidRPr="0050279A">
              <w:t>priorities of first aid management for any accident or injury.</w:t>
            </w:r>
          </w:p>
          <w:p w:rsidR="00000000" w:rsidRPr="0050279A" w:rsidP="0050279A">
            <w:pPr>
              <w:pStyle w:val="ListBullet"/>
            </w:pPr>
            <w:r w:rsidRPr="0050279A">
              <w:t>procedures required at an accident scene.</w:t>
            </w:r>
          </w:p>
          <w:p w:rsidR="00000000" w:rsidRPr="0050279A" w:rsidP="0050279A">
            <w:pPr>
              <w:pStyle w:val="ListBullet"/>
            </w:pPr>
            <w:r w:rsidRPr="0050279A">
              <w:t>legal and ethical issues, which may impact on the management of care.</w:t>
            </w:r>
          </w:p>
          <w:p w:rsidR="00000000" w:rsidRPr="0050279A" w:rsidP="0050279A">
            <w:pPr>
              <w:pStyle w:val="ListBullet"/>
            </w:pPr>
            <w:r w:rsidRPr="0050279A">
              <w:t>'Duty of Care'.</w:t>
            </w:r>
          </w:p>
          <w:p w:rsidR="00000000" w:rsidRPr="0050279A" w:rsidP="0050279A">
            <w:pPr>
              <w:pStyle w:val="ListBullet"/>
            </w:pPr>
            <w:r w:rsidRPr="0050279A">
              <w:t>examination of a casualty for injuries.</w:t>
            </w:r>
          </w:p>
        </w:tc>
      </w:tr>
    </w:tbl>
    <w:p w:rsidR="00C25672" w:rsidP="0050279A">
      <w:pPr>
        <w:pStyle w:val="BodyText"/>
      </w:pPr>
    </w:p>
    <w:p w:rsidR="00C25672" w:rsidP="0050279A">
      <w:pPr>
        <w:pStyle w:val="BodyText"/>
      </w:pPr>
    </w:p>
    <w:p w:rsidR="00000000" w:rsidRPr="0050279A" w:rsidP="0050279A">
      <w:pPr>
        <w:pStyle w:val="Heading1"/>
      </w:pPr>
      <w:bookmarkStart w:id="10" w:name="O_613647"/>
      <w:bookmarkEnd w:id="10"/>
      <w:r w:rsidRPr="0050279A">
        <w:t>Evidence Guide</w:t>
      </w:r>
    </w:p>
    <w:tbl>
      <w:tblPr>
        <w:tblW w:w="0" w:type="auto"/>
        <w:tblLayout w:type="fixed"/>
        <w:tblCellMar>
          <w:left w:w="62" w:type="dxa"/>
          <w:right w:w="62" w:type="dxa"/>
        </w:tblCellMar>
        <w:tblLook w:val="0000"/>
      </w:tblPr>
      <w:tblGrid>
        <w:gridCol w:w="2070"/>
        <w:gridCol w:w="810"/>
        <w:gridCol w:w="540"/>
        <w:gridCol w:w="4884"/>
        <w:gridCol w:w="37"/>
      </w:tblGrid>
      <w:tr w:rsidTr="0050279A">
        <w:tblPrEx>
          <w:tblW w:w="0" w:type="auto"/>
          <w:tblLayout w:type="fixed"/>
          <w:tblCellMar>
            <w:left w:w="62" w:type="dxa"/>
            <w:right w:w="62" w:type="dxa"/>
          </w:tblCellMar>
          <w:tblLook w:val="0000"/>
        </w:tblPrEx>
        <w:trPr>
          <w:gridAfter w:val="1"/>
          <w:wAfter w:w="37" w:type="dxa"/>
          <w:tblHeader/>
        </w:trPr>
        <w:tc>
          <w:tcPr>
            <w:tcW w:w="8304" w:type="dxa"/>
            <w:gridSpan w:val="4"/>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EVIDENCE GUIDE</w:t>
            </w:r>
          </w:p>
        </w:tc>
      </w:tr>
      <w:tr w:rsidTr="0050279A">
        <w:tblPrEx>
          <w:tblW w:w="0" w:type="auto"/>
          <w:tblLayout w:type="fixed"/>
          <w:tblCellMar>
            <w:left w:w="62" w:type="dxa"/>
            <w:right w:w="62" w:type="dxa"/>
          </w:tblCellMar>
          <w:tblLook w:val="0000"/>
        </w:tblPrEx>
        <w:trPr>
          <w:gridAfter w:val="1"/>
          <w:wAfter w:w="37" w:type="dxa"/>
        </w:trPr>
        <w:tc>
          <w:tcPr>
            <w:tcW w:w="8304" w:type="dxa"/>
            <w:gridSpan w:val="4"/>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8)</w:t>
            </w:r>
            <w:r w:rsidRPr="0050279A">
              <w:t xml:space="preserve"> The Evidence Guide forms an integral pa</w:t>
            </w:r>
            <w:r w:rsidRPr="0050279A">
              <w:t>rt of this unit. It must be used in conjunction with all parts of the unit and performed in accordance with the Assessment Guidelines of this Training Package.</w:t>
            </w:r>
          </w:p>
        </w:tc>
      </w:tr>
      <w:tr w:rsidTr="0050279A">
        <w:tblPrEx>
          <w:tblW w:w="0" w:type="auto"/>
          <w:tblLayout w:type="fixed"/>
          <w:tblCellMar>
            <w:left w:w="62" w:type="dxa"/>
            <w:right w:w="62" w:type="dxa"/>
          </w:tblCellMar>
          <w:tblLook w:val="0000"/>
        </w:tblPrEx>
        <w:trPr>
          <w:gridAfter w:val="1"/>
          <w:wAfter w:w="37" w:type="dxa"/>
        </w:trPr>
        <w:tc>
          <w:tcPr>
            <w:tcW w:w="207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Overview of Assessment</w:t>
            </w:r>
          </w:p>
        </w:tc>
        <w:tc>
          <w:tcPr>
            <w:tcW w:w="6234" w:type="dxa"/>
            <w:gridSpan w:val="3"/>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8.1) </w:t>
            </w:r>
          </w:p>
          <w:p w:rsidR="00000000" w:rsidRPr="0050279A" w:rsidP="0050279A">
            <w:pPr>
              <w:pStyle w:val="BodyText"/>
            </w:pPr>
            <w:r w:rsidRPr="0050279A">
              <w:t>Longitudinal competency development approaches to assessment, s</w:t>
            </w:r>
            <w:r w:rsidRPr="0050279A">
              <w:t>uch as Profiling, require data to be reliably gathered in a form that can be consistently interpreted over time. This approach is best utilised in Apprenticeship programs and reduces assessment intervention. It is the industry-preferred model for apprentic</w:t>
            </w:r>
            <w:r w:rsidRPr="0050279A">
              <w:t>eships. However, where summative (or final) assessment is used it is to include the application of the competency in the normal work environment or, at a minimum, the application of the competency in a realistically simulated work environment. It is recogn</w:t>
            </w:r>
            <w:r w:rsidRPr="0050279A">
              <w:t>ised that, in some circumstances, assessment in part or full can occur outside the workplace. However, it must be in accordance with industry and regulatory policy.</w:t>
            </w:r>
          </w:p>
          <w:p w:rsidR="00000000" w:rsidRPr="0050279A" w:rsidP="0050279A">
            <w:pPr>
              <w:pStyle w:val="BodyText"/>
            </w:pPr>
            <w:r w:rsidRPr="0050279A">
              <w:t>Methods chosen for a particular assessment will be influenced by various factors. These inc</w:t>
            </w:r>
            <w:r w:rsidRPr="0050279A">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50279A" w:rsidP="0050279A">
            <w:pPr>
              <w:pStyle w:val="BodyText"/>
            </w:pPr>
            <w:r w:rsidRPr="0050279A">
              <w:t>The criti</w:t>
            </w:r>
            <w:r w:rsidRPr="0050279A">
              <w:t>cal safety nature of working with electricity, electrical equipment, gas or any other hazardous substance/material carries risk in deeming a person competent. Sources of evidence need to be 'rich' in nature to minimise error in judgment.</w:t>
            </w:r>
          </w:p>
          <w:p w:rsidR="00000000" w:rsidP="0050279A">
            <w:pPr>
              <w:pStyle w:val="BodyText"/>
              <w:rPr>
                <w:lang w:val="en-NZ"/>
              </w:rPr>
            </w:pPr>
            <w:r w:rsidRPr="0050279A">
              <w:t>Activities associa</w:t>
            </w:r>
            <w:r w:rsidRPr="0050279A">
              <w:t>ted with normal everyday work have a bearing on the decision as to how much and how detailed the data gathered will contribute to its 'richness'. Some skills are more critical to safety and operational requirements while the same skills may be more or less</w:t>
            </w:r>
            <w:r w:rsidRPr="0050279A">
              <w:t xml:space="preserve"> frequently practised. These points are raised for the assessors to </w:t>
            </w:r>
            <w:r w:rsidRPr="0050279A">
              <w:t>consider when choosing an assessment method and developing assessment instruments. Sample assessment instruments are included for Assessors in the Assessment Guidelines of this Training Pa</w:t>
            </w:r>
            <w:r w:rsidRPr="0050279A">
              <w:t>ckage.</w:t>
            </w:r>
          </w:p>
        </w:tc>
      </w:tr>
      <w:tr w:rsidTr="0050279A">
        <w:tblPrEx>
          <w:tblW w:w="0" w:type="auto"/>
          <w:tblLayout w:type="fixed"/>
          <w:tblCellMar>
            <w:left w:w="62" w:type="dxa"/>
            <w:right w:w="62" w:type="dxa"/>
          </w:tblCellMar>
          <w:tblLook w:val="0000"/>
        </w:tblPrEx>
        <w:trPr>
          <w:gridAfter w:val="1"/>
          <w:wAfter w:w="37" w:type="dxa"/>
        </w:trPr>
        <w:tc>
          <w:tcPr>
            <w:tcW w:w="2070" w:type="dxa"/>
            <w:vMerge w:val="restart"/>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Critical aspects of evidence required to demonstrate competency in this unit</w:t>
            </w:r>
          </w:p>
        </w:tc>
        <w:tc>
          <w:tcPr>
            <w:tcW w:w="6234" w:type="dxa"/>
            <w:gridSpan w:val="3"/>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8.2) </w:t>
            </w:r>
          </w:p>
          <w:p w:rsidR="00000000" w:rsidP="0050279A">
            <w:pPr>
              <w:pStyle w:val="BodyText"/>
              <w:rPr>
                <w:lang w:val="en-NZ"/>
              </w:rPr>
            </w:pPr>
            <w:r w:rsidRPr="0050279A">
              <w:t>Before the critical aspects of evidence are considered all prerequisites must be met.</w:t>
            </w:r>
          </w:p>
        </w:tc>
      </w:tr>
      <w:tr w:rsidTr="0050279A">
        <w:tblPrEx>
          <w:tblW w:w="0" w:type="auto"/>
          <w:tblLayout w:type="fixed"/>
          <w:tblCellMar>
            <w:left w:w="62" w:type="dxa"/>
            <w:right w:w="62" w:type="dxa"/>
          </w:tblCellMar>
          <w:tblLook w:val="0000"/>
        </w:tblPrEx>
        <w:trPr>
          <w:gridAfter w:val="1"/>
          <w:wAfter w:w="37" w:type="dxa"/>
        </w:trPr>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4" w:type="dxa"/>
            <w:gridSpan w:val="3"/>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Evidence for competence in this unit shall be considered holistically.  Each element and associated performance criteria shall be demonstrated on at least two occasions in accordance with the 'Assessment Guidelines - UEG11'. Evidence shall also comprise:</w:t>
            </w:r>
          </w:p>
          <w:p w:rsidR="00000000" w:rsidP="0050279A">
            <w:pPr>
              <w:pStyle w:val="ListBullet"/>
              <w:rPr>
                <w:lang w:val="en-NZ"/>
              </w:rPr>
            </w:pPr>
            <w:r w:rsidRPr="0050279A">
              <w:t>A representative body of work performance demonstrated within the timeframes typically expected of the discipline, work function and industrial environment. In particular this shall incorporate evidence that shows a candidate is able to:</w:t>
            </w:r>
          </w:p>
        </w:tc>
      </w:tr>
      <w:tr w:rsidTr="0050279A">
        <w:tblPrEx>
          <w:tblW w:w="0" w:type="auto"/>
          <w:tblLayout w:type="fixed"/>
          <w:tblCellMar>
            <w:left w:w="62" w:type="dxa"/>
            <w:right w:w="62" w:type="dxa"/>
          </w:tblCellMar>
          <w:tblLook w:val="0000"/>
        </w:tblPrEx>
        <w:trPr>
          <w:gridAfter w:val="1"/>
          <w:wAfter w:w="37" w:type="dxa"/>
        </w:trPr>
        <w:tc>
          <w:tcPr>
            <w:tcW w:w="207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p>
        </w:tc>
        <w:tc>
          <w:tcPr>
            <w:tcW w:w="6234" w:type="dxa"/>
            <w:gridSpan w:val="3"/>
            <w:tcBorders>
              <w:top w:val="nil"/>
              <w:left w:val="nil"/>
              <w:bottom w:val="nil"/>
              <w:right w:val="nil"/>
            </w:tcBorders>
            <w:tcMar>
              <w:top w:w="0" w:type="dxa"/>
              <w:left w:w="62" w:type="dxa"/>
              <w:bottom w:w="0" w:type="dxa"/>
              <w:right w:w="62" w:type="dxa"/>
            </w:tcMar>
          </w:tcPr>
          <w:p w:rsidR="00000000" w:rsidP="0050279A">
            <w:pPr>
              <w:pStyle w:val="ListBullet2"/>
              <w:rPr>
                <w:lang w:val="en-NZ"/>
              </w:rPr>
            </w:pPr>
            <w:r w:rsidRPr="0050279A">
              <w:t xml:space="preserve">Implement Workplace/Occupational Health and Safety workplace procedures and practices, including the use of risk control measures as specified in the performance criteria and range statement encompassing: </w:t>
            </w:r>
          </w:p>
        </w:tc>
      </w:tr>
      <w:tr w:rsidTr="0050279A">
        <w:tblPrEx>
          <w:tblW w:w="0" w:type="auto"/>
          <w:tblLayout w:type="fixed"/>
          <w:tblCellMar>
            <w:left w:w="62" w:type="dxa"/>
            <w:right w:w="62" w:type="dxa"/>
          </w:tblCellMar>
          <w:tblLook w:val="0000"/>
        </w:tblPrEx>
        <w:trPr>
          <w:gridAfter w:val="1"/>
          <w:wAfter w:w="37" w:type="dxa"/>
        </w:trPr>
        <w:tc>
          <w:tcPr>
            <w:tcW w:w="207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p>
        </w:tc>
        <w:tc>
          <w:tcPr>
            <w:tcW w:w="6234" w:type="dxa"/>
            <w:gridSpan w:val="3"/>
            <w:tcBorders>
              <w:top w:val="nil"/>
              <w:left w:val="nil"/>
              <w:bottom w:val="nil"/>
              <w:right w:val="nil"/>
            </w:tcBorders>
            <w:tcMar>
              <w:top w:w="0" w:type="dxa"/>
              <w:left w:w="62" w:type="dxa"/>
              <w:bottom w:w="0" w:type="dxa"/>
              <w:right w:w="62" w:type="dxa"/>
            </w:tcMar>
          </w:tcPr>
          <w:p w:rsidR="00000000" w:rsidRPr="0050279A" w:rsidP="0050279A">
            <w:pPr>
              <w:pStyle w:val="ListBullet2"/>
            </w:pPr>
            <w:r w:rsidRPr="0050279A">
              <w:t>Apply sustainable energy principles and practices as specified in the performance criteria and range statement</w:t>
            </w:r>
          </w:p>
          <w:p w:rsidR="00000000" w:rsidRPr="0050279A" w:rsidP="0050279A">
            <w:pPr>
              <w:pStyle w:val="ListBullet2"/>
            </w:pPr>
            <w:r w:rsidRPr="0050279A">
              <w:t xml:space="preserve">Demonstrate an understanding of the required knowledge and skills as described in this unit.  It may be required by some jurisdictions that RTOs </w:t>
            </w:r>
            <w:r w:rsidRPr="0050279A">
              <w:t xml:space="preserve">provide a percentile graded result for the purpose of regulatory or licensing requirements.   </w:t>
            </w:r>
          </w:p>
          <w:p w:rsidR="00000000" w:rsidRPr="0050279A" w:rsidP="0050279A">
            <w:pPr>
              <w:pStyle w:val="ListBullet2"/>
            </w:pPr>
            <w:r w:rsidRPr="0050279A">
              <w:t>Demonstrate an appropriate level of skills enabling employment</w:t>
            </w:r>
          </w:p>
          <w:p w:rsidR="00000000" w:rsidP="0050279A">
            <w:pPr>
              <w:pStyle w:val="ListBullet2"/>
              <w:rPr>
                <w:lang w:val="en-NZ"/>
              </w:rPr>
            </w:pPr>
            <w:r w:rsidRPr="0050279A">
              <w:t>Conduct work observing the relevant Anti-Discrimination legislation, regulations, polices and work</w:t>
            </w:r>
            <w:r w:rsidRPr="0050279A">
              <w:t>place procedures</w:t>
            </w:r>
          </w:p>
        </w:tc>
      </w:tr>
      <w:tr w:rsidTr="0050279A">
        <w:tblPrEx>
          <w:tblW w:w="0" w:type="auto"/>
          <w:tblLayout w:type="fixed"/>
          <w:tblCellMar>
            <w:left w:w="62" w:type="dxa"/>
            <w:right w:w="62" w:type="dxa"/>
          </w:tblCellMar>
          <w:tblLook w:val="0000"/>
        </w:tblPrEx>
        <w:trPr>
          <w:gridAfter w:val="1"/>
          <w:wAfter w:w="37" w:type="dxa"/>
        </w:trPr>
        <w:tc>
          <w:tcPr>
            <w:tcW w:w="207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p>
        </w:tc>
        <w:tc>
          <w:tcPr>
            <w:tcW w:w="6234" w:type="dxa"/>
            <w:gridSpan w:val="3"/>
            <w:tcBorders>
              <w:top w:val="nil"/>
              <w:left w:val="nil"/>
              <w:bottom w:val="nil"/>
              <w:right w:val="nil"/>
            </w:tcBorders>
            <w:tcMar>
              <w:top w:w="0" w:type="dxa"/>
              <w:left w:w="62" w:type="dxa"/>
              <w:bottom w:w="0" w:type="dxa"/>
              <w:right w:w="62" w:type="dxa"/>
            </w:tcMar>
          </w:tcPr>
          <w:p w:rsidR="00000000" w:rsidP="0050279A">
            <w:pPr>
              <w:pStyle w:val="ListBullet"/>
              <w:rPr>
                <w:lang w:val="en-NZ"/>
              </w:rPr>
            </w:pPr>
            <w:r w:rsidRPr="0050279A">
              <w:t>Demonstrated consistent performance across a representative range of contexts from the prescribed items below:</w:t>
            </w:r>
          </w:p>
        </w:tc>
      </w:tr>
      <w:tr w:rsidTr="0050279A">
        <w:tblPrEx>
          <w:tblW w:w="0" w:type="auto"/>
          <w:tblLayout w:type="fixed"/>
          <w:tblCellMar>
            <w:left w:w="62" w:type="dxa"/>
            <w:right w:w="62" w:type="dxa"/>
          </w:tblCellMar>
          <w:tblLook w:val="0000"/>
        </w:tblPrEx>
        <w:trPr>
          <w:gridAfter w:val="1"/>
          <w:wAfter w:w="37" w:type="dxa"/>
        </w:trPr>
        <w:tc>
          <w:tcPr>
            <w:tcW w:w="207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p>
        </w:tc>
        <w:tc>
          <w:tcPr>
            <w:tcW w:w="6234" w:type="dxa"/>
            <w:gridSpan w:val="3"/>
            <w:tcBorders>
              <w:top w:val="nil"/>
              <w:left w:val="nil"/>
              <w:bottom w:val="nil"/>
              <w:right w:val="nil"/>
            </w:tcBorders>
            <w:tcMar>
              <w:top w:w="0" w:type="dxa"/>
              <w:left w:w="62" w:type="dxa"/>
              <w:bottom w:w="0" w:type="dxa"/>
              <w:right w:w="62" w:type="dxa"/>
            </w:tcMar>
          </w:tcPr>
          <w:p w:rsidR="00000000" w:rsidP="0050279A">
            <w:pPr>
              <w:pStyle w:val="ListBullet2"/>
              <w:rPr>
                <w:lang w:val="en-NZ"/>
              </w:rPr>
            </w:pPr>
            <w:r w:rsidRPr="0050279A">
              <w:t>Applying WHS/OH&amp;S practices in the workplace as described in 9) Range and including:</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A</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Preparing to enter the workplace including, the use of work permits and clearances and isolation permissions.</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B</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Understanding and following risk control safe work methods.</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C</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Applying work procedures and instructions as they apply to risk control measures.</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D</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Dealing with accidents and emergencies within the scope of responsibility.</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E</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Participation in consultation processes, identifying hazards and implementing and monitor</w:t>
            </w:r>
            <w:r w:rsidRPr="0050279A">
              <w:t>ing control measures.</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F</w:t>
            </w:r>
          </w:p>
        </w:tc>
        <w:tc>
          <w:tcPr>
            <w:tcW w:w="4921" w:type="dxa"/>
            <w:gridSpan w:val="2"/>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 xml:space="preserve">Dealing with unplanned events </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1" w:type="dxa"/>
            <w:gridSpan w:val="4"/>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 xml:space="preserve">Note: </w:t>
            </w:r>
            <w:r w:rsidRPr="0050279A">
              <w:br/>
              <w:t>Ability to implement these Workplace/Occupational Health and Safety measures shall be demonstrated on all occasions safety issues arise.</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Context of and specific resources for assessment</w:t>
            </w:r>
          </w:p>
        </w:tc>
        <w:tc>
          <w:tcPr>
            <w:tcW w:w="6271" w:type="dxa"/>
            <w:gridSpan w:val="4"/>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8.3) </w:t>
            </w:r>
          </w:p>
          <w:p w:rsidR="00000000" w:rsidRPr="0050279A" w:rsidP="0050279A">
            <w:pPr>
              <w:pStyle w:val="BodyText"/>
            </w:pPr>
            <w:r w:rsidRPr="0050279A">
              <w:t>This unit should be assessed as it relates to normal work practice using procedures, information and resources typical of a workplace. This should include:</w:t>
            </w:r>
          </w:p>
          <w:p w:rsidR="00000000" w:rsidRPr="0050279A" w:rsidP="0050279A">
            <w:pPr>
              <w:pStyle w:val="ListBullet"/>
            </w:pPr>
            <w:r w:rsidRPr="0050279A">
              <w:t>WHS/OH&amp;S policy and work procedures and instructions.</w:t>
            </w:r>
          </w:p>
          <w:p w:rsidR="00000000" w:rsidRPr="0050279A" w:rsidP="0050279A">
            <w:pPr>
              <w:pStyle w:val="ListBullet"/>
            </w:pPr>
            <w:r w:rsidRPr="0050279A">
              <w:t>Suitable work environment, facilities, equipment and materials to undertake actual work as prescribed in this unit.</w:t>
            </w:r>
          </w:p>
          <w:p w:rsidR="00000000" w:rsidRPr="0050279A" w:rsidP="0050279A">
            <w:pPr>
              <w:pStyle w:val="BodyText"/>
            </w:pPr>
            <w:r w:rsidRPr="0050279A">
              <w:t>These should be used in the formal learning/assessment environment.</w:t>
            </w:r>
          </w:p>
          <w:p w:rsidR="00000000" w:rsidRPr="0050279A" w:rsidP="0050279A">
            <w:pPr>
              <w:pStyle w:val="BodyText"/>
            </w:pPr>
            <w:r w:rsidRPr="0050279A">
              <w:t>Note:</w:t>
            </w:r>
          </w:p>
          <w:p w:rsidR="00000000" w:rsidP="0050279A">
            <w:pPr>
              <w:pStyle w:val="BodyText"/>
              <w:rPr>
                <w:lang w:val="en-NZ"/>
              </w:rPr>
            </w:pPr>
            <w:r w:rsidRPr="0050279A">
              <w:t>Where simulation is considered a suitable strategy for assessment,</w:t>
            </w:r>
            <w:r w:rsidRPr="0050279A">
              <w:t xml:space="preserve"> conditions for assessment must be authentic and as far as possible reproduce and replicate the workplace and be consistent with the approved industry simulation policy.</w:t>
            </w:r>
          </w:p>
        </w:tc>
      </w:tr>
      <w:tr w:rsidTr="0050279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1" w:type="dxa"/>
            <w:gridSpan w:val="4"/>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t>The resources used for assessment should reflect current industry practices in rel</w:t>
            </w:r>
            <w:r w:rsidRPr="0050279A">
              <w:t>ation to applying WHS/OH&amp;S practices in the workplace.</w:t>
            </w:r>
          </w:p>
        </w:tc>
      </w:tr>
      <w:tr w:rsidTr="0050279A">
        <w:tblPrEx>
          <w:tblW w:w="0" w:type="auto"/>
          <w:tblLayout w:type="fixed"/>
          <w:tblCellMar>
            <w:left w:w="62" w:type="dxa"/>
            <w:right w:w="62" w:type="dxa"/>
          </w:tblCellMar>
          <w:tblLook w:val="0000"/>
        </w:tblPrEx>
        <w:trPr>
          <w:trHeight w:val="3378"/>
        </w:trPr>
        <w:tc>
          <w:tcPr>
            <w:tcW w:w="207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Method of assessment</w:t>
            </w:r>
          </w:p>
        </w:tc>
        <w:tc>
          <w:tcPr>
            <w:tcW w:w="6271" w:type="dxa"/>
            <w:gridSpan w:val="4"/>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 xml:space="preserve">8.4) </w:t>
            </w:r>
          </w:p>
          <w:p w:rsidR="00000000" w:rsidRPr="0050279A" w:rsidP="0050279A">
            <w:pPr>
              <w:pStyle w:val="BodyText"/>
            </w:pPr>
            <w:r w:rsidRPr="0050279A">
              <w:t>This unit shall be assessed by methods given in Volume 1, Part 3 'Assessment Guidelines'.</w:t>
            </w:r>
          </w:p>
          <w:p w:rsidR="00000000" w:rsidP="0050279A">
            <w:pPr>
              <w:pStyle w:val="BodyText"/>
              <w:rPr>
                <w:lang w:val="en-NZ"/>
              </w:rPr>
            </w:pPr>
            <w:r w:rsidRPr="0050279A">
              <w:t xml:space="preserve">Note: </w:t>
            </w:r>
            <w:r w:rsidRPr="0050279A">
              <w:br/>
            </w:r>
            <w:r w:rsidRPr="0050279A">
              <w:t>Competent performance with inherent safe working practices is expected in the Industry to which this unit applies. This requires that the specified required knowledge and skills are assessed in a structured environment which is primarily intended for learn</w:t>
            </w:r>
            <w:r w:rsidRPr="0050279A">
              <w:t>ing/assessment and incorporates all necessary equipment and facilities for learners to develop and demonstrate the knowledge and skills described in this unit.</w:t>
            </w:r>
          </w:p>
        </w:tc>
      </w:tr>
      <w:tr w:rsidTr="0050279A">
        <w:tblPrEx>
          <w:tblW w:w="0" w:type="auto"/>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Concurrent assessment and relationship with other units</w:t>
            </w:r>
          </w:p>
        </w:tc>
        <w:tc>
          <w:tcPr>
            <w:tcW w:w="6271" w:type="dxa"/>
            <w:gridSpan w:val="4"/>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8.5)</w:t>
            </w:r>
          </w:p>
        </w:tc>
      </w:tr>
      <w:tr w:rsidTr="0050279A">
        <w:tblPrEx>
          <w:tblW w:w="0" w:type="auto"/>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1" w:type="dxa"/>
            <w:gridSpan w:val="4"/>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 xml:space="preserve">This unit shall be assessed </w:t>
            </w:r>
            <w:r w:rsidRPr="0050279A">
              <w:t xml:space="preserve">concurrently, as it relates to other units undertaken in a possible skill clusters or qualification. </w:t>
            </w:r>
          </w:p>
          <w:p w:rsidR="00000000" w:rsidRPr="0050279A" w:rsidP="0050279A">
            <w:pPr>
              <w:pStyle w:val="BodyText"/>
            </w:pPr>
            <w:r w:rsidRPr="0050279A">
              <w:t>Components of this unit are included in the critical aspects of evidence of all units to help ensure the appropriate level of responsibility for safety ha</w:t>
            </w:r>
            <w:r w:rsidRPr="0050279A">
              <w:t>s been acquired</w:t>
            </w:r>
          </w:p>
        </w:tc>
      </w:tr>
    </w:tbl>
    <w:p w:rsidR="00000000" w:rsidRPr="0050279A" w:rsidP="0050279A">
      <w:pPr>
        <w:pStyle w:val="BodyText"/>
      </w:pPr>
    </w:p>
    <w:p w:rsidR="00000000" w:rsidRPr="0050279A" w:rsidP="0050279A">
      <w:pPr>
        <w:pStyle w:val="AllowPageBreak"/>
      </w:pPr>
    </w:p>
    <w:p w:rsidR="00000000" w:rsidRPr="0050279A" w:rsidP="0050279A">
      <w:pPr>
        <w:pStyle w:val="Heading1"/>
      </w:pPr>
      <w:bookmarkStart w:id="11" w:name="O_613648"/>
      <w:bookmarkEnd w:id="11"/>
      <w:r w:rsidRPr="0050279A">
        <w:t>Range Statement</w:t>
      </w:r>
    </w:p>
    <w:tbl>
      <w:tblPr>
        <w:tblW w:w="0" w:type="auto"/>
        <w:tblLayout w:type="fixed"/>
        <w:tblCellMar>
          <w:left w:w="62" w:type="dxa"/>
          <w:right w:w="62" w:type="dxa"/>
        </w:tblCellMar>
        <w:tblLook w:val="0000"/>
      </w:tblPr>
      <w:tblGrid>
        <w:gridCol w:w="8341"/>
      </w:tblGrid>
      <w:tr w:rsidTr="0050279A">
        <w:tblPrEx>
          <w:tblW w:w="0" w:type="auto"/>
          <w:tblLayout w:type="fixed"/>
          <w:tblCellMar>
            <w:left w:w="62" w:type="dxa"/>
            <w:right w:w="62" w:type="dxa"/>
          </w:tblCellMar>
          <w:tblLook w:val="0000"/>
        </w:tblPrEx>
        <w:trPr>
          <w:tblHeader/>
        </w:trPr>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RANGE STATEMENT</w:t>
            </w:r>
          </w:p>
        </w:tc>
      </w:tr>
      <w:tr w:rsidTr="0050279A">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9)</w:t>
            </w:r>
            <w:r w:rsidRPr="0050279A">
              <w:t xml:space="preserve"> </w:t>
            </w:r>
            <w:r w:rsidRPr="0050279A">
              <w:rPr>
                <w:rStyle w:val="Emphasis"/>
              </w:rPr>
              <w:t>This relates to the unit as a whole providing the range of contexts and conditions to which the performance criteria apply. It allows for different work en</w:t>
            </w:r>
            <w:r w:rsidRPr="0050279A">
              <w:rPr>
                <w:rStyle w:val="Emphasis"/>
              </w:rPr>
              <w:t xml:space="preserve">vironments and situations that </w:t>
            </w:r>
            <w:r w:rsidRPr="0050279A">
              <w:rPr>
                <w:rStyle w:val="Emphasis"/>
              </w:rPr>
              <w:t>will affect performance.</w:t>
            </w:r>
          </w:p>
        </w:tc>
      </w:tr>
      <w:tr w:rsidTr="0050279A">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This unit shall be demonstrated in relation to each of the following:</w:t>
            </w:r>
          </w:p>
          <w:p w:rsidR="00000000" w:rsidRPr="0050279A" w:rsidP="0050279A">
            <w:pPr>
              <w:pStyle w:val="ListBullet"/>
            </w:pPr>
            <w:r w:rsidRPr="0050279A">
              <w:t>Relevant Workplace/Occupational Health and Safety legislation, regulations and codes of practice related to hazards present in t</w:t>
            </w:r>
            <w:r w:rsidRPr="0050279A">
              <w:t>he industry and particular workplace</w:t>
            </w:r>
          </w:p>
          <w:p w:rsidR="00000000" w:rsidP="0050279A">
            <w:pPr>
              <w:pStyle w:val="ListBullet"/>
              <w:rPr>
                <w:lang w:val="en-NZ"/>
              </w:rPr>
            </w:pPr>
            <w:r w:rsidRPr="0050279A">
              <w:t>Accepted industry work procedures and the specific safety procedures and work instructions for particular workplaces in the gas supply industry</w:t>
            </w:r>
          </w:p>
        </w:tc>
      </w:tr>
      <w:tr w:rsidTr="0050279A">
        <w:tblPrEx>
          <w:tblW w:w="0" w:type="auto"/>
          <w:tblLayout w:type="fixed"/>
          <w:tblCellMar>
            <w:left w:w="62" w:type="dxa"/>
            <w:right w:w="62" w:type="dxa"/>
          </w:tblCellMar>
          <w:tblLook w:val="0000"/>
        </w:tblPrEx>
        <w:tc>
          <w:tcPr>
            <w:tcW w:w="8341"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Generic terms used throughout this Vocational Standard shall be regarded as part of the Range Statement in which competency is demonstrated. The definition of these and other terms that apply are given in Volume 2, Part 2.1.</w:t>
            </w:r>
          </w:p>
        </w:tc>
      </w:tr>
    </w:tbl>
    <w:p w:rsidR="00000000" w:rsidRPr="0050279A" w:rsidP="0050279A">
      <w:pPr>
        <w:pStyle w:val="BodyText"/>
      </w:pPr>
    </w:p>
    <w:p w:rsidR="00000000" w:rsidRPr="0050279A" w:rsidP="0050279A">
      <w:pPr>
        <w:pStyle w:val="AllowPageBreak"/>
      </w:pPr>
    </w:p>
    <w:p w:rsidR="00000000" w:rsidRPr="0050279A" w:rsidP="0050279A">
      <w:pPr>
        <w:pStyle w:val="Heading1"/>
      </w:pPr>
      <w:bookmarkStart w:id="12" w:name="O_613649"/>
      <w:bookmarkEnd w:id="12"/>
      <w:r w:rsidRPr="0050279A">
        <w:t>Unit Sector(s)</w:t>
      </w:r>
    </w:p>
    <w:p w:rsidR="00000000" w:rsidRPr="0050279A" w:rsidP="0050279A">
      <w:pPr>
        <w:pStyle w:val="BodyText"/>
      </w:pPr>
      <w:r w:rsidRPr="0050279A">
        <w:t xml:space="preserve">Gas supply industry </w:t>
      </w:r>
    </w:p>
    <w:p w:rsidR="00000000" w:rsidRPr="0050279A" w:rsidP="0050279A">
      <w:pPr>
        <w:pStyle w:val="AllowPageBreak"/>
      </w:pPr>
    </w:p>
    <w:p w:rsidR="00000000" w:rsidRPr="0050279A" w:rsidP="0050279A">
      <w:pPr>
        <w:pStyle w:val="Heading1"/>
      </w:pPr>
      <w:bookmarkStart w:id="13" w:name="O_613650"/>
      <w:bookmarkEnd w:id="13"/>
      <w:r w:rsidRPr="0050279A">
        <w:t>Competency Field</w:t>
      </w:r>
    </w:p>
    <w:tbl>
      <w:tblPr>
        <w:tblW w:w="0" w:type="auto"/>
        <w:tblLayout w:type="fixed"/>
        <w:tblCellMar>
          <w:left w:w="62" w:type="dxa"/>
          <w:right w:w="62" w:type="dxa"/>
        </w:tblCellMar>
        <w:tblLook w:val="0000"/>
      </w:tblPr>
      <w:tblGrid>
        <w:gridCol w:w="2700"/>
        <w:gridCol w:w="5760"/>
      </w:tblGrid>
      <w:tr w:rsidTr="00C256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279A">
            <w:pPr>
              <w:pStyle w:val="BodyText"/>
              <w:rPr>
                <w:lang w:val="en-NZ"/>
              </w:rPr>
            </w:pPr>
            <w:r w:rsidRPr="0050279A">
              <w:rPr>
                <w:rStyle w:val="SpecialBold"/>
              </w:rPr>
              <w:t xml:space="preserve">11) </w:t>
            </w:r>
          </w:p>
        </w:tc>
      </w:tr>
      <w:tr w:rsidTr="00C25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279A" w:rsidP="0050279A">
            <w:pPr>
              <w:pStyle w:val="BodyText"/>
            </w:pPr>
            <w:r w:rsidRPr="0050279A">
              <w:t xml:space="preserve">Cross discipline </w:t>
            </w:r>
          </w:p>
        </w:tc>
      </w:tr>
    </w:tbl>
    <w:p w:rsidR="00000000" w:rsidRPr="0050279A" w:rsidP="0050279A">
      <w:pPr>
        <w:pStyle w:val="BodyText"/>
      </w:pPr>
    </w:p>
    <w:p w:rsidR="00000000" w:rsidRPr="0050279A" w:rsidP="0050279A"/>
    <w:sectPr w:rsidSect="005027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rsidRPr="00C25672" w:rsidP="00C25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72" w:rsidP="00502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25672" w:rsidP="0050279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25672" w:rsidP="00502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rsidRPr="00C25672" w:rsidP="00C256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72" w:rsidRPr="002D2AF8" w:rsidP="0050279A">
    <w:pPr>
      <w:pStyle w:val="Header"/>
      <w:framePr w:wrap="around"/>
    </w:pPr>
    <w:r>
      <w:fldChar w:fldCharType="begin"/>
    </w:r>
    <w:r>
      <w:instrText xml:space="preserve"> TITLE   \* MERGEFORMAT </w:instrText>
    </w:r>
    <w:r>
      <w:fldChar w:fldCharType="separate"/>
    </w:r>
    <w:r>
      <w:t>UEGNSG141A Apply Workplace Health and Safety regulations, codes and practices in the gas supply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C25672" w:rsidP="00502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68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4E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29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79A"/>
    <w:pPr>
      <w:spacing w:before="360" w:after="60"/>
      <w:outlineLvl w:val="0"/>
    </w:pPr>
    <w:rPr>
      <w:sz w:val="32"/>
    </w:rPr>
  </w:style>
  <w:style w:type="paragraph" w:styleId="Heading2">
    <w:name w:val="heading 2"/>
    <w:basedOn w:val="HeadingBase"/>
    <w:next w:val="BodyText"/>
    <w:link w:val="Heading2Char"/>
    <w:qFormat/>
    <w:rsid w:val="0050279A"/>
    <w:pPr>
      <w:keepLines/>
      <w:spacing w:before="240" w:after="120"/>
      <w:outlineLvl w:val="1"/>
    </w:pPr>
    <w:rPr>
      <w:sz w:val="28"/>
      <w:szCs w:val="40"/>
    </w:rPr>
  </w:style>
  <w:style w:type="paragraph" w:styleId="Heading3">
    <w:name w:val="heading 3"/>
    <w:basedOn w:val="HeadingBase"/>
    <w:next w:val="BodyText"/>
    <w:link w:val="Heading3Char"/>
    <w:qFormat/>
    <w:rsid w:val="0050279A"/>
    <w:pPr>
      <w:spacing w:before="180" w:after="120"/>
      <w:outlineLvl w:val="2"/>
    </w:pPr>
    <w:rPr>
      <w:spacing w:val="-10"/>
      <w:kern w:val="32"/>
    </w:rPr>
  </w:style>
  <w:style w:type="paragraph" w:styleId="Heading4">
    <w:name w:val="heading 4"/>
    <w:basedOn w:val="HeadingBase"/>
    <w:next w:val="BodyText"/>
    <w:link w:val="Heading4Char"/>
    <w:qFormat/>
    <w:rsid w:val="0050279A"/>
    <w:pPr>
      <w:spacing w:before="160" w:after="120"/>
      <w:outlineLvl w:val="3"/>
    </w:pPr>
    <w:rPr>
      <w:sz w:val="22"/>
    </w:rPr>
  </w:style>
  <w:style w:type="paragraph" w:styleId="Heading5">
    <w:name w:val="heading 5"/>
    <w:basedOn w:val="HeadingBase"/>
    <w:next w:val="Normal"/>
    <w:link w:val="Heading5Char"/>
    <w:qFormat/>
    <w:rsid w:val="0050279A"/>
    <w:pPr>
      <w:spacing w:before="80"/>
      <w:outlineLvl w:val="4"/>
    </w:pPr>
    <w:rPr>
      <w:color w:val="918585"/>
      <w:sz w:val="20"/>
    </w:rPr>
  </w:style>
  <w:style w:type="paragraph" w:styleId="Heading6">
    <w:name w:val="heading 6"/>
    <w:basedOn w:val="HeadingBase"/>
    <w:next w:val="Normal"/>
    <w:link w:val="Heading6Char"/>
    <w:qFormat/>
    <w:rsid w:val="0050279A"/>
    <w:pPr>
      <w:spacing w:before="60"/>
      <w:outlineLvl w:val="5"/>
    </w:pPr>
    <w:rPr>
      <w:color w:val="918585"/>
      <w:sz w:val="20"/>
    </w:rPr>
  </w:style>
  <w:style w:type="paragraph" w:styleId="Heading7">
    <w:name w:val="heading 7"/>
    <w:basedOn w:val="Normal"/>
    <w:next w:val="Normal"/>
    <w:link w:val="Heading7Char"/>
    <w:qFormat/>
    <w:rsid w:val="0050279A"/>
    <w:pPr>
      <w:ind w:left="720"/>
      <w:outlineLvl w:val="6"/>
    </w:pPr>
    <w:rPr>
      <w:i/>
    </w:rPr>
  </w:style>
  <w:style w:type="paragraph" w:styleId="Heading8">
    <w:name w:val="heading 8"/>
    <w:basedOn w:val="Normal"/>
    <w:next w:val="Normal"/>
    <w:link w:val="Heading8Char"/>
    <w:qFormat/>
    <w:rsid w:val="0050279A"/>
    <w:pPr>
      <w:ind w:left="720"/>
      <w:outlineLvl w:val="7"/>
    </w:pPr>
    <w:rPr>
      <w:i/>
    </w:rPr>
  </w:style>
  <w:style w:type="paragraph" w:styleId="Heading9">
    <w:name w:val="heading 9"/>
    <w:basedOn w:val="Normal"/>
    <w:next w:val="Normal"/>
    <w:link w:val="Heading9Char"/>
    <w:qFormat/>
    <w:rsid w:val="0050279A"/>
    <w:pPr>
      <w:ind w:left="720"/>
      <w:outlineLvl w:val="8"/>
    </w:pPr>
    <w:rPr>
      <w:i/>
    </w:rPr>
  </w:style>
  <w:style w:type="character" w:default="1" w:styleId="DefaultParagraphFont">
    <w:name w:val="Default Paragraph Font"/>
    <w:uiPriority w:val="1"/>
    <w:unhideWhenUsed/>
    <w:rsid w:val="00502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79A"/>
  </w:style>
  <w:style w:type="character" w:customStyle="1" w:styleId="Heading1Char">
    <w:name w:val="Heading 1 Char"/>
    <w:basedOn w:val="DefaultParagraphFont"/>
    <w:link w:val="Heading1"/>
    <w:rsid w:val="0050279A"/>
    <w:rPr>
      <w:rFonts w:ascii="Times New Roman" w:eastAsia="Times New Roman" w:hAnsi="Times New Roman" w:cs="Times New Roman"/>
      <w:b/>
      <w:sz w:val="32"/>
      <w:szCs w:val="20"/>
      <w:lang w:eastAsia="en-US"/>
    </w:rPr>
  </w:style>
  <w:style w:type="paragraph" w:styleId="BodyText">
    <w:name w:val="Body Text"/>
    <w:basedOn w:val="Normal"/>
    <w:link w:val="BodyTextChar"/>
    <w:rsid w:val="005027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79A"/>
    <w:rPr>
      <w:rFonts w:ascii="Times New Roman" w:eastAsia="Times New Roman" w:hAnsi="Times New Roman" w:cs="Times New Roman"/>
      <w:sz w:val="24"/>
      <w:lang w:eastAsia="en-US"/>
    </w:rPr>
  </w:style>
  <w:style w:type="paragraph" w:styleId="ListBullet">
    <w:name w:val="List Bullet"/>
    <w:basedOn w:val="List"/>
    <w:rsid w:val="0050279A"/>
    <w:pPr>
      <w:numPr>
        <w:numId w:val="13"/>
      </w:numPr>
      <w:tabs>
        <w:tab w:val="clear" w:pos="340"/>
      </w:tabs>
      <w:spacing w:before="40" w:after="40"/>
    </w:pPr>
  </w:style>
  <w:style w:type="character" w:customStyle="1" w:styleId="SpecialBold">
    <w:name w:val="Special Bold"/>
    <w:basedOn w:val="DefaultParagraphFont"/>
    <w:rsid w:val="0050279A"/>
    <w:rPr>
      <w:b/>
      <w:spacing w:val="0"/>
    </w:rPr>
  </w:style>
  <w:style w:type="paragraph" w:styleId="ListBullet2">
    <w:name w:val="List Bullet 2"/>
    <w:basedOn w:val="List2"/>
    <w:rsid w:val="0050279A"/>
    <w:pPr>
      <w:numPr>
        <w:numId w:val="14"/>
      </w:numPr>
      <w:tabs>
        <w:tab w:val="clear" w:pos="680"/>
      </w:tabs>
    </w:pPr>
  </w:style>
  <w:style w:type="character" w:styleId="Emphasis">
    <w:name w:val="Emphasis"/>
    <w:basedOn w:val="DefaultParagraphFont"/>
    <w:qFormat/>
    <w:rsid w:val="0050279A"/>
    <w:rPr>
      <w:i/>
    </w:rPr>
  </w:style>
  <w:style w:type="paragraph" w:customStyle="1" w:styleId="SuperHeading">
    <w:name w:val="SuperHeading"/>
    <w:basedOn w:val="Normal"/>
    <w:rsid w:val="0050279A"/>
    <w:pPr>
      <w:spacing w:before="240" w:after="120"/>
      <w:outlineLvl w:val="0"/>
    </w:pPr>
    <w:rPr>
      <w:rFonts w:ascii="Times New Roman" w:hAnsi="Times New Roman"/>
      <w:b/>
      <w:sz w:val="32"/>
    </w:rPr>
  </w:style>
  <w:style w:type="paragraph" w:customStyle="1" w:styleId="AllowPageBreak">
    <w:name w:val="AllowPageBreak"/>
    <w:rsid w:val="00502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79A"/>
    <w:rPr>
      <w:rFonts w:ascii="Courier New" w:eastAsia="Times New Roman" w:hAnsi="Courier New" w:cs="Times New Roman"/>
      <w:i/>
      <w:szCs w:val="20"/>
      <w:lang w:eastAsia="en-US"/>
    </w:rPr>
  </w:style>
  <w:style w:type="paragraph" w:customStyle="1" w:styleId="HeadingBase">
    <w:name w:val="Heading Base"/>
    <w:rsid w:val="00502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79A"/>
    <w:pPr>
      <w:tabs>
        <w:tab w:val="right" w:leader="dot" w:pos="9072"/>
      </w:tabs>
      <w:ind w:left="567"/>
    </w:pPr>
    <w:rPr>
      <w:szCs w:val="22"/>
    </w:rPr>
  </w:style>
  <w:style w:type="paragraph" w:customStyle="1" w:styleId="TOCBase">
    <w:name w:val="TOC Base"/>
    <w:rsid w:val="00502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79A"/>
    <w:pPr>
      <w:tabs>
        <w:tab w:val="right" w:leader="dot" w:pos="9072"/>
      </w:tabs>
      <w:spacing w:before="40" w:after="40"/>
      <w:ind w:left="284"/>
    </w:pPr>
    <w:rPr>
      <w:rFonts w:ascii="Times New Roman" w:hAnsi="Times New Roman"/>
    </w:rPr>
  </w:style>
  <w:style w:type="paragraph" w:styleId="TOC1">
    <w:name w:val="toc 1"/>
    <w:basedOn w:val="TOCBase"/>
    <w:next w:val="Normal"/>
    <w:rsid w:val="00502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79A"/>
    <w:rPr>
      <w:rFonts w:ascii="Times New Roman" w:eastAsia="Times New Roman" w:hAnsi="Times New Roman" w:cs="Times New Roman"/>
      <w:sz w:val="16"/>
      <w:lang w:eastAsia="en-US"/>
    </w:rPr>
  </w:style>
  <w:style w:type="paragraph" w:styleId="Title">
    <w:name w:val="Title"/>
    <w:basedOn w:val="HeadingBase"/>
    <w:link w:val="TitleChar"/>
    <w:qFormat/>
    <w:rsid w:val="0050279A"/>
    <w:pPr>
      <w:spacing w:before="5040"/>
      <w:jc w:val="center"/>
    </w:pPr>
    <w:rPr>
      <w:sz w:val="48"/>
      <w:szCs w:val="72"/>
      <w:lang w:val="en-US"/>
    </w:rPr>
  </w:style>
  <w:style w:type="character" w:customStyle="1" w:styleId="TitleChar">
    <w:name w:val="Title Char"/>
    <w:basedOn w:val="DefaultParagraphFont"/>
    <w:link w:val="Title"/>
    <w:rsid w:val="00502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79A"/>
    <w:pPr>
      <w:tabs>
        <w:tab w:val="left" w:pos="3600"/>
        <w:tab w:val="left" w:pos="3958"/>
      </w:tabs>
    </w:pPr>
  </w:style>
  <w:style w:type="paragraph" w:styleId="List">
    <w:name w:val="List"/>
    <w:basedOn w:val="BodyText"/>
    <w:next w:val="BodyText"/>
    <w:rsid w:val="0050279A"/>
    <w:pPr>
      <w:tabs>
        <w:tab w:val="left" w:pos="340"/>
      </w:tabs>
      <w:spacing w:before="60" w:after="60"/>
      <w:ind w:left="340" w:hanging="340"/>
    </w:pPr>
  </w:style>
  <w:style w:type="paragraph" w:customStyle="1" w:styleId="Note">
    <w:name w:val="Note"/>
    <w:basedOn w:val="BodyText"/>
    <w:rsid w:val="00502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79A"/>
    <w:pPr>
      <w:framePr w:wrap="auto" w:hAnchor="text" w:y="6049"/>
    </w:pPr>
    <w:rPr>
      <w:color w:val="000000"/>
      <w:sz w:val="40"/>
    </w:rPr>
  </w:style>
  <w:style w:type="paragraph" w:customStyle="1" w:styleId="TOCTitle">
    <w:name w:val="TOCTitle"/>
    <w:basedOn w:val="Heading1"/>
    <w:rsid w:val="0050279A"/>
    <w:pPr>
      <w:spacing w:after="240"/>
      <w:jc w:val="center"/>
      <w:outlineLvl w:val="9"/>
    </w:pPr>
    <w:rPr>
      <w:caps/>
    </w:rPr>
  </w:style>
  <w:style w:type="paragraph" w:customStyle="1" w:styleId="Version">
    <w:name w:val="Version"/>
    <w:rsid w:val="005027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79A"/>
    <w:pPr>
      <w:keepNext w:val="0"/>
      <w:tabs>
        <w:tab w:val="right" w:pos="4176"/>
      </w:tabs>
      <w:ind w:left="198" w:hanging="198"/>
    </w:pPr>
    <w:rPr>
      <w:rFonts w:ascii="Garamond" w:hAnsi="Garamond"/>
    </w:rPr>
  </w:style>
  <w:style w:type="paragraph" w:styleId="IndexHeading">
    <w:name w:val="index heading"/>
    <w:basedOn w:val="Normal"/>
    <w:next w:val="Index1"/>
    <w:semiHidden/>
    <w:rsid w:val="0050279A"/>
    <w:pPr>
      <w:spacing w:before="120" w:after="120"/>
    </w:pPr>
    <w:rPr>
      <w:rFonts w:ascii="Arial" w:hAnsi="Arial"/>
      <w:b/>
      <w:color w:val="918585"/>
      <w:sz w:val="24"/>
    </w:rPr>
  </w:style>
  <w:style w:type="paragraph" w:styleId="Header">
    <w:name w:val="header"/>
    <w:basedOn w:val="Normal"/>
    <w:link w:val="HeaderChar"/>
    <w:rsid w:val="00502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79A"/>
    <w:rPr>
      <w:rFonts w:ascii="Times New Roman" w:eastAsia="Times New Roman" w:hAnsi="Times New Roman" w:cs="Times New Roman"/>
      <w:sz w:val="16"/>
      <w:szCs w:val="20"/>
      <w:lang w:val="en-GB" w:eastAsia="en-US"/>
    </w:rPr>
  </w:style>
  <w:style w:type="paragraph" w:customStyle="1" w:styleId="Chapter">
    <w:name w:val="Chapter"/>
    <w:basedOn w:val="Normal"/>
    <w:rsid w:val="0050279A"/>
    <w:pPr>
      <w:spacing w:before="240"/>
    </w:pPr>
    <w:rPr>
      <w:rFonts w:ascii="Times New Roman" w:hAnsi="Times New Roman"/>
      <w:smallCaps/>
      <w:spacing w:val="80"/>
      <w:sz w:val="28"/>
    </w:rPr>
  </w:style>
  <w:style w:type="paragraph" w:customStyle="1" w:styleId="InChapter">
    <w:name w:val="InChapter"/>
    <w:basedOn w:val="Heading3"/>
    <w:rsid w:val="0050279A"/>
    <w:pPr>
      <w:spacing w:after="240"/>
      <w:outlineLvl w:val="9"/>
    </w:pPr>
    <w:rPr>
      <w:noProof/>
    </w:rPr>
  </w:style>
  <w:style w:type="paragraph" w:styleId="Index2">
    <w:name w:val="index 2"/>
    <w:basedOn w:val="Normal"/>
    <w:next w:val="Normal"/>
    <w:semiHidden/>
    <w:rsid w:val="0050279A"/>
    <w:pPr>
      <w:tabs>
        <w:tab w:val="right" w:pos="4176"/>
      </w:tabs>
      <w:ind w:left="568" w:hanging="284"/>
    </w:pPr>
    <w:rPr>
      <w:rFonts w:ascii="Garamond" w:hAnsi="Garamond"/>
    </w:rPr>
  </w:style>
  <w:style w:type="paragraph" w:customStyle="1" w:styleId="Byline">
    <w:name w:val="Byline"/>
    <w:rsid w:val="00502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79A"/>
    <w:pPr>
      <w:tabs>
        <w:tab w:val="clear" w:pos="3600"/>
        <w:tab w:val="clear" w:pos="3958"/>
      </w:tabs>
      <w:jc w:val="right"/>
    </w:pPr>
  </w:style>
  <w:style w:type="paragraph" w:styleId="Caption">
    <w:name w:val="caption"/>
    <w:basedOn w:val="BodyText"/>
    <w:next w:val="Normal"/>
    <w:qFormat/>
    <w:rsid w:val="0050279A"/>
    <w:pPr>
      <w:framePr w:w="2268" w:hSpace="181" w:vSpace="181" w:wrap="around" w:vAnchor="text" w:hAnchor="page" w:x="1135" w:y="285" w:anchorLock="1"/>
    </w:pPr>
    <w:rPr>
      <w:i/>
    </w:rPr>
  </w:style>
  <w:style w:type="paragraph" w:customStyle="1" w:styleId="MiniTOCTitle">
    <w:name w:val="MiniTOCTitle"/>
    <w:basedOn w:val="Heading4"/>
    <w:rsid w:val="0050279A"/>
    <w:pPr>
      <w:spacing w:before="240"/>
      <w:outlineLvl w:val="9"/>
    </w:pPr>
    <w:rPr>
      <w:noProof/>
      <w:sz w:val="24"/>
    </w:rPr>
  </w:style>
  <w:style w:type="paragraph" w:customStyle="1" w:styleId="MiniTOCItem">
    <w:name w:val="MiniTOCItem"/>
    <w:basedOn w:val="ListBullet"/>
    <w:rsid w:val="0050279A"/>
    <w:pPr>
      <w:numPr>
        <w:numId w:val="0"/>
      </w:numPr>
      <w:tabs>
        <w:tab w:val="right" w:leader="dot" w:pos="6521"/>
      </w:tabs>
      <w:spacing w:before="0" w:after="0"/>
    </w:pPr>
  </w:style>
  <w:style w:type="paragraph" w:customStyle="1" w:styleId="TOFTitle">
    <w:name w:val="TOFTitle"/>
    <w:basedOn w:val="TOCTitle"/>
    <w:rsid w:val="0050279A"/>
  </w:style>
  <w:style w:type="paragraph" w:styleId="TableofFigures">
    <w:name w:val="table of figures"/>
    <w:basedOn w:val="Normal"/>
    <w:next w:val="Normal"/>
    <w:semiHidden/>
    <w:rsid w:val="0050279A"/>
    <w:pPr>
      <w:tabs>
        <w:tab w:val="right" w:leader="dot" w:pos="9072"/>
      </w:tabs>
      <w:ind w:left="970" w:hanging="403"/>
    </w:pPr>
    <w:rPr>
      <w:rFonts w:ascii="Times New Roman" w:hAnsi="Times New Roman"/>
      <w:b/>
    </w:rPr>
  </w:style>
  <w:style w:type="paragraph" w:styleId="ListNumber">
    <w:name w:val="List Number"/>
    <w:basedOn w:val="List"/>
    <w:rsid w:val="0050279A"/>
    <w:pPr>
      <w:numPr>
        <w:numId w:val="11"/>
      </w:numPr>
    </w:pPr>
  </w:style>
  <w:style w:type="character" w:customStyle="1" w:styleId="WingdingSymbols">
    <w:name w:val="Wingding Symbols"/>
    <w:rsid w:val="0050279A"/>
    <w:rPr>
      <w:rFonts w:ascii="Wingdings" w:hAnsi="Wingdings"/>
    </w:rPr>
  </w:style>
  <w:style w:type="paragraph" w:customStyle="1" w:styleId="TableHeading">
    <w:name w:val="Table Heading"/>
    <w:basedOn w:val="HeadingBase"/>
    <w:rsid w:val="0050279A"/>
    <w:pPr>
      <w:keepLines/>
      <w:pBdr>
        <w:bottom w:val="single" w:sz="6" w:space="1" w:color="918585"/>
      </w:pBdr>
      <w:spacing w:before="240"/>
    </w:pPr>
  </w:style>
  <w:style w:type="character" w:customStyle="1" w:styleId="HotSpot">
    <w:name w:val="HotSpot"/>
    <w:rsid w:val="0050279A"/>
    <w:rPr>
      <w:color w:val="0033CC"/>
      <w:u w:val="none"/>
    </w:rPr>
  </w:style>
  <w:style w:type="paragraph" w:customStyle="1" w:styleId="BodyTextRight">
    <w:name w:val="Body Text Right"/>
    <w:basedOn w:val="BodyText"/>
    <w:rsid w:val="0050279A"/>
    <w:pPr>
      <w:spacing w:before="0" w:after="0"/>
      <w:jc w:val="right"/>
    </w:pPr>
  </w:style>
  <w:style w:type="paragraph" w:styleId="Index3">
    <w:name w:val="index 3"/>
    <w:basedOn w:val="ListNumber2"/>
    <w:next w:val="Normal"/>
    <w:semiHidden/>
    <w:rsid w:val="0050279A"/>
    <w:pPr>
      <w:numPr>
        <w:numId w:val="0"/>
      </w:numPr>
      <w:tabs>
        <w:tab w:val="right" w:leader="dot" w:pos="4176"/>
      </w:tabs>
    </w:pPr>
  </w:style>
  <w:style w:type="paragraph" w:styleId="ListNumber2">
    <w:name w:val="List Number 2"/>
    <w:basedOn w:val="List2"/>
    <w:rsid w:val="0050279A"/>
    <w:pPr>
      <w:numPr>
        <w:numId w:val="10"/>
      </w:numPr>
      <w:tabs>
        <w:tab w:val="clear" w:pos="1060"/>
      </w:tabs>
    </w:pPr>
  </w:style>
  <w:style w:type="paragraph" w:customStyle="1" w:styleId="MarginNote">
    <w:name w:val="Margin Note"/>
    <w:basedOn w:val="BodyText"/>
    <w:rsid w:val="00502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79A"/>
    <w:rPr>
      <w:sz w:val="32"/>
    </w:rPr>
  </w:style>
  <w:style w:type="paragraph" w:customStyle="1" w:styleId="HeadingProcedure">
    <w:name w:val="Heading Procedure"/>
    <w:basedOn w:val="HeadingBase"/>
    <w:next w:val="Normal"/>
    <w:rsid w:val="0050279A"/>
    <w:pPr>
      <w:tabs>
        <w:tab w:val="left" w:pos="0"/>
      </w:tabs>
      <w:spacing w:before="120" w:after="60"/>
    </w:pPr>
    <w:rPr>
      <w:i/>
      <w:color w:val="918585"/>
      <w:sz w:val="22"/>
    </w:rPr>
  </w:style>
  <w:style w:type="paragraph" w:customStyle="1" w:styleId="TableBodyText">
    <w:name w:val="Table Body Text"/>
    <w:basedOn w:val="BodyText"/>
    <w:rsid w:val="0050279A"/>
    <w:pPr>
      <w:spacing w:before="60" w:after="60"/>
    </w:pPr>
  </w:style>
  <w:style w:type="paragraph" w:styleId="ListContinue">
    <w:name w:val="List Continue"/>
    <w:basedOn w:val="List"/>
    <w:rsid w:val="0050279A"/>
    <w:pPr>
      <w:ind w:firstLine="0"/>
    </w:pPr>
  </w:style>
  <w:style w:type="paragraph" w:customStyle="1" w:styleId="ListNote">
    <w:name w:val="List Note"/>
    <w:basedOn w:val="List"/>
    <w:rsid w:val="0050279A"/>
    <w:pPr>
      <w:pBdr>
        <w:top w:val="single" w:sz="6" w:space="2" w:color="918585"/>
        <w:bottom w:val="single" w:sz="6" w:space="2" w:color="918585"/>
      </w:pBdr>
      <w:tabs>
        <w:tab w:val="left" w:pos="1021"/>
      </w:tabs>
      <w:ind w:firstLine="0"/>
    </w:pPr>
  </w:style>
  <w:style w:type="paragraph" w:customStyle="1" w:styleId="Warning">
    <w:name w:val="Warning"/>
    <w:basedOn w:val="BodyText"/>
    <w:rsid w:val="0050279A"/>
    <w:pPr>
      <w:shd w:val="clear" w:color="auto" w:fill="D9D9D9"/>
      <w:tabs>
        <w:tab w:val="left" w:pos="992"/>
      </w:tabs>
      <w:ind w:left="119" w:right="119"/>
    </w:pPr>
    <w:rPr>
      <w:sz w:val="20"/>
    </w:rPr>
  </w:style>
  <w:style w:type="paragraph" w:customStyle="1" w:styleId="MarginIcons">
    <w:name w:val="Margin Icons"/>
    <w:basedOn w:val="BodyText"/>
    <w:rsid w:val="00502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79A"/>
    <w:rPr>
      <w:rFonts w:ascii="Courier New" w:hAnsi="Courier New"/>
    </w:rPr>
  </w:style>
  <w:style w:type="paragraph" w:customStyle="1" w:styleId="NoteBullet">
    <w:name w:val="Note Bullet"/>
    <w:basedOn w:val="Note"/>
    <w:rsid w:val="0050279A"/>
    <w:pPr>
      <w:tabs>
        <w:tab w:val="clear" w:pos="680"/>
      </w:tabs>
      <w:spacing w:before="60" w:after="60"/>
    </w:pPr>
  </w:style>
  <w:style w:type="paragraph" w:customStyle="1" w:styleId="SubHeading2">
    <w:name w:val="SubHeading2"/>
    <w:basedOn w:val="HeadingBase"/>
    <w:rsid w:val="0050279A"/>
    <w:pPr>
      <w:spacing w:before="240" w:after="60"/>
    </w:pPr>
    <w:rPr>
      <w:sz w:val="20"/>
    </w:rPr>
  </w:style>
  <w:style w:type="paragraph" w:customStyle="1" w:styleId="SubHeading1">
    <w:name w:val="SubHeading1"/>
    <w:basedOn w:val="HeadingBase"/>
    <w:rsid w:val="0050279A"/>
    <w:pPr>
      <w:spacing w:before="240" w:after="60"/>
    </w:pPr>
    <w:rPr>
      <w:color w:val="918585"/>
      <w:sz w:val="22"/>
    </w:rPr>
  </w:style>
  <w:style w:type="paragraph" w:customStyle="1" w:styleId="SideHeading">
    <w:name w:val="Side Heading"/>
    <w:basedOn w:val="HeadingBase"/>
    <w:rsid w:val="00502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79A"/>
    <w:pPr>
      <w:numPr>
        <w:numId w:val="12"/>
      </w:numPr>
    </w:pPr>
  </w:style>
  <w:style w:type="paragraph" w:styleId="PlainText">
    <w:name w:val="Plain Text"/>
    <w:basedOn w:val="Normal"/>
    <w:link w:val="PlainTextChar"/>
    <w:rsid w:val="0050279A"/>
    <w:rPr>
      <w:sz w:val="20"/>
    </w:rPr>
  </w:style>
  <w:style w:type="character" w:customStyle="1" w:styleId="PlainTextChar">
    <w:name w:val="Plain Text Char"/>
    <w:basedOn w:val="DefaultParagraphFont"/>
    <w:link w:val="PlainText"/>
    <w:rsid w:val="0050279A"/>
    <w:rPr>
      <w:rFonts w:ascii="Courier New" w:eastAsia="Times New Roman" w:hAnsi="Courier New" w:cs="Times New Roman"/>
      <w:sz w:val="20"/>
      <w:szCs w:val="20"/>
      <w:lang w:eastAsia="en-US"/>
    </w:rPr>
  </w:style>
  <w:style w:type="character" w:customStyle="1" w:styleId="MenuOption">
    <w:name w:val="Menu Option"/>
    <w:basedOn w:val="DefaultParagraphFont"/>
    <w:rsid w:val="0050279A"/>
    <w:rPr>
      <w:b/>
      <w:smallCaps/>
    </w:rPr>
  </w:style>
  <w:style w:type="paragraph" w:customStyle="1" w:styleId="TableListNumber">
    <w:name w:val="Table List Number"/>
    <w:basedOn w:val="ListNumber"/>
    <w:rsid w:val="0050279A"/>
    <w:pPr>
      <w:numPr>
        <w:numId w:val="0"/>
      </w:numPr>
    </w:pPr>
  </w:style>
  <w:style w:type="paragraph" w:styleId="TOC4">
    <w:name w:val="toc 4"/>
    <w:basedOn w:val="TOCBase"/>
    <w:next w:val="Normal"/>
    <w:semiHidden/>
    <w:rsid w:val="0050279A"/>
    <w:pPr>
      <w:tabs>
        <w:tab w:val="right" w:leader="dot" w:pos="9071"/>
      </w:tabs>
      <w:ind w:left="1701"/>
    </w:pPr>
  </w:style>
  <w:style w:type="paragraph" w:customStyle="1" w:styleId="ListAlpha">
    <w:name w:val="List Alpha"/>
    <w:basedOn w:val="List"/>
    <w:rsid w:val="0050279A"/>
    <w:pPr>
      <w:numPr>
        <w:numId w:val="9"/>
      </w:numPr>
    </w:pPr>
  </w:style>
  <w:style w:type="paragraph" w:customStyle="1" w:styleId="ListAlpha2">
    <w:name w:val="List Alpha 2"/>
    <w:basedOn w:val="List2"/>
    <w:rsid w:val="0050279A"/>
    <w:pPr>
      <w:numPr>
        <w:numId w:val="8"/>
      </w:numPr>
    </w:pPr>
  </w:style>
  <w:style w:type="paragraph" w:styleId="List2">
    <w:name w:val="List 2"/>
    <w:basedOn w:val="BodyText"/>
    <w:rsid w:val="0050279A"/>
    <w:pPr>
      <w:tabs>
        <w:tab w:val="left" w:pos="680"/>
      </w:tabs>
      <w:spacing w:before="60" w:after="60"/>
      <w:ind w:left="680" w:hanging="340"/>
    </w:pPr>
  </w:style>
  <w:style w:type="paragraph" w:styleId="List3">
    <w:name w:val="List 3"/>
    <w:basedOn w:val="BodyText"/>
    <w:rsid w:val="0050279A"/>
    <w:pPr>
      <w:tabs>
        <w:tab w:val="left" w:pos="1021"/>
      </w:tabs>
      <w:spacing w:before="60" w:after="60"/>
      <w:ind w:left="1020" w:hanging="340"/>
    </w:pPr>
  </w:style>
  <w:style w:type="paragraph" w:styleId="List4">
    <w:name w:val="List 4"/>
    <w:basedOn w:val="BodyText"/>
    <w:rsid w:val="0050279A"/>
    <w:pPr>
      <w:tabs>
        <w:tab w:val="left" w:pos="1361"/>
      </w:tabs>
      <w:spacing w:before="60" w:after="60"/>
      <w:ind w:left="1361" w:hanging="340"/>
    </w:pPr>
  </w:style>
  <w:style w:type="paragraph" w:styleId="List5">
    <w:name w:val="List 5"/>
    <w:basedOn w:val="BodyText"/>
    <w:rsid w:val="0050279A"/>
    <w:pPr>
      <w:tabs>
        <w:tab w:val="left" w:pos="1701"/>
      </w:tabs>
      <w:spacing w:before="60" w:after="60"/>
      <w:ind w:left="1701" w:hanging="340"/>
    </w:pPr>
  </w:style>
  <w:style w:type="paragraph" w:styleId="ListBullet3">
    <w:name w:val="List Bullet 3"/>
    <w:basedOn w:val="List3"/>
    <w:rsid w:val="0050279A"/>
    <w:pPr>
      <w:numPr>
        <w:numId w:val="15"/>
      </w:numPr>
      <w:tabs>
        <w:tab w:val="clear" w:pos="1021"/>
      </w:tabs>
      <w:ind w:left="1037" w:hanging="357"/>
    </w:pPr>
  </w:style>
  <w:style w:type="paragraph" w:styleId="ListBullet4">
    <w:name w:val="List Bullet 4"/>
    <w:basedOn w:val="List4"/>
    <w:rsid w:val="0050279A"/>
    <w:pPr>
      <w:numPr>
        <w:numId w:val="3"/>
      </w:numPr>
    </w:pPr>
  </w:style>
  <w:style w:type="paragraph" w:styleId="ListBullet5">
    <w:name w:val="List Bullet 5"/>
    <w:basedOn w:val="List5"/>
    <w:rsid w:val="0050279A"/>
    <w:pPr>
      <w:numPr>
        <w:numId w:val="4"/>
      </w:numPr>
    </w:pPr>
  </w:style>
  <w:style w:type="paragraph" w:styleId="ListContinue2">
    <w:name w:val="List Continue 2"/>
    <w:basedOn w:val="List2"/>
    <w:rsid w:val="0050279A"/>
    <w:pPr>
      <w:ind w:firstLine="0"/>
    </w:pPr>
  </w:style>
  <w:style w:type="paragraph" w:styleId="ListContinue3">
    <w:name w:val="List Continue 3"/>
    <w:basedOn w:val="List3"/>
    <w:rsid w:val="0050279A"/>
    <w:pPr>
      <w:ind w:left="1021" w:firstLine="0"/>
    </w:pPr>
  </w:style>
  <w:style w:type="paragraph" w:styleId="ListContinue4">
    <w:name w:val="List Continue 4"/>
    <w:basedOn w:val="List4"/>
    <w:rsid w:val="0050279A"/>
    <w:pPr>
      <w:ind w:firstLine="0"/>
    </w:pPr>
  </w:style>
  <w:style w:type="paragraph" w:styleId="ListContinue5">
    <w:name w:val="List Continue 5"/>
    <w:basedOn w:val="List5"/>
    <w:rsid w:val="0050279A"/>
    <w:pPr>
      <w:ind w:firstLine="0"/>
    </w:pPr>
  </w:style>
  <w:style w:type="paragraph" w:styleId="ListNumber3">
    <w:name w:val="List Number 3"/>
    <w:basedOn w:val="List3"/>
    <w:rsid w:val="0050279A"/>
    <w:pPr>
      <w:numPr>
        <w:numId w:val="5"/>
      </w:numPr>
    </w:pPr>
  </w:style>
  <w:style w:type="paragraph" w:styleId="ListNumber4">
    <w:name w:val="List Number 4"/>
    <w:basedOn w:val="List4"/>
    <w:rsid w:val="0050279A"/>
    <w:pPr>
      <w:numPr>
        <w:numId w:val="6"/>
      </w:numPr>
    </w:pPr>
  </w:style>
  <w:style w:type="paragraph" w:styleId="ListNumber5">
    <w:name w:val="List Number 5"/>
    <w:basedOn w:val="List5"/>
    <w:rsid w:val="0050279A"/>
    <w:pPr>
      <w:numPr>
        <w:numId w:val="7"/>
      </w:numPr>
    </w:pPr>
  </w:style>
  <w:style w:type="paragraph" w:styleId="BlockText">
    <w:name w:val="Block Text"/>
    <w:basedOn w:val="Normal"/>
    <w:rsid w:val="0050279A"/>
    <w:pPr>
      <w:spacing w:after="120"/>
      <w:ind w:left="1440" w:right="1440"/>
    </w:pPr>
  </w:style>
  <w:style w:type="character" w:customStyle="1" w:styleId="Subscript">
    <w:name w:val="Subscript"/>
    <w:basedOn w:val="DefaultParagraphFont"/>
    <w:rsid w:val="0050279A"/>
    <w:rPr>
      <w:sz w:val="16"/>
      <w:vertAlign w:val="subscript"/>
    </w:rPr>
  </w:style>
  <w:style w:type="character" w:customStyle="1" w:styleId="Superscript">
    <w:name w:val="Superscript"/>
    <w:basedOn w:val="DefaultParagraphFont"/>
    <w:rsid w:val="0050279A"/>
    <w:rPr>
      <w:sz w:val="16"/>
      <w:vertAlign w:val="superscript"/>
    </w:rPr>
  </w:style>
  <w:style w:type="character" w:customStyle="1" w:styleId="Symbols">
    <w:name w:val="Symbols"/>
    <w:basedOn w:val="DefaultParagraphFont"/>
    <w:rsid w:val="0050279A"/>
    <w:rPr>
      <w:rFonts w:ascii="Symbol" w:hAnsi="Symbol"/>
    </w:rPr>
  </w:style>
  <w:style w:type="character" w:customStyle="1" w:styleId="MenuOptions">
    <w:name w:val="Menu Options"/>
    <w:basedOn w:val="DefaultParagraphFont"/>
    <w:rsid w:val="0050279A"/>
    <w:rPr>
      <w:rFonts w:ascii="Arial Narrow" w:hAnsi="Arial Narrow"/>
      <w:smallCaps/>
    </w:rPr>
  </w:style>
  <w:style w:type="character" w:customStyle="1" w:styleId="Buttons">
    <w:name w:val="Buttons"/>
    <w:basedOn w:val="DefaultParagraphFont"/>
    <w:rsid w:val="0050279A"/>
    <w:rPr>
      <w:b/>
    </w:rPr>
  </w:style>
  <w:style w:type="character" w:customStyle="1" w:styleId="Underlined">
    <w:name w:val="Underlined"/>
    <w:basedOn w:val="DefaultParagraphFont"/>
    <w:rsid w:val="0050279A"/>
    <w:rPr>
      <w:u w:val="single"/>
    </w:rPr>
  </w:style>
  <w:style w:type="paragraph" w:customStyle="1" w:styleId="TableBodyTextRight">
    <w:name w:val="Table Body Text Right"/>
    <w:basedOn w:val="TableBodyText"/>
    <w:rsid w:val="0050279A"/>
    <w:pPr>
      <w:widowControl w:val="0"/>
      <w:autoSpaceDE w:val="0"/>
      <w:autoSpaceDN w:val="0"/>
      <w:adjustRightInd w:val="0"/>
      <w:jc w:val="right"/>
    </w:pPr>
    <w:rPr>
      <w:rFonts w:cs="Arial"/>
      <w:szCs w:val="18"/>
    </w:rPr>
  </w:style>
  <w:style w:type="paragraph" w:customStyle="1" w:styleId="CopyrightText">
    <w:name w:val="Copyright Text"/>
    <w:basedOn w:val="BodyText"/>
    <w:rsid w:val="0050279A"/>
    <w:rPr>
      <w:sz w:val="18"/>
    </w:rPr>
  </w:style>
  <w:style w:type="paragraph" w:customStyle="1" w:styleId="BodySmallRight">
    <w:name w:val="Body Small Right"/>
    <w:basedOn w:val="BodyTextRight"/>
    <w:rsid w:val="0050279A"/>
    <w:rPr>
      <w:sz w:val="18"/>
      <w:szCs w:val="18"/>
    </w:rPr>
  </w:style>
  <w:style w:type="paragraph" w:customStyle="1" w:styleId="MarginEdition">
    <w:name w:val="Margin Edition"/>
    <w:basedOn w:val="MarginNote"/>
    <w:rsid w:val="0050279A"/>
    <w:pPr>
      <w:spacing w:before="0" w:after="0"/>
    </w:pPr>
    <w:rPr>
      <w:rFonts w:ascii="Times New Roman" w:hAnsi="Times New Roman"/>
      <w:color w:val="999999"/>
    </w:rPr>
  </w:style>
  <w:style w:type="paragraph" w:customStyle="1" w:styleId="Spacer">
    <w:name w:val="Spacer"/>
    <w:basedOn w:val="Normal"/>
    <w:rsid w:val="0050279A"/>
    <w:rPr>
      <w:sz w:val="2"/>
      <w:szCs w:val="2"/>
    </w:rPr>
  </w:style>
  <w:style w:type="character" w:customStyle="1" w:styleId="Small">
    <w:name w:val="Small"/>
    <w:basedOn w:val="DefaultParagraphFont"/>
    <w:rsid w:val="0050279A"/>
    <w:rPr>
      <w:sz w:val="16"/>
    </w:rPr>
  </w:style>
  <w:style w:type="paragraph" w:customStyle="1" w:styleId="WideTable">
    <w:name w:val="Wide Table"/>
    <w:basedOn w:val="Normal"/>
    <w:rsid w:val="0050279A"/>
    <w:pPr>
      <w:ind w:left="-1418"/>
    </w:pPr>
    <w:rPr>
      <w:sz w:val="2"/>
      <w:szCs w:val="2"/>
    </w:rPr>
  </w:style>
  <w:style w:type="character" w:styleId="PageNumber">
    <w:name w:val="page number"/>
    <w:basedOn w:val="DefaultParagraphFont"/>
    <w:rsid w:val="0050279A"/>
  </w:style>
  <w:style w:type="paragraph" w:styleId="Quote">
    <w:name w:val="Quote"/>
    <w:basedOn w:val="Heading1"/>
    <w:link w:val="QuoteChar"/>
    <w:qFormat/>
    <w:rsid w:val="0050279A"/>
    <w:rPr>
      <w:b w:val="0"/>
      <w:sz w:val="72"/>
      <w:szCs w:val="72"/>
      <w:lang w:val="en-NZ"/>
    </w:rPr>
  </w:style>
  <w:style w:type="character" w:customStyle="1" w:styleId="QuoteChar">
    <w:name w:val="Quote Char"/>
    <w:basedOn w:val="DefaultParagraphFont"/>
    <w:link w:val="Quote"/>
    <w:rsid w:val="00502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79A"/>
    <w:pPr>
      <w:pageBreakBefore/>
    </w:pPr>
  </w:style>
  <w:style w:type="paragraph" w:customStyle="1" w:styleId="Border">
    <w:name w:val="Border"/>
    <w:basedOn w:val="Normal"/>
    <w:qFormat/>
    <w:rsid w:val="00502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79A"/>
    <w:rPr>
      <w:b/>
      <w:bCs/>
      <w:i/>
      <w:iCs/>
      <w:color w:val="auto"/>
    </w:rPr>
  </w:style>
  <w:style w:type="paragraph" w:styleId="IntenseQuote">
    <w:name w:val="Intense Quote"/>
    <w:basedOn w:val="Normal"/>
    <w:next w:val="Normal"/>
    <w:link w:val="IntenseQuoteChar"/>
    <w:uiPriority w:val="30"/>
    <w:qFormat/>
    <w:rsid w:val="00502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79A"/>
    <w:rPr>
      <w:smallCaps/>
      <w:color w:val="auto"/>
      <w:u w:val="single"/>
    </w:rPr>
  </w:style>
  <w:style w:type="character" w:styleId="IntenseReference">
    <w:name w:val="Intense Reference"/>
    <w:basedOn w:val="DefaultParagraphFont"/>
    <w:uiPriority w:val="32"/>
    <w:qFormat/>
    <w:rsid w:val="0050279A"/>
    <w:rPr>
      <w:b/>
      <w:bCs/>
      <w:smallCaps/>
      <w:color w:val="auto"/>
      <w:spacing w:val="5"/>
      <w:u w:val="single"/>
    </w:rPr>
  </w:style>
  <w:style w:type="paragraph" w:customStyle="1" w:styleId="2ColumnHeading">
    <w:name w:val="2Column Heading"/>
    <w:basedOn w:val="BodyText"/>
    <w:qFormat/>
    <w:rsid w:val="0050279A"/>
    <w:pPr>
      <w:spacing w:after="60"/>
      <w:ind w:left="-2268"/>
    </w:pPr>
    <w:rPr>
      <w:b/>
    </w:rPr>
  </w:style>
  <w:style w:type="paragraph" w:customStyle="1" w:styleId="Heading1TOC">
    <w:name w:val="Heading1 TOC"/>
    <w:basedOn w:val="Normal"/>
    <w:qFormat/>
    <w:rsid w:val="0050279A"/>
    <w:pPr>
      <w:spacing w:before="240" w:after="120"/>
    </w:pPr>
    <w:rPr>
      <w:rFonts w:ascii="Times New Roman" w:hAnsi="Times New Roman"/>
      <w:b/>
      <w:sz w:val="32"/>
    </w:rPr>
  </w:style>
  <w:style w:type="paragraph" w:customStyle="1" w:styleId="Heading2TOC">
    <w:name w:val="Heading2 TOC"/>
    <w:basedOn w:val="Normal"/>
    <w:qFormat/>
    <w:rsid w:val="0050279A"/>
    <w:pPr>
      <w:spacing w:before="240" w:after="60"/>
    </w:pPr>
    <w:rPr>
      <w:rFonts w:ascii="Times New Roman" w:hAnsi="Times New Roman"/>
      <w:b/>
      <w:sz w:val="28"/>
    </w:rPr>
  </w:style>
  <w:style w:type="character" w:customStyle="1" w:styleId="Underline">
    <w:name w:val="Underline"/>
    <w:basedOn w:val="DefaultParagraphFont"/>
    <w:qFormat/>
    <w:rsid w:val="0050279A"/>
    <w:rPr>
      <w:u w:val="single"/>
    </w:rPr>
  </w:style>
  <w:style w:type="character" w:customStyle="1" w:styleId="BoldandItalics">
    <w:name w:val="Bold and Italics"/>
    <w:qFormat/>
    <w:rsid w:val="0050279A"/>
    <w:rPr>
      <w:b/>
      <w:i/>
      <w:u w:val="none"/>
    </w:rPr>
  </w:style>
  <w:style w:type="paragraph" w:styleId="BalloonText">
    <w:name w:val="Balloon Text"/>
    <w:basedOn w:val="Normal"/>
    <w:link w:val="BalloonTextChar"/>
    <w:rsid w:val="0050279A"/>
    <w:rPr>
      <w:rFonts w:ascii="Tahoma" w:hAnsi="Tahoma" w:cs="Tahoma"/>
      <w:sz w:val="16"/>
      <w:szCs w:val="16"/>
    </w:rPr>
  </w:style>
  <w:style w:type="character" w:customStyle="1" w:styleId="BalloonTextChar">
    <w:name w:val="Balloon Text Char"/>
    <w:basedOn w:val="DefaultParagraphFont"/>
    <w:link w:val="BalloonText"/>
    <w:rsid w:val="00502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7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79A"/>
    <w:rPr>
      <w:b/>
      <w:color w:val="660033"/>
      <w:spacing w:val="0"/>
    </w:rPr>
  </w:style>
  <w:style w:type="paragraph" w:customStyle="1" w:styleId="Nameditemlist">
    <w:name w:val="Named item list"/>
    <w:basedOn w:val="BodyText"/>
    <w:qFormat/>
    <w:rsid w:val="005027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2502</Words>
  <Characters>15074</Characters>
  <Application>Microsoft Office Word</Application>
  <DocSecurity>0</DocSecurity>
  <Lines>488</Lines>
  <Paragraphs>221</Paragraphs>
  <ScaleCrop>false</ScaleCrop>
  <Company>Author-it Software Corporation Ltd.</Company>
  <LinksUpToDate>false</LinksUpToDate>
  <CharactersWithSpaces>17486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UEGNSG141A Apply Workplace Health and Safety regulations, codes and practices in the gas supply industry</dc:title>
  <dc:subject>Approved</dc:subject>
  <dc:creator>E-Oz Training Standards</dc:creator>
  <cp:keywords>Release 1</cp:keywords>
  <dc:description>Review Date: 12 April 2008</dc:description>
  <cp:lastModifiedBy>HSD_TPCMSd.prod</cp:lastModifiedBy>
  <cp:revision>3</cp:revision>
  <dcterms:created xsi:type="dcterms:W3CDTF">2014-03-13T15:18:59Z</dcterms:created>
  <dcterms:modified xsi:type="dcterms:W3CDTF">2014-03-13T03:46:00Z</dcterms:modified>
</cp:coreProperties>
</file>