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A44" w:rsidP="00485A44">
      <w:pPr>
        <w:pStyle w:val="Title"/>
      </w:pPr>
      <w:r>
        <w:fldChar w:fldCharType="begin"/>
      </w:r>
      <w:r>
        <w:instrText xml:space="preserve"> TITLE   \* MERGEFORMAT </w:instrText>
      </w:r>
      <w:r>
        <w:fldChar w:fldCharType="separate"/>
      </w:r>
      <w:r>
        <w:t>UEGNSG133A Comply with environmental policies and procedures in the utilities industry</w:t>
      </w:r>
      <w:r>
        <w:fldChar w:fldCharType="end"/>
      </w:r>
    </w:p>
    <w:p w:rsidR="00485A44" w:rsidP="00485A44">
      <w:pPr>
        <w:pStyle w:val="Version"/>
        <w:sectPr w:rsidSect="00F678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815" w:rsidP="00F67815">
      <w:pPr>
        <w:pStyle w:val="SuperHeading"/>
      </w:pPr>
      <w:r w:rsidRPr="00F67815">
        <w:t>UEGNSG133A Comply with environmental policies and procedures in the utilities industry</w:t>
      </w:r>
    </w:p>
    <w:p w:rsidR="00000000" w:rsidRPr="00F67815" w:rsidP="00F67815">
      <w:pPr>
        <w:pStyle w:val="Heading1"/>
      </w:pPr>
      <w:bookmarkStart w:id="1" w:name="O_577783"/>
      <w:bookmarkEnd w:id="1"/>
      <w:r w:rsidRPr="00F67815">
        <w:t>Modification History</w:t>
      </w:r>
    </w:p>
    <w:tbl>
      <w:tblPr>
        <w:tblW w:w="0" w:type="auto"/>
        <w:tblLayout w:type="fixed"/>
        <w:tblCellMar>
          <w:left w:w="62" w:type="dxa"/>
          <w:right w:w="62" w:type="dxa"/>
        </w:tblCellMar>
        <w:tblLook w:val="0000"/>
      </w:tblPr>
      <w:tblGrid>
        <w:gridCol w:w="8280"/>
      </w:tblGrid>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This unit is a revised version of the UEG11 unit UEGNSG104B Comply with environmental policies and procedures</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2" w:name="O_577784"/>
      <w:bookmarkEnd w:id="2"/>
      <w:r w:rsidRPr="00F67815">
        <w:t>Unit Descriptor</w:t>
      </w:r>
    </w:p>
    <w:tbl>
      <w:tblPr>
        <w:tblW w:w="0" w:type="auto"/>
        <w:tblLayout w:type="fixed"/>
        <w:tblCellMar>
          <w:left w:w="62" w:type="dxa"/>
          <w:right w:w="62" w:type="dxa"/>
        </w:tblCellMar>
        <w:tblLook w:val="0000"/>
      </w:tblPr>
      <w:tblGrid>
        <w:gridCol w:w="1980"/>
        <w:gridCol w:w="6300"/>
      </w:tblGrid>
      <w:tr w:rsidTr="00F67815">
        <w:tblPrEx>
          <w:tblW w:w="0" w:type="auto"/>
          <w:tblLayout w:type="fixed"/>
          <w:tblCellMar>
            <w:left w:w="62" w:type="dxa"/>
            <w:right w:w="62" w:type="dxa"/>
          </w:tblCellMar>
          <w:tblLook w:val="0000"/>
        </w:tblPrEx>
        <w:trPr>
          <w:trHeight w:val="481"/>
          <w:tblHeader/>
        </w:trPr>
        <w:tc>
          <w:tcPr>
            <w:tcW w:w="198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Unit Descriptor</w:t>
            </w:r>
          </w:p>
        </w:tc>
        <w:tc>
          <w:tcPr>
            <w:tcW w:w="63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1) Scope:</w:t>
            </w:r>
          </w:p>
        </w:tc>
      </w:tr>
      <w:tr w:rsidTr="00F6781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F67815">
            <w:pPr>
              <w:pStyle w:val="BodyText"/>
              <w:keepNext w:val="0"/>
              <w:keepLines w:val="0"/>
              <w:contextualSpacing w:val="0"/>
            </w:pPr>
          </w:p>
        </w:tc>
        <w:tc>
          <w:tcPr>
            <w:tcW w:w="63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1.1) Descriptor</w:t>
            </w:r>
          </w:p>
        </w:tc>
      </w:tr>
      <w:tr w:rsidTr="00F6781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This unit covers the compliance of environmental policies and procedures whilst undertaking tasks in a utilities industry workplace.</w:t>
            </w:r>
          </w:p>
          <w:p w:rsidR="00000000" w:rsidRPr="00F67815" w:rsidP="00F67815">
            <w:pPr>
              <w:pStyle w:val="BodyText"/>
            </w:pPr>
            <w:r w:rsidRPr="00F67815">
              <w:t>It encompasses the requirements for compliance with relevant sections of Commonwealth and State Environmental Protection, and Workplace Health and Safety (WHS)/Occupational Health and Safety (OHS) Acts and Regulations, and their application to relevant wor</w:t>
            </w:r>
            <w:r w:rsidRPr="00F67815">
              <w:t>k site procedures.</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3" w:name="O_577785"/>
      <w:bookmarkEnd w:id="3"/>
      <w:r w:rsidRPr="00F67815">
        <w:t>Application of the Unit</w:t>
      </w:r>
    </w:p>
    <w:tbl>
      <w:tblPr>
        <w:tblW w:w="0" w:type="auto"/>
        <w:tblLayout w:type="fixed"/>
        <w:tblCellMar>
          <w:left w:w="62" w:type="dxa"/>
          <w:right w:w="62" w:type="dxa"/>
        </w:tblCellMar>
        <w:tblLook w:val="0000"/>
      </w:tblPr>
      <w:tblGrid>
        <w:gridCol w:w="2340"/>
        <w:gridCol w:w="5940"/>
      </w:tblGrid>
      <w:tr w:rsidTr="00485A4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F67815">
            <w:pPr>
              <w:pStyle w:val="Heading4"/>
              <w:rPr>
                <w:lang w:val="en-NZ"/>
              </w:rPr>
            </w:pPr>
            <w:r w:rsidRPr="00F67815">
              <w:t>Application of the Unit</w:t>
            </w:r>
          </w:p>
        </w:tc>
        <w:tc>
          <w:tcPr>
            <w:tcW w:w="5940" w:type="dxa"/>
            <w:tcBorders>
              <w:top w:val="nil"/>
              <w:left w:val="nil"/>
              <w:bottom w:val="nil"/>
              <w:right w:val="nil"/>
            </w:tcBorders>
            <w:tcMar>
              <w:top w:w="0" w:type="dxa"/>
              <w:left w:w="62" w:type="dxa"/>
              <w:bottom w:w="0" w:type="dxa"/>
              <w:right w:w="62" w:type="dxa"/>
            </w:tcMar>
          </w:tcPr>
          <w:p w:rsidR="00000000" w:rsidP="00F67815">
            <w:pPr>
              <w:pStyle w:val="Heading4"/>
              <w:rPr>
                <w:lang w:val="en-NZ"/>
              </w:rPr>
            </w:pPr>
            <w:r w:rsidRPr="00F67815">
              <w:t>2)</w:t>
            </w:r>
          </w:p>
        </w:tc>
      </w:tr>
      <w:tr w:rsidTr="00485A4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This competency standard shall apply to any safe work site where utility industry operations occur which includes the gas industry, electricity supply industry (tran</w:t>
            </w:r>
            <w:r w:rsidRPr="00F67815">
              <w:t>smission and distribution and generation), the electrotechnology industry and the water industry, subject to all Environmental Legislative requirements, Workplace Health and Safety (WHS)/Occupational Health and Safety (OHS) and Duty of Care requirements be</w:t>
            </w:r>
            <w:r w:rsidRPr="00F67815">
              <w:t>ing met for the environment and the workplace.</w:t>
            </w:r>
          </w:p>
          <w:p w:rsidR="00000000" w:rsidRPr="00F67815" w:rsidP="00F67815">
            <w:pPr>
              <w:pStyle w:val="BodyText"/>
            </w:pPr>
          </w:p>
          <w:p w:rsidR="00000000" w:rsidRPr="00F67815" w:rsidP="00F67815">
            <w:pPr>
              <w:pStyle w:val="BodyText"/>
            </w:pPr>
            <w:r w:rsidRPr="00F67815">
              <w:t xml:space="preserve">This unit is intended as an entry level AQF 3 competency for new entrants in the utilities industry. It is suitable for pre-employment and employment-based programs under an </w:t>
            </w:r>
            <w:r w:rsidRPr="00F67815">
              <w:t>approved contract of training</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4" w:name="O_577786"/>
      <w:bookmarkEnd w:id="4"/>
      <w:r w:rsidRPr="00F67815">
        <w:t>Licensing/Regulatory Information</w:t>
      </w:r>
    </w:p>
    <w:tbl>
      <w:tblPr>
        <w:tblW w:w="0" w:type="auto"/>
        <w:tblLayout w:type="fixed"/>
        <w:tblCellMar>
          <w:left w:w="62" w:type="dxa"/>
          <w:right w:w="62" w:type="dxa"/>
        </w:tblCellMar>
        <w:tblLook w:val="0000"/>
      </w:tblPr>
      <w:tblGrid>
        <w:gridCol w:w="2070"/>
        <w:gridCol w:w="6210"/>
      </w:tblGrid>
      <w:tr w:rsidTr="00485A44">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67815">
            <w:pPr>
              <w:pStyle w:val="Heading4"/>
              <w:rPr>
                <w:lang w:val="en-NZ"/>
              </w:rPr>
            </w:pPr>
            <w:r w:rsidRPr="00F67815">
              <w:t>Licence to practice</w:t>
            </w:r>
          </w:p>
        </w:tc>
        <w:tc>
          <w:tcPr>
            <w:tcW w:w="6210" w:type="dxa"/>
            <w:tcBorders>
              <w:top w:val="nil"/>
              <w:left w:val="nil"/>
              <w:bottom w:val="nil"/>
              <w:right w:val="nil"/>
            </w:tcBorders>
            <w:tcMar>
              <w:top w:w="0" w:type="dxa"/>
              <w:left w:w="62" w:type="dxa"/>
              <w:bottom w:w="0" w:type="dxa"/>
              <w:right w:w="62" w:type="dxa"/>
            </w:tcMar>
          </w:tcPr>
          <w:p w:rsidR="00000000" w:rsidP="00F67815">
            <w:pPr>
              <w:pStyle w:val="Heading4"/>
              <w:rPr>
                <w:lang w:val="en-NZ"/>
              </w:rPr>
            </w:pPr>
            <w:r w:rsidRPr="00F67815">
              <w:t>3)</w:t>
            </w:r>
          </w:p>
        </w:tc>
      </w:tr>
      <w:tr w:rsidTr="00485A44">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p>
        </w:tc>
        <w:tc>
          <w:tcPr>
            <w:tcW w:w="6210" w:type="dxa"/>
            <w:tcBorders>
              <w:top w:val="nil"/>
              <w:left w:val="nil"/>
              <w:bottom w:val="nil"/>
              <w:right w:val="nil"/>
            </w:tcBorders>
            <w:tcMar>
              <w:top w:w="0" w:type="dxa"/>
              <w:left w:w="62" w:type="dxa"/>
              <w:bottom w:w="0" w:type="dxa"/>
              <w:right w:w="62" w:type="dxa"/>
            </w:tcMar>
          </w:tcPr>
          <w:p w:rsidR="00000000" w:rsidRPr="00F67815" w:rsidP="00F67815">
            <w:pPr>
              <w:pStyle w:val="Heading4"/>
            </w:pPr>
            <w:r w:rsidRPr="00F67815">
              <w:t xml:space="preserve">During Training: </w:t>
            </w:r>
          </w:p>
          <w:p w:rsidR="00000000" w:rsidRPr="00F67815" w:rsidP="00F67815">
            <w:pPr>
              <w:pStyle w:val="BodyText"/>
            </w:pPr>
            <w:r w:rsidRPr="00F67815">
              <w:t>Competency development activities are subject to regulations directly related to licensing, workplace health and safety/occupational health and safety and where app</w:t>
            </w:r>
            <w:r w:rsidRPr="00F67815">
              <w:t xml:space="preserve">licable contracts of training such as apprenticeships. </w:t>
            </w:r>
          </w:p>
          <w:p w:rsidR="00000000" w:rsidRPr="00F67815" w:rsidP="00F67815">
            <w:pPr>
              <w:pStyle w:val="BodyText"/>
            </w:pPr>
          </w:p>
          <w:p w:rsidR="00000000" w:rsidRPr="00F67815" w:rsidP="00F67815">
            <w:pPr>
              <w:pStyle w:val="Heading4"/>
            </w:pPr>
            <w:r w:rsidRPr="00F67815">
              <w:t xml:space="preserve">In the workplace: </w:t>
            </w:r>
          </w:p>
          <w:p w:rsidR="00000000" w:rsidRPr="00F67815" w:rsidP="00F67815">
            <w:pPr>
              <w:pStyle w:val="BodyText"/>
            </w:pPr>
            <w:r w:rsidRPr="00F67815">
              <w:t>The skills and knowledge described in this unit are not subject to licence regulation other than those directly related to Environmental Legislation, Chemical Management, Workplace</w:t>
            </w:r>
            <w:r w:rsidRPr="00F67815">
              <w:t xml:space="preserve"> Health and Safety/Occupational Health and Safety, gas/electricity/water industry safety and compliance, industrial relations, telecommunications, anti-discrimination and training. </w:t>
            </w:r>
          </w:p>
          <w:p w:rsidR="00000000" w:rsidRPr="00F67815" w:rsidP="00F67815">
            <w:pPr>
              <w:pStyle w:val="BodyText"/>
            </w:pPr>
          </w:p>
          <w:p w:rsidR="00000000" w:rsidRPr="00F67815" w:rsidP="00F67815">
            <w:pPr>
              <w:pStyle w:val="BodyText"/>
            </w:pPr>
            <w:r w:rsidRPr="00F67815">
              <w:t>Commonwealth, State/Territory or Local Government legislation and regulations may exist that limit the age at which a person can operate certain equipment. Other conditions may apply to this competency under State and Territory legislative and regulatory r</w:t>
            </w:r>
            <w:r w:rsidRPr="00F67815">
              <w:t>equirements.</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5" w:name="O_577787"/>
      <w:bookmarkEnd w:id="5"/>
      <w:r w:rsidRPr="00F67815">
        <w:t>Pre-Requisites</w:t>
      </w:r>
    </w:p>
    <w:tbl>
      <w:tblPr>
        <w:tblW w:w="0" w:type="auto"/>
        <w:tblLayout w:type="fixed"/>
        <w:tblCellMar>
          <w:left w:w="62" w:type="dxa"/>
          <w:right w:w="62" w:type="dxa"/>
        </w:tblCellMar>
        <w:tblLook w:val="0000"/>
      </w:tblPr>
      <w:tblGrid>
        <w:gridCol w:w="2576"/>
        <w:gridCol w:w="1800"/>
        <w:gridCol w:w="3960"/>
      </w:tblGrid>
      <w:tr w:rsidTr="00485A4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 xml:space="preserve">4) </w:t>
            </w:r>
          </w:p>
        </w:tc>
      </w:tr>
      <w:tr w:rsidTr="00485A4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4.1)</w:t>
            </w:r>
          </w:p>
        </w:tc>
      </w:tr>
      <w:tr w:rsidTr="00485A4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Granting of competency in this unit shall be made only after competency in the following unit(s) has/have been confirmed:</w:t>
            </w:r>
          </w:p>
        </w:tc>
      </w:tr>
      <w:tr w:rsidTr="00485A4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UEGNSG141A</w:t>
            </w:r>
          </w:p>
        </w:tc>
        <w:tc>
          <w:tcPr>
            <w:tcW w:w="39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Apply Workplace Health and Safety regulations, codes and practices in the gas industry</w:t>
            </w:r>
          </w:p>
        </w:tc>
      </w:tr>
      <w:tr w:rsidTr="00485A44">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UEGNSG005A </w:t>
            </w:r>
          </w:p>
        </w:tc>
        <w:tc>
          <w:tcPr>
            <w:tcW w:w="39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Prepare to work in the Australian gas industry</w:t>
            </w:r>
          </w:p>
        </w:tc>
      </w:tr>
    </w:tbl>
    <w:p w:rsidR="00000000" w:rsidRPr="00F67815" w:rsidP="00F67815">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F6781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 xml:space="preserve">4.2) </w:t>
            </w:r>
          </w:p>
          <w:p w:rsidR="00000000" w:rsidP="00F67815">
            <w:pPr>
              <w:pStyle w:val="BodyText"/>
              <w:rPr>
                <w:lang w:val="en-NZ"/>
              </w:rPr>
            </w:pPr>
            <w:r w:rsidRPr="00F67815">
              <w:t>Participants are best equipped to achieve this unit if they have readin</w:t>
            </w:r>
            <w:r w:rsidRPr="00F67815">
              <w:t>g, writing and numeracy skills indicated by the following scales. Description of each scale is given in Volume 2, Part 3 ‘Literacy and Numeracy’</w:t>
            </w:r>
          </w:p>
        </w:tc>
      </w:tr>
      <w:tr w:rsidTr="00F6781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Reading</w:t>
            </w:r>
          </w:p>
        </w:tc>
        <w:tc>
          <w:tcPr>
            <w:tcW w:w="81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w:t>
            </w:r>
          </w:p>
        </w:tc>
        <w:tc>
          <w:tcPr>
            <w:tcW w:w="99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Writing</w:t>
            </w: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w:t>
            </w:r>
          </w:p>
        </w:tc>
        <w:tc>
          <w:tcPr>
            <w:tcW w:w="12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Numeracy</w:t>
            </w:r>
          </w:p>
        </w:tc>
        <w:tc>
          <w:tcPr>
            <w:tcW w:w="72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3</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6" w:name="O_577788"/>
      <w:bookmarkEnd w:id="6"/>
      <w:r w:rsidRPr="00F67815">
        <w:t>Employability Skills Information</w:t>
      </w:r>
    </w:p>
    <w:tbl>
      <w:tblPr>
        <w:tblW w:w="0" w:type="auto"/>
        <w:tblLayout w:type="fixed"/>
        <w:tblCellMar>
          <w:left w:w="62" w:type="dxa"/>
          <w:right w:w="62" w:type="dxa"/>
        </w:tblCellMar>
        <w:tblLook w:val="0000"/>
      </w:tblPr>
      <w:tblGrid>
        <w:gridCol w:w="2576"/>
        <w:gridCol w:w="5760"/>
      </w:tblGrid>
      <w:tr w:rsidTr="00F6781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 xml:space="preserve">5) </w:t>
            </w:r>
          </w:p>
        </w:tc>
      </w:tr>
      <w:tr w:rsidTr="00F6781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 xml:space="preserve">The required outcomes described in this unit of competency contain applicable facets of Employability Skills. The Employability Skills Summary of the qualification in which this unit of competency is packaged will assist in identifying Employability </w:t>
            </w:r>
            <w:r w:rsidRPr="00F67815">
              <w:t>Skill requirements.</w:t>
            </w:r>
          </w:p>
        </w:tc>
      </w:tr>
    </w:tbl>
    <w:p w:rsidR="00485A44" w:rsidP="00F67815">
      <w:pPr>
        <w:pStyle w:val="BodyText"/>
      </w:pPr>
    </w:p>
    <w:p w:rsidR="00485A44" w:rsidP="00F67815">
      <w:pPr>
        <w:pStyle w:val="BodyText"/>
      </w:pPr>
    </w:p>
    <w:p w:rsidR="00000000" w:rsidRPr="00F67815" w:rsidP="00F67815">
      <w:pPr>
        <w:pStyle w:val="Heading1"/>
      </w:pPr>
      <w:bookmarkStart w:id="7" w:name="O_577789"/>
      <w:bookmarkEnd w:id="7"/>
      <w:r w:rsidRPr="00F67815">
        <w:t>Elements and Performance Criteria Pre-Content</w:t>
      </w:r>
    </w:p>
    <w:tbl>
      <w:tblPr>
        <w:tblW w:w="0" w:type="auto"/>
        <w:tblLayout w:type="fixed"/>
        <w:tblCellMar>
          <w:left w:w="62" w:type="dxa"/>
          <w:right w:w="62" w:type="dxa"/>
        </w:tblCellMar>
        <w:tblLook w:val="0000"/>
      </w:tblPr>
      <w:tblGrid>
        <w:gridCol w:w="2576"/>
        <w:gridCol w:w="5760"/>
      </w:tblGrid>
      <w:tr w:rsidTr="00F67815">
        <w:tblPrEx>
          <w:tblW w:w="0" w:type="auto"/>
          <w:tblLayout w:type="fixed"/>
          <w:tblCellMar>
            <w:left w:w="62" w:type="dxa"/>
            <w:right w:w="62" w:type="dxa"/>
          </w:tblCellMar>
          <w:tblLook w:val="0000"/>
        </w:tblPrEx>
        <w:trPr>
          <w:trHeight w:val="1331"/>
        </w:trPr>
        <w:tc>
          <w:tcPr>
            <w:tcW w:w="2576"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6)</w:t>
            </w:r>
            <w:r w:rsidRPr="00F67815">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Emphasis"/>
              </w:rPr>
              <w:t>Performance Criteria describe the required performance needed to demonstrate achievement of the element. Assessment of performance is to be consistent with the Evidence Guide.</w:t>
            </w:r>
          </w:p>
        </w:tc>
      </w:tr>
    </w:tbl>
    <w:p w:rsidR="00485A44" w:rsidP="00F67815">
      <w:pPr>
        <w:pStyle w:val="BodyText"/>
      </w:pPr>
    </w:p>
    <w:p w:rsidR="00485A44" w:rsidP="00F67815">
      <w:pPr>
        <w:pStyle w:val="BodyText"/>
      </w:pPr>
    </w:p>
    <w:p w:rsidR="00000000" w:rsidRPr="00F67815" w:rsidP="00F67815">
      <w:pPr>
        <w:pStyle w:val="Heading1"/>
      </w:pPr>
      <w:bookmarkStart w:id="8" w:name="O_577790"/>
      <w:bookmarkEnd w:id="8"/>
      <w:r w:rsidRPr="00F67815">
        <w:t>Elements and Performance Criteria</w:t>
      </w:r>
    </w:p>
    <w:tbl>
      <w:tblPr>
        <w:tblW w:w="0" w:type="auto"/>
        <w:tblLayout w:type="fixed"/>
        <w:tblCellMar>
          <w:left w:w="62" w:type="dxa"/>
          <w:right w:w="62" w:type="dxa"/>
        </w:tblCellMar>
        <w:tblLook w:val="0000"/>
      </w:tblPr>
      <w:tblGrid>
        <w:gridCol w:w="218"/>
        <w:gridCol w:w="2296"/>
        <w:gridCol w:w="900"/>
        <w:gridCol w:w="4860"/>
      </w:tblGrid>
      <w:tr w:rsidTr="00F67815">
        <w:tblPrEx>
          <w:tblW w:w="0" w:type="auto"/>
          <w:tblLayout w:type="fixed"/>
          <w:tblCellMar>
            <w:left w:w="62" w:type="dxa"/>
            <w:right w:w="62" w:type="dxa"/>
          </w:tblCellMar>
          <w:tblLook w:val="0000"/>
        </w:tblPrEx>
        <w:trPr>
          <w:tblHeader/>
        </w:trPr>
        <w:tc>
          <w:tcPr>
            <w:tcW w:w="2514" w:type="dxa"/>
            <w:gridSpan w:val="2"/>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PERFORMANCE CRITERIA</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Prepare to comply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1.1</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Work instructions and WHS/OHS measures for the site are identified, obtained and understood.</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1.2</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Relevant requirements and established procedures for the work are discussed with relevant persons to establish and confirm the work schedule.</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1.3</w:t>
            </w:r>
          </w:p>
        </w:tc>
        <w:tc>
          <w:tcPr>
            <w:tcW w:w="48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Environmental aspects are identified and associated potential or actual environmental impacts are evaluated</w:t>
            </w:r>
            <w:r w:rsidRPr="00F67815">
              <w:t xml:space="preserve">.  Significant impacts are prioritised.  </w:t>
            </w:r>
          </w:p>
          <w:p w:rsidR="00000000" w:rsidP="00F67815">
            <w:pPr>
              <w:pStyle w:val="BodyText"/>
              <w:rPr>
                <w:lang w:val="en-NZ"/>
              </w:rPr>
            </w:pPr>
            <w:r w:rsidRPr="00F67815">
              <w:t>Note: Environmental aspects include: Air, Land, Water, Waste, Flora (Vegetation), Fauna, Heritage, Resource Use, Community.</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1.4</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Environmental sustainability principles are considered before works commence includ</w:t>
            </w:r>
            <w:r w:rsidRPr="00F67815">
              <w:t>ing purchasing/using environmentally beneficial equipment and materials, waste disposal considerations, precautionary approach.</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1.5</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Environmental legislation, environmental policies and procedures and WHS/OHS requirements to be followed for the work to </w:t>
            </w:r>
            <w:r w:rsidRPr="00F67815">
              <w:t>be performed are received and confirmed</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1.6</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Suggestions to assist with complying with environmental policies and procedures are made to others involved in the work.</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1.7</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Environmental and WHS hazards are identified, risks assessed and control measures are prioritised, implemented and monitored per environmental policies and procedures. </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1.8</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Resources including environmental compliance equipment required for the job are </w:t>
            </w:r>
            <w:r w:rsidRPr="00F67815">
              <w:t xml:space="preserve">identified, obtained and checked for correct operation and safety. </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1.9</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Schedule of work including practices for working safely is confirmed in accordance with established procedures</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1.10</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Client issues are referred to appropriate persons in accordance with industry and community standards</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Comply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2.1</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WHS/OHS risk control measures, policies and procedures for carrying out the work are followed</w:t>
            </w:r>
          </w:p>
        </w:tc>
      </w:tr>
      <w:tr w:rsidTr="00F67815">
        <w:tblPrEx>
          <w:tblW w:w="0" w:type="auto"/>
          <w:tblLayout w:type="fixed"/>
          <w:tblCellMar>
            <w:left w:w="62" w:type="dxa"/>
            <w:right w:w="62" w:type="dxa"/>
          </w:tblCellMar>
          <w:tblLook w:val="0000"/>
        </w:tblPrEx>
        <w:trPr>
          <w:trHeight w:val="843"/>
        </w:trPr>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2.2</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Environmental requirements for the work are implemented, reviewed and control measures recommended for inclusion in the work process</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2.3</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Appropriate materials, tools and equipment are selected and used correctly and safely.</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2.4</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Any environmental incidents and potential problems are immediately reported to appropriate persons and dealt with in accordance with established procedures and legislative requirements. </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2.5</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Operational knowledge for compliance with environmental polici</w:t>
            </w:r>
            <w:r w:rsidRPr="00F67815">
              <w:t>es and procedures is confirmed to ensure completion in an agreed timeframe and to quality standards with a minimum of waste according to requirements and established procedures</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2.6</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Compliance with environmental policies and procedures is carried out in </w:t>
            </w:r>
            <w:r w:rsidRPr="00F67815">
              <w:t>an agreed timeframe, to a quality standard and with a minimum of waste in accordance with given instructions and established procedures</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2.7</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Procedures for referring non-routine (accidents and incidents) events to the immediate authorised persons for dir</w:t>
            </w:r>
            <w:r w:rsidRPr="00F67815">
              <w:t>ections are followed.</w:t>
            </w:r>
          </w:p>
        </w:tc>
      </w:tr>
      <w:tr w:rsidTr="00F67815">
        <w:tblPrEx>
          <w:tblW w:w="0" w:type="auto"/>
          <w:tblLayout w:type="fixed"/>
          <w:tblCellMar>
            <w:left w:w="62" w:type="dxa"/>
            <w:right w:w="62" w:type="dxa"/>
          </w:tblCellMar>
          <w:tblLook w:val="0000"/>
        </w:tblPrEx>
        <w:trPr>
          <w:trHeight w:val="843"/>
        </w:trPr>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2.9</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Routine quality checks of the work are carried out  in accordance with work instructions </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3.1</w:t>
            </w:r>
          </w:p>
        </w:tc>
        <w:tc>
          <w:tcPr>
            <w:tcW w:w="48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WHS/OHS risk control work completion measures and procedures are followed.</w:t>
            </w:r>
          </w:p>
          <w:p w:rsidR="00000000" w:rsidP="00F67815">
            <w:pPr>
              <w:pStyle w:val="BodyText"/>
              <w:rPr>
                <w:lang w:val="en-NZ"/>
              </w:rPr>
            </w:pP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3.2</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Work site is tidied and made safe. </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3.3</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Tools, equipment, vehicles and plant and any surplus resources and materials are cleaned, checked and securely stored. </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3.4</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Appropriate persons are notified of the  completion of the work  in accordance  with established procedures</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3.5</w:t>
            </w:r>
          </w:p>
        </w:tc>
        <w:tc>
          <w:tcPr>
            <w:tcW w:w="486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All waste is disposed of in accordance with procedures and reports completed as required</w:t>
            </w:r>
          </w:p>
        </w:tc>
      </w:tr>
      <w:tr w:rsidTr="00F67815">
        <w:tblPrEx>
          <w:tblW w:w="0" w:type="auto"/>
          <w:tblLayout w:type="fixed"/>
          <w:tblCellMar>
            <w:left w:w="62" w:type="dxa"/>
            <w:right w:w="62" w:type="dxa"/>
          </w:tblCellMar>
          <w:tblLook w:val="0000"/>
        </w:tblPrEx>
        <w:tc>
          <w:tcPr>
            <w:tcW w:w="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3.6</w:t>
            </w:r>
          </w:p>
        </w:tc>
        <w:tc>
          <w:tcPr>
            <w:tcW w:w="48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Relevant environmental completion records, re</w:t>
            </w:r>
            <w:r w:rsidRPr="00F67815">
              <w:t>port forms/data sheets are completed accurately in accordance with established procedures</w:t>
            </w:r>
          </w:p>
        </w:tc>
      </w:tr>
    </w:tbl>
    <w:p w:rsidR="00485A44" w:rsidP="00F67815">
      <w:pPr>
        <w:pStyle w:val="BodyText"/>
      </w:pPr>
    </w:p>
    <w:p w:rsidR="00485A44" w:rsidP="00F67815">
      <w:pPr>
        <w:pStyle w:val="BodyText"/>
      </w:pPr>
    </w:p>
    <w:p w:rsidR="00000000" w:rsidRPr="00F67815" w:rsidP="00F67815">
      <w:pPr>
        <w:pStyle w:val="Heading1"/>
      </w:pPr>
      <w:bookmarkStart w:id="9" w:name="O_577791"/>
      <w:bookmarkEnd w:id="9"/>
      <w:r w:rsidRPr="00F67815">
        <w:t>Required Skills and Knowledge</w:t>
      </w:r>
    </w:p>
    <w:tbl>
      <w:tblPr>
        <w:tblW w:w="0" w:type="auto"/>
        <w:tblLayout w:type="fixed"/>
        <w:tblCellMar>
          <w:left w:w="62" w:type="dxa"/>
          <w:right w:w="62" w:type="dxa"/>
        </w:tblCellMar>
        <w:tblLook w:val="0000"/>
      </w:tblPr>
      <w:tblGrid>
        <w:gridCol w:w="8280"/>
      </w:tblGrid>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 xml:space="preserve">7) </w:t>
            </w:r>
            <w:r w:rsidRPr="00F67815">
              <w:rPr>
                <w:rStyle w:val="Emphasis"/>
              </w:rPr>
              <w:t>This describes the required skills and knowledge and their level, required for this unit.</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Evidence shall show that knowledge has been acquired of safe working practices for complying with environmental policies and procedures in the utilities industry.</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All knowledge and skills detailed in this unit should be contextualised to current industry </w:t>
            </w:r>
            <w:r w:rsidRPr="00F67815">
              <w:t>practices and technologies. The extent of the required skills and knowledge required is provided below. It forms an integral part of this unit.</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KS01-G133B Environmental compliance in a utilities industry work environment</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Evidence shall show an understand</w:t>
            </w:r>
            <w:r w:rsidRPr="00F67815">
              <w:t>ing and ability to perform work in the utilities industry in compliance with environmental policies and procedures to an extent indicated by the following aspects:</w:t>
            </w:r>
          </w:p>
          <w:p w:rsidR="00000000" w:rsidRPr="00F67815" w:rsidP="00F67815">
            <w:pPr>
              <w:pStyle w:val="BodyText"/>
            </w:pPr>
            <w:r w:rsidRPr="00F67815">
              <w:t>T1. Relevant Commonwealth/State/Territory environmental legislation, regulations and codes o</w:t>
            </w:r>
            <w:r w:rsidRPr="00F67815">
              <w:t xml:space="preserve">f practice. </w:t>
            </w:r>
          </w:p>
          <w:p w:rsidR="00000000" w:rsidRPr="00F67815" w:rsidP="00F67815">
            <w:pPr>
              <w:pStyle w:val="BodyText"/>
            </w:pPr>
            <w:r w:rsidRPr="00F67815">
              <w:t>T2. Role of regulatory bodies in monitoring environmental activities, risk and incident compliance</w:t>
            </w:r>
          </w:p>
          <w:p w:rsidR="00000000" w:rsidRPr="00F67815" w:rsidP="00F67815">
            <w:pPr>
              <w:pStyle w:val="BodyText"/>
            </w:pPr>
            <w:r w:rsidRPr="00F67815">
              <w:t>T3. Employee's and employer's responsibilities to comply with relevant environmental legislation, regulations, codes and enterprise procedures f</w:t>
            </w:r>
            <w:r w:rsidRPr="00F67815">
              <w:t>or:</w:t>
            </w:r>
          </w:p>
          <w:p w:rsidR="00000000" w:rsidRPr="00F67815" w:rsidP="00F67815">
            <w:pPr>
              <w:pStyle w:val="ListBullet"/>
            </w:pPr>
            <w:r w:rsidRPr="00F67815">
              <w:t>flora control</w:t>
            </w:r>
          </w:p>
          <w:p w:rsidR="00000000" w:rsidRPr="00F67815" w:rsidP="00F67815">
            <w:pPr>
              <w:pStyle w:val="ListBullet"/>
            </w:pPr>
            <w:r w:rsidRPr="00F67815">
              <w:t>erosion control</w:t>
            </w:r>
          </w:p>
          <w:p w:rsidR="00000000" w:rsidRPr="00F67815" w:rsidP="00F67815">
            <w:pPr>
              <w:pStyle w:val="ListBullet"/>
            </w:pPr>
            <w:r w:rsidRPr="00F67815">
              <w:t>fauna control</w:t>
            </w:r>
          </w:p>
          <w:p w:rsidR="00000000" w:rsidRPr="00F67815" w:rsidP="00F67815">
            <w:pPr>
              <w:pStyle w:val="ListBullet"/>
            </w:pPr>
            <w:r w:rsidRPr="00F67815">
              <w:t>the protection of indigenous and cultural heritage sites</w:t>
            </w:r>
          </w:p>
          <w:p w:rsidR="00000000" w:rsidRPr="00F67815" w:rsidP="00F67815">
            <w:pPr>
              <w:pStyle w:val="BodyText"/>
            </w:pPr>
            <w:r w:rsidRPr="00F67815">
              <w:t>T4. Environment protection procedures, records, inspections/audit and incident reporting</w:t>
            </w:r>
          </w:p>
          <w:p w:rsidR="00000000" w:rsidRPr="00F67815" w:rsidP="00F67815">
            <w:pPr>
              <w:pStyle w:val="BodyText"/>
            </w:pPr>
            <w:r w:rsidRPr="00F67815">
              <w:t>T5. Environmental hazards</w:t>
            </w:r>
          </w:p>
          <w:p w:rsidR="00000000" w:rsidRPr="00F67815" w:rsidP="00F67815">
            <w:pPr>
              <w:pStyle w:val="BodyText"/>
            </w:pPr>
            <w:r w:rsidRPr="00F67815">
              <w:t>T6. Environmental risk assessment</w:t>
            </w:r>
          </w:p>
          <w:p w:rsidR="00000000" w:rsidRPr="00F67815" w:rsidP="00F67815">
            <w:pPr>
              <w:pStyle w:val="BodyText"/>
            </w:pPr>
            <w:r w:rsidRPr="00F67815">
              <w:t>T7. Environmental control measures implementation</w:t>
            </w:r>
          </w:p>
          <w:p w:rsidR="00000000" w:rsidRPr="00F67815" w:rsidP="00F67815">
            <w:pPr>
              <w:pStyle w:val="BodyText"/>
            </w:pPr>
            <w:r w:rsidRPr="00F67815">
              <w:t>T8. Response to workplace environmental incidents</w:t>
            </w:r>
          </w:p>
          <w:p w:rsidR="00000000" w:rsidRPr="00F67815" w:rsidP="00F67815">
            <w:pPr>
              <w:pStyle w:val="BodyText"/>
            </w:pPr>
            <w:r w:rsidRPr="00F67815">
              <w:t>T9. Application to relevant work site procedures</w:t>
            </w:r>
          </w:p>
          <w:p w:rsidR="00000000" w:rsidRPr="00F67815" w:rsidP="00F67815">
            <w:pPr>
              <w:pStyle w:val="ListBullet2"/>
            </w:pPr>
            <w:r w:rsidRPr="00F67815">
              <w:t>the use of plant/machinery/equipment</w:t>
            </w:r>
          </w:p>
          <w:p w:rsidR="00000000" w:rsidRPr="00F67815" w:rsidP="00F67815">
            <w:pPr>
              <w:pStyle w:val="ListBullet2"/>
            </w:pPr>
            <w:r w:rsidRPr="00F67815">
              <w:t>cleaning materials and aids</w:t>
            </w:r>
          </w:p>
          <w:p w:rsidR="00000000" w:rsidRPr="00F67815" w:rsidP="00F67815">
            <w:pPr>
              <w:pStyle w:val="ListBullet2"/>
            </w:pPr>
            <w:r w:rsidRPr="00F67815">
              <w:t>spill response equipment;</w:t>
            </w:r>
          </w:p>
          <w:p w:rsidR="00000000" w:rsidRPr="00F67815" w:rsidP="00F67815">
            <w:pPr>
              <w:pStyle w:val="ListBullet2"/>
            </w:pPr>
            <w:r w:rsidRPr="00F67815">
              <w:t xml:space="preserve">sediment erosion control equipment; </w:t>
            </w:r>
          </w:p>
          <w:p w:rsidR="00000000" w:rsidRPr="00F67815" w:rsidP="00F67815">
            <w:pPr>
              <w:pStyle w:val="ListBullet2"/>
            </w:pPr>
            <w:r w:rsidRPr="00F67815">
              <w:t>emission control and sampling equipment</w:t>
            </w:r>
          </w:p>
          <w:p w:rsidR="00000000" w:rsidRPr="00F67815" w:rsidP="00F67815">
            <w:pPr>
              <w:pStyle w:val="BodyText"/>
            </w:pPr>
            <w:r w:rsidRPr="00F67815">
              <w:t>Note: Environmental damage can be caused by chemicals, oil, water contamination, carcinogenic agents, gases, dusts, waste contamination and noise</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10" w:name="O_577792"/>
      <w:bookmarkEnd w:id="10"/>
      <w:r w:rsidRPr="00F67815">
        <w:t>Evidence Guide</w:t>
      </w:r>
    </w:p>
    <w:tbl>
      <w:tblPr>
        <w:tblW w:w="0" w:type="auto"/>
        <w:tblLayout w:type="fixed"/>
        <w:tblCellMar>
          <w:left w:w="62" w:type="dxa"/>
          <w:right w:w="62" w:type="dxa"/>
        </w:tblCellMar>
        <w:tblLook w:val="0000"/>
      </w:tblPr>
      <w:tblGrid>
        <w:gridCol w:w="8280"/>
      </w:tblGrid>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EVIDENCE GUIDE</w:t>
            </w:r>
          </w:p>
          <w:p w:rsidR="00000000" w:rsidRPr="00F67815" w:rsidP="00F67815">
            <w:pPr>
              <w:pStyle w:val="BodyText"/>
            </w:pPr>
            <w:r w:rsidRPr="00F67815">
              <w:rPr>
                <w:rStyle w:val="SpecialBold"/>
              </w:rPr>
              <w:t xml:space="preserve">8) </w:t>
            </w:r>
            <w:r w:rsidRPr="00F67815">
              <w:t>The Evidence Guide forms an integral part of this Unit and shall be used in conjunction with all components parts of this unit and performed in accordance with the Assessment Guidelines of this Training Package.</w:t>
            </w:r>
          </w:p>
        </w:tc>
      </w:tr>
    </w:tbl>
    <w:p w:rsidR="00000000" w:rsidRPr="00F67815" w:rsidP="00F67815">
      <w:pPr>
        <w:pStyle w:val="BodyText"/>
      </w:pPr>
    </w:p>
    <w:tbl>
      <w:tblPr>
        <w:tblW w:w="0" w:type="auto"/>
        <w:tblLayout w:type="fixed"/>
        <w:tblCellMar>
          <w:left w:w="62" w:type="dxa"/>
          <w:right w:w="62" w:type="dxa"/>
        </w:tblCellMar>
        <w:tblLook w:val="0000"/>
      </w:tblPr>
      <w:tblGrid>
        <w:gridCol w:w="1440"/>
        <w:gridCol w:w="6840"/>
      </w:tblGrid>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Overview of Assessment</w:t>
            </w:r>
          </w:p>
        </w:tc>
        <w:tc>
          <w:tcPr>
            <w:tcW w:w="68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8.1)</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 xml:space="preserve">Longitudinal competency development approaches to assessment, such as Profiling, require data to be reliably gathered in a form that can be </w:t>
            </w:r>
            <w:r w:rsidRPr="00F67815">
              <w:t>consistently interpreted over time. This approach is best utilised in Apprenticeship programs and reduces assessment intervention. It is the Industry’s preferred model for apprenticeships. However, where summative (or final) assessment is used it is to inc</w:t>
            </w:r>
            <w:r w:rsidRPr="00F67815">
              <w:t>lude the application of the competency in the normal work environment or, at a minimum, the application of the competency in a realistically simulated work environment. It is recognised that, in some circumstances, assessment in part or full can occur outs</w:t>
            </w:r>
            <w:r w:rsidRPr="00F67815">
              <w:t>ide the workplace. However, it must be in accord with industry and regulatory policy in this regard.</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Methods chosen for a particular assessment will be influenced by various factors. These include the extent of the assessment, the most effective location</w:t>
            </w:r>
            <w:r w:rsidRPr="00F67815">
              <w:t>s for the assessment activities to take place, access to physical resources, additional safety measures that may be required and the critical nature of the competencies being assessed.</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The critical safety nature of working with electricity, electrical eq</w:t>
            </w:r>
            <w:r w:rsidRPr="00F67815">
              <w:t>uipment, gas or any other hazardous substance/material carries risk in deeming a person competent. Hence, sources of evidence need to be ‘rich’ in nature so as to minimise error in judgment.</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Activities associated with normal every day work have a bearing</w:t>
            </w:r>
            <w:r w:rsidRPr="00F67815">
              <w:t xml:space="preserve"> on the decision as to how much and how detailed the data gathered will contribute to its ‘richness’. Some skills are more critical to safety and operational requirements while the same skills may be more or less frequently practised. These points are rais</w:t>
            </w:r>
            <w:r w:rsidRPr="00F67815">
              <w:t>ed for the assessors to consider when choosing an assessment method and developing assessment instruments. Sample assessment instruments are included in the Assessment Guidelines of this Training Package.</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Critical aspects of evidence required to demonstra</w:t>
            </w:r>
            <w:r w:rsidRPr="00F67815">
              <w:rPr>
                <w:rStyle w:val="SpecialBold"/>
              </w:rPr>
              <w:t>te competency in this unit</w:t>
            </w: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8.2)</w:t>
            </w:r>
          </w:p>
          <w:p w:rsidR="00000000" w:rsidRPr="00F67815" w:rsidP="00F67815">
            <w:pPr>
              <w:pStyle w:val="BodyText"/>
            </w:pPr>
            <w:r w:rsidRPr="00F67815">
              <w:t>Before the critical aspects of evidence are considered all prerequisites shall be met.</w:t>
            </w:r>
          </w:p>
          <w:p w:rsidR="00000000" w:rsidRPr="00F67815" w:rsidP="00F67815">
            <w:pPr>
              <w:pStyle w:val="BodyText"/>
            </w:pPr>
          </w:p>
          <w:p w:rsidR="00000000" w:rsidP="00F67815">
            <w:pPr>
              <w:pStyle w:val="BodyText"/>
              <w:rPr>
                <w:lang w:val="en-NZ"/>
              </w:rPr>
            </w:pPr>
            <w:r w:rsidRPr="00F67815">
              <w:t>Evidence for competence in this unit shall be considered holistically. Each element and associated Performance Criteria shall be demonst</w:t>
            </w:r>
            <w:r w:rsidRPr="00F67815">
              <w:t>rated on at least two occasions in accordance with the ‘Assessment Guidelines — UEG11’. Evidence shall also comprise:</w:t>
            </w:r>
          </w:p>
        </w:tc>
      </w:tr>
      <w:tr w:rsidTr="00485A44">
        <w:tblPrEx>
          <w:tblW w:w="0" w:type="auto"/>
          <w:tblLayout w:type="fixed"/>
          <w:tblCellMar>
            <w:left w:w="62" w:type="dxa"/>
            <w:right w:w="62" w:type="dxa"/>
          </w:tblCellMar>
          <w:tblLook w:val="0000"/>
        </w:tblPrEx>
        <w:trPr>
          <w:trHeight w:val="4503"/>
        </w:trPr>
        <w:tc>
          <w:tcPr>
            <w:tcW w:w="14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ListBullet"/>
            </w:pPr>
            <w:r w:rsidRPr="00F67815">
              <w:t>A representative body of Performance Criteria demonstrated within the timeframes typically expected of the discipline, work function an</w:t>
            </w:r>
            <w:r w:rsidRPr="00F67815">
              <w:t>d industrial environment. In particular this shall incorporate evidence that shows a candidate is able to:</w:t>
            </w:r>
          </w:p>
          <w:p w:rsidR="00000000" w:rsidRPr="00F67815" w:rsidP="00F67815">
            <w:pPr>
              <w:pStyle w:val="ListBullet2"/>
            </w:pPr>
            <w:r w:rsidRPr="00F67815">
              <w:t xml:space="preserve">Implement Workplace Health and Safety workplace procedures and practices including the </w:t>
            </w:r>
            <w:r w:rsidRPr="00F67815">
              <w:t>use of risk control measures as specified in the Performance Criteria and range</w:t>
            </w:r>
          </w:p>
          <w:p w:rsidR="00000000" w:rsidRPr="00F67815" w:rsidP="00F67815">
            <w:pPr>
              <w:pStyle w:val="ListBullet2"/>
            </w:pPr>
            <w:r w:rsidRPr="00F67815">
              <w:t>Apply sustainable energy principles and practices as specified in the Performance Criteria and range</w:t>
            </w:r>
          </w:p>
          <w:p w:rsidR="00000000" w:rsidRPr="00F67815" w:rsidP="00F67815">
            <w:pPr>
              <w:pStyle w:val="ListBullet2"/>
            </w:pPr>
            <w:r w:rsidRPr="00F67815">
              <w:t>Demonstrate an understanding of the essential knowledge and associated skil</w:t>
            </w:r>
            <w:r w:rsidRPr="00F67815">
              <w:t>ls as described in this unit to such an extent that the learner’s performance outcome is reported in accordance with the preferred approach; namely a percentile graded result, where required by the regulated environment</w:t>
            </w:r>
          </w:p>
          <w:p w:rsidR="00000000" w:rsidRPr="00F67815" w:rsidP="00F67815">
            <w:pPr>
              <w:pStyle w:val="ListBullet2"/>
            </w:pPr>
            <w:r w:rsidRPr="00F67815">
              <w:t xml:space="preserve">Demonstrate an appropriate level of </w:t>
            </w:r>
            <w:r w:rsidRPr="00F67815">
              <w:t>employability skills</w:t>
            </w:r>
          </w:p>
          <w:p w:rsidR="00000000" w:rsidRPr="00F67815" w:rsidP="00F67815">
            <w:pPr>
              <w:pStyle w:val="ListBullet2"/>
            </w:pPr>
            <w:r w:rsidRPr="00F67815">
              <w:t>Conduct work observing the relevant Anti-discrimination legislation, regulations, polices and workplace procedures</w:t>
            </w:r>
          </w:p>
          <w:p w:rsidR="00000000" w:rsidRPr="00F67815" w:rsidP="00F67815">
            <w:pPr>
              <w:pStyle w:val="ListBullet"/>
            </w:pPr>
            <w:r w:rsidRPr="00F67815">
              <w:t>Demonstrate consistent performance across a representative range of contexts from the prescribed items below.</w:t>
            </w:r>
          </w:p>
          <w:p w:rsidR="00000000" w:rsidRPr="00F67815" w:rsidP="00F67815">
            <w:pPr>
              <w:pStyle w:val="ListBullet2"/>
            </w:pPr>
            <w:r w:rsidRPr="00F67815">
              <w:t>Comply w</w:t>
            </w:r>
            <w:r w:rsidRPr="00F67815">
              <w:t>ith environmental policies and procedures in the utilities industry as described in 9) Range and including:</w:t>
            </w:r>
          </w:p>
        </w:tc>
      </w:tr>
    </w:tbl>
    <w:p w:rsidR="00000000" w:rsidRPr="00F67815" w:rsidP="00F67815">
      <w:pPr>
        <w:pStyle w:val="BodyText"/>
      </w:pPr>
    </w:p>
    <w:tbl>
      <w:tblPr>
        <w:tblW w:w="0" w:type="auto"/>
        <w:tblLayout w:type="fixed"/>
        <w:tblCellMar>
          <w:left w:w="62" w:type="dxa"/>
          <w:right w:w="62" w:type="dxa"/>
        </w:tblCellMar>
        <w:tblLook w:val="0000"/>
      </w:tblPr>
      <w:tblGrid>
        <w:gridCol w:w="2250"/>
        <w:gridCol w:w="1260"/>
        <w:gridCol w:w="1620"/>
        <w:gridCol w:w="3150"/>
      </w:tblGrid>
      <w:tr w:rsidTr="00F67815">
        <w:tblPrEx>
          <w:tblW w:w="0" w:type="auto"/>
          <w:tblLayout w:type="fixed"/>
          <w:tblCellMar>
            <w:left w:w="62" w:type="dxa"/>
            <w:right w:w="62" w:type="dxa"/>
          </w:tblCellMar>
          <w:tblLook w:val="0000"/>
        </w:tblPrEx>
        <w:trPr>
          <w:trHeight w:val="286"/>
        </w:trPr>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603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Range of tools/equipment/procedures/workplace</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BodyText"/>
            </w:pPr>
            <w:r w:rsidRPr="00F67815">
              <w:rPr>
                <w:rStyle w:val="SpecialBold"/>
              </w:rPr>
              <w:t>Group No</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BodyText"/>
            </w:pPr>
            <w:r w:rsidRPr="00F67815">
              <w:rPr>
                <w:rStyle w:val="SpecialBold"/>
              </w:rPr>
              <w:t>The minimum number of items on which skill is to be demonstrated</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Item List</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A. Identifying, locating and interpreting relevant information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t>At least 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ListBullet"/>
            </w:pPr>
            <w:r w:rsidRPr="00F67815">
              <w:t>Interpret alignment sheets, maps, technical drawings and symbols</w:t>
            </w:r>
          </w:p>
          <w:p w:rsidR="00000000" w:rsidRPr="00F67815" w:rsidP="00F67815">
            <w:pPr>
              <w:pStyle w:val="ListBullet"/>
            </w:pPr>
            <w:r w:rsidRPr="00F67815">
              <w:t>Identify environmental aspects and potential or actual impacts</w:t>
            </w:r>
          </w:p>
          <w:p w:rsidR="00000000" w:rsidRPr="00F67815" w:rsidP="00F67815">
            <w:pPr>
              <w:pStyle w:val="ListBullet"/>
            </w:pPr>
            <w:r w:rsidRPr="00F67815">
              <w:t>Identify potential environmental hazards</w:t>
            </w:r>
          </w:p>
          <w:p w:rsidR="00000000" w:rsidRPr="00F67815" w:rsidP="00F67815">
            <w:pPr>
              <w:pStyle w:val="ListBullet"/>
            </w:pPr>
            <w:r w:rsidRPr="00F67815">
              <w:t>C</w:t>
            </w:r>
            <w:r w:rsidRPr="00F67815">
              <w:t>arry out risk assessment, JHA or JSA that includes environmental risks</w:t>
            </w:r>
          </w:p>
          <w:p w:rsidR="00000000" w:rsidP="00F67815">
            <w:pPr>
              <w:pStyle w:val="ListBullet"/>
              <w:rPr>
                <w:lang w:val="en-NZ"/>
              </w:rPr>
            </w:pPr>
            <w:r w:rsidRPr="00F67815">
              <w:t>Ensure practical application of Environmental legislation, Environmental Management Plans and Environmental Procedures and relevant codes of practise (such as EPA)</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B. Environmental co</w:t>
            </w:r>
            <w:r w:rsidRPr="00F67815">
              <w:rPr>
                <w:rStyle w:val="SpecialBold"/>
              </w:rPr>
              <w:t>ntrol measure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t>At least 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ListBullet"/>
            </w:pPr>
            <w:r w:rsidRPr="00F67815">
              <w:t>Installation of sediment &amp; erosion control measures as per Legislative or Best Practice requirements.</w:t>
            </w:r>
          </w:p>
          <w:p w:rsidR="00000000" w:rsidRPr="00F67815" w:rsidP="00F67815">
            <w:pPr>
              <w:pStyle w:val="ListBullet"/>
            </w:pPr>
            <w:r w:rsidRPr="00F67815">
              <w:t>Weed spread mitigation</w:t>
            </w:r>
          </w:p>
          <w:p w:rsidR="00000000" w:rsidRPr="00F67815" w:rsidP="00F67815">
            <w:pPr>
              <w:pStyle w:val="ListBullet"/>
            </w:pPr>
            <w:r w:rsidRPr="00F67815">
              <w:t>Chemical management controls (MSDS, storage, labelling, bunding)</w:t>
            </w:r>
          </w:p>
          <w:p w:rsidR="00000000" w:rsidRPr="00F67815" w:rsidP="00F67815">
            <w:pPr>
              <w:pStyle w:val="ListBullet"/>
            </w:pPr>
            <w:r w:rsidRPr="00F67815">
              <w:t xml:space="preserve">Noise control techniques &amp; </w:t>
            </w:r>
            <w:r w:rsidRPr="00F67815">
              <w:t>work hour limitations</w:t>
            </w:r>
          </w:p>
          <w:p w:rsidR="00000000" w:rsidRPr="00F67815" w:rsidP="00F67815">
            <w:pPr>
              <w:pStyle w:val="ListBullet"/>
            </w:pPr>
            <w:r w:rsidRPr="00F67815">
              <w:t>Air emission control &amp; reduction practices</w:t>
            </w:r>
          </w:p>
          <w:p w:rsidR="00000000" w:rsidRPr="00F67815" w:rsidP="00F67815">
            <w:pPr>
              <w:pStyle w:val="ListBullet"/>
            </w:pPr>
            <w:r w:rsidRPr="00F67815">
              <w:t>Waste Management principles (recycling).</w:t>
            </w:r>
          </w:p>
          <w:p w:rsidR="00000000" w:rsidRPr="00F67815" w:rsidP="00F67815">
            <w:pPr>
              <w:pStyle w:val="ListBullet"/>
            </w:pPr>
            <w:r w:rsidRPr="00F67815">
              <w:t>Hazardous waste management</w:t>
            </w:r>
          </w:p>
          <w:p w:rsidR="00000000" w:rsidRPr="00F67815" w:rsidP="00F67815">
            <w:pPr>
              <w:pStyle w:val="ListBullet"/>
            </w:pPr>
            <w:r w:rsidRPr="00F67815">
              <w:t>Water management requirements (works near waterways)</w:t>
            </w:r>
          </w:p>
          <w:p w:rsidR="00000000" w:rsidRPr="00F67815" w:rsidP="00F67815">
            <w:pPr>
              <w:pStyle w:val="ListBullet"/>
            </w:pPr>
            <w:r w:rsidRPr="00F67815">
              <w:t>Vegetation Management requirements</w:t>
            </w:r>
          </w:p>
          <w:p w:rsidR="00000000" w:rsidRPr="00F67815" w:rsidP="00F67815">
            <w:pPr>
              <w:pStyle w:val="ListBullet"/>
            </w:pPr>
            <w:r w:rsidRPr="00F67815">
              <w:t>Fauna pr</w:t>
            </w:r>
            <w:r w:rsidRPr="00F67815">
              <w:t>otection</w:t>
            </w:r>
          </w:p>
          <w:p w:rsidR="00000000" w:rsidRPr="00F67815" w:rsidP="00F67815">
            <w:pPr>
              <w:pStyle w:val="ListBullet"/>
            </w:pPr>
            <w:r w:rsidRPr="00F67815">
              <w:t>Heritage Management techniques.</w:t>
            </w:r>
          </w:p>
          <w:p w:rsidR="00000000" w:rsidRPr="00F67815" w:rsidP="00F67815">
            <w:pPr>
              <w:pStyle w:val="ListBullet"/>
            </w:pPr>
            <w:r w:rsidRPr="00F67815">
              <w:t>Community consultation requirements</w:t>
            </w:r>
          </w:p>
          <w:p w:rsidR="00000000" w:rsidP="00F67815">
            <w:pPr>
              <w:pStyle w:val="ListBullet"/>
              <w:rPr>
                <w:lang w:val="en-NZ"/>
              </w:rPr>
            </w:pPr>
            <w:r w:rsidRPr="00F67815">
              <w:t>Rehabilitation requirements</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C. Procedures to control and minimise the impact of an environmental incident</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t>At least 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ListBullet"/>
            </w:pPr>
            <w:r w:rsidRPr="00F67815">
              <w:t>Control environment incident·</w:t>
            </w:r>
          </w:p>
          <w:p w:rsidR="00000000" w:rsidRPr="00F67815" w:rsidP="00F67815">
            <w:pPr>
              <w:pStyle w:val="ListBullet"/>
            </w:pPr>
            <w:r w:rsidRPr="00F67815">
              <w:t>Incident reporting</w:t>
            </w:r>
          </w:p>
          <w:p w:rsidR="00000000" w:rsidP="00F67815">
            <w:pPr>
              <w:pStyle w:val="ListBullet"/>
              <w:rPr>
                <w:lang w:val="en-NZ"/>
              </w:rPr>
            </w:pPr>
            <w:r w:rsidRPr="00F67815">
              <w:t>Apply incident reporting and notification procedures</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BodyText"/>
            </w:pPr>
            <w:r w:rsidRPr="00F67815">
              <w:rPr>
                <w:rStyle w:val="SpecialBold"/>
              </w:rPr>
              <w:t>D. Environmental incident review procedures</w:t>
            </w:r>
          </w:p>
          <w:p w:rsidR="00000000">
            <w:pPr>
              <w:pStyle w:val="BodyText"/>
              <w:keepNext w:val="0"/>
              <w:keepLines w:val="0"/>
              <w:contextualSpacing w:val="0"/>
              <w:rPr>
                <w:rFonts w:ascii="Tahoma" w:hAnsi="Tahoma"/>
                <w:color w:val="000000"/>
                <w:sz w:val="20"/>
                <w:lang w:val="en-NZ"/>
              </w:rPr>
            </w:pP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t>At least 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ListBullet"/>
            </w:pPr>
            <w:r w:rsidRPr="00F67815">
              <w:t>Review environmental incident</w:t>
            </w:r>
          </w:p>
          <w:p w:rsidR="00000000" w:rsidRPr="00F67815" w:rsidP="00F67815">
            <w:pPr>
              <w:pStyle w:val="ListBullet"/>
            </w:pPr>
            <w:r w:rsidRPr="00F67815">
              <w:t>Make recommendations to prevent reoccurrence</w:t>
            </w:r>
          </w:p>
          <w:p w:rsidR="00000000" w:rsidP="00F67815">
            <w:pPr>
              <w:pStyle w:val="ListBullet"/>
              <w:rPr>
                <w:lang w:val="en-NZ"/>
              </w:rPr>
            </w:pPr>
            <w:r w:rsidRPr="00F67815">
              <w:t>Implement recommendations</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E. Safety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t>All</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ListBullet"/>
            </w:pPr>
            <w:r w:rsidRPr="00F67815">
              <w:t>Work utilising the relevant WHS legislation, policies and procedures effectively</w:t>
            </w:r>
          </w:p>
          <w:p w:rsidR="00000000" w:rsidRPr="00F67815" w:rsidP="00F67815">
            <w:pPr>
              <w:pStyle w:val="ListBullet"/>
            </w:pPr>
            <w:r w:rsidRPr="00F67815">
              <w:t>Maintain a safe and clean workplace environment</w:t>
            </w:r>
          </w:p>
          <w:p w:rsidR="00000000" w:rsidRPr="00F67815" w:rsidP="00F67815">
            <w:pPr>
              <w:pStyle w:val="ListBullet"/>
            </w:pPr>
            <w:r w:rsidRPr="00F67815">
              <w:t>Communicate effectively with others</w:t>
            </w:r>
          </w:p>
          <w:p w:rsidR="00000000" w:rsidP="00F67815">
            <w:pPr>
              <w:pStyle w:val="ListBullet"/>
              <w:rPr>
                <w:lang w:val="en-NZ"/>
              </w:rPr>
            </w:pPr>
            <w:r w:rsidRPr="00F67815">
              <w:t>Apply basic planning techniques</w:t>
            </w:r>
          </w:p>
        </w:tc>
      </w:tr>
      <w:tr w:rsidTr="00F67815">
        <w:tblPrEx>
          <w:tblW w:w="0" w:type="auto"/>
          <w:tblLayout w:type="fixed"/>
          <w:tblCellMar>
            <w:left w:w="62" w:type="dxa"/>
            <w:right w:w="62" w:type="dxa"/>
          </w:tblCellMar>
          <w:tblLook w:val="0000"/>
        </w:tblPrEx>
        <w:tc>
          <w:tcPr>
            <w:tcW w:w="2250" w:type="dxa"/>
            <w:tcBorders>
              <w:top w:val="nil"/>
              <w:left w:val="nil"/>
              <w:bottom w:val="nil"/>
              <w:right w:val="single" w:sz="4" w:space="0" w:color="auto"/>
            </w:tcBorders>
            <w:tcMar>
              <w:top w:w="0" w:type="dxa"/>
              <w:left w:w="62" w:type="dxa"/>
              <w:bottom w:w="0" w:type="dxa"/>
              <w:right w:w="62" w:type="dxa"/>
            </w:tcMar>
          </w:tcPr>
          <w:p w:rsidR="00000000" w:rsidRPr="00F6781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rPr>
                <w:rStyle w:val="SpecialBold"/>
              </w:rPr>
              <w:t>F. Unplanned event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815">
            <w:pPr>
              <w:pStyle w:val="BodyText"/>
              <w:rPr>
                <w:lang w:val="en-NZ"/>
              </w:rPr>
            </w:pPr>
            <w:r w:rsidRPr="00F67815">
              <w:t>At least one occasion</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815" w:rsidP="00F67815">
            <w:pPr>
              <w:pStyle w:val="ListBullet"/>
            </w:pPr>
            <w:r w:rsidRPr="00F67815">
              <w:t>Deal</w:t>
            </w:r>
            <w:r w:rsidRPr="00F67815">
              <w:t xml:space="preserve"> with an unplanned event by drawing on essential knowledge and associated skills to provide appropriate solutions incorporated in the holistic assessment with the above listed items</w:t>
            </w:r>
          </w:p>
        </w:tc>
      </w:tr>
    </w:tbl>
    <w:p w:rsidR="00000000" w:rsidRPr="00F67815" w:rsidP="00F67815">
      <w:pPr>
        <w:pStyle w:val="BodyText"/>
      </w:pPr>
    </w:p>
    <w:tbl>
      <w:tblPr>
        <w:tblW w:w="0" w:type="auto"/>
        <w:tblLayout w:type="fixed"/>
        <w:tblCellMar>
          <w:left w:w="62" w:type="dxa"/>
          <w:right w:w="62" w:type="dxa"/>
        </w:tblCellMar>
        <w:tblLook w:val="0000"/>
      </w:tblPr>
      <w:tblGrid>
        <w:gridCol w:w="1440"/>
        <w:gridCol w:w="6840"/>
      </w:tblGrid>
      <w:tr w:rsidTr="00485A44">
        <w:tblPrEx>
          <w:tblW w:w="0" w:type="auto"/>
          <w:tblLayout w:type="fixed"/>
          <w:tblCellMar>
            <w:left w:w="62" w:type="dxa"/>
            <w:right w:w="62" w:type="dxa"/>
          </w:tblCellMar>
          <w:tblLook w:val="0000"/>
        </w:tblPrEx>
        <w:trPr>
          <w:trHeight w:val="1370"/>
        </w:trPr>
        <w:tc>
          <w:tcPr>
            <w:tcW w:w="14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Context of and specific resources for assessment</w:t>
            </w: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8.3)</w:t>
            </w:r>
          </w:p>
          <w:p w:rsidR="00000000" w:rsidP="00F67815">
            <w:pPr>
              <w:pStyle w:val="BodyText"/>
              <w:rPr>
                <w:lang w:val="en-NZ"/>
              </w:rPr>
            </w:pPr>
            <w:r w:rsidRPr="00F67815">
              <w:t>This unit should be assessed as it relates to normal work practice using procedures, information and resources typical of a workplace. This should include:</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ListBullet"/>
            </w:pPr>
            <w:r w:rsidRPr="00F67815">
              <w:t>WHS/OHS policy and work procedures and instructions.</w:t>
            </w:r>
          </w:p>
          <w:p w:rsidR="00000000" w:rsidRPr="00F67815" w:rsidP="00F67815">
            <w:pPr>
              <w:pStyle w:val="ListBullet"/>
            </w:pPr>
            <w:r w:rsidRPr="00F67815">
              <w:t>Suitable work environment, facilities, equipment and materials to undertake actual work as prescribed by this Unit.</w:t>
            </w:r>
          </w:p>
          <w:p w:rsidR="00000000" w:rsidRPr="00F67815" w:rsidP="00F67815">
            <w:pPr>
              <w:pStyle w:val="ListBullet"/>
            </w:pPr>
            <w:r w:rsidRPr="00F67815">
              <w:t>Appropriate environmental regulation and work practices.</w:t>
            </w:r>
          </w:p>
          <w:p w:rsidR="00000000" w:rsidRPr="00F67815" w:rsidP="00F67815">
            <w:pPr>
              <w:pStyle w:val="ListBullet"/>
            </w:pPr>
            <w:r w:rsidRPr="00F67815">
              <w:t>Appropriate organisational requirements.</w:t>
            </w:r>
          </w:p>
          <w:p w:rsidR="00000000" w:rsidP="00F67815">
            <w:pPr>
              <w:pStyle w:val="ListBullet"/>
              <w:rPr>
                <w:lang w:val="en-NZ"/>
              </w:rPr>
            </w:pPr>
            <w:r w:rsidRPr="00F67815">
              <w:t>Appropriate work environment, equipment an</w:t>
            </w:r>
            <w:r w:rsidRPr="00F67815">
              <w:t>d tools.</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These should be part of the formal learning/assessment environment.</w:t>
            </w:r>
          </w:p>
          <w:p w:rsidR="00000000" w:rsidRPr="00F67815" w:rsidP="00F67815">
            <w:pPr>
              <w:pStyle w:val="BodyText"/>
            </w:pPr>
            <w:r w:rsidRPr="00F67815">
              <w:t>Assessment of this competency must also be undertaken in either an actual workplace or under a simulated work environment. Assessment must also integrate the employability skills.</w:t>
            </w:r>
          </w:p>
          <w:p w:rsidR="00000000" w:rsidRPr="00F67815" w:rsidP="00F67815">
            <w:pPr>
              <w:pStyle w:val="BodyText"/>
            </w:pPr>
            <w:r w:rsidRPr="00F67815">
              <w:t>Note:</w:t>
            </w:r>
          </w:p>
          <w:p w:rsidR="00000000" w:rsidRPr="00F67815" w:rsidP="00F67815">
            <w:pPr>
              <w:pStyle w:val="BodyText"/>
            </w:pPr>
            <w:r w:rsidRPr="00F67815">
              <w:t>Where simulation is considered a suitable strategy for assessment, con</w:t>
            </w:r>
            <w:r w:rsidRPr="00F67815">
              <w:t>ditions must be authentic and as far as possible reproduce and replicate the workplace and be consistent with the approved industry simulation policy.</w:t>
            </w:r>
          </w:p>
          <w:p w:rsidR="00000000" w:rsidRPr="00F67815" w:rsidP="00F67815">
            <w:pPr>
              <w:pStyle w:val="BodyText"/>
            </w:pPr>
            <w:r w:rsidRPr="00F67815">
              <w:t>The resources used for assessment should reflect current industry practices in relation to locating, prov</w:t>
            </w:r>
            <w:r w:rsidRPr="00F67815">
              <w:t>ing and protecting utility assets.</w:t>
            </w:r>
          </w:p>
        </w:tc>
      </w:tr>
    </w:tbl>
    <w:p w:rsidR="00000000" w:rsidRPr="00F67815" w:rsidP="00F67815">
      <w:pPr>
        <w:pStyle w:val="BodyText"/>
      </w:pPr>
    </w:p>
    <w:tbl>
      <w:tblPr>
        <w:tblW w:w="0" w:type="auto"/>
        <w:tblLayout w:type="fixed"/>
        <w:tblCellMar>
          <w:left w:w="62" w:type="dxa"/>
          <w:right w:w="62" w:type="dxa"/>
        </w:tblCellMar>
        <w:tblLook w:val="0000"/>
      </w:tblPr>
      <w:tblGrid>
        <w:gridCol w:w="1440"/>
        <w:gridCol w:w="6840"/>
      </w:tblGrid>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Method of assessment</w:t>
            </w: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8.4)</w:t>
            </w:r>
          </w:p>
          <w:p w:rsidR="00000000" w:rsidP="00F67815">
            <w:pPr>
              <w:pStyle w:val="BodyText"/>
              <w:rPr>
                <w:lang w:val="en-NZ"/>
              </w:rPr>
            </w:pP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This Unit shall be assessed by methods given in Volume 1, Part 3 ‘Assessment Guidelines’.</w:t>
            </w:r>
          </w:p>
          <w:p w:rsidR="00000000" w:rsidRPr="00F67815" w:rsidP="00F67815">
            <w:pPr>
              <w:pStyle w:val="BodyText"/>
            </w:pPr>
            <w:r w:rsidRPr="00F67815">
              <w:t>Note: Competent performance with inherent safe working practices is expected in the Industry to which this Unit applies. This requires that the specified Required Skills and Knowledge are assessed in a structured environment which is primarily intended for</w:t>
            </w:r>
            <w:r w:rsidRPr="00F67815">
              <w:t xml:space="preserve"> learning/assessment and incorporates all necessary equipment and facilities for learners to develop and demonstrate the Required Skills and Knowledge described in this unit.</w:t>
            </w:r>
          </w:p>
        </w:tc>
      </w:tr>
    </w:tbl>
    <w:p w:rsidR="00000000" w:rsidRPr="00F67815" w:rsidP="00F67815">
      <w:pPr>
        <w:pStyle w:val="BodyText"/>
      </w:pPr>
    </w:p>
    <w:tbl>
      <w:tblPr>
        <w:tblW w:w="0" w:type="auto"/>
        <w:tblLayout w:type="fixed"/>
        <w:tblCellMar>
          <w:left w:w="62" w:type="dxa"/>
          <w:right w:w="62" w:type="dxa"/>
        </w:tblCellMar>
        <w:tblLook w:val="0000"/>
      </w:tblPr>
      <w:tblGrid>
        <w:gridCol w:w="1440"/>
        <w:gridCol w:w="1620"/>
        <w:gridCol w:w="5220"/>
      </w:tblGrid>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Concurrent assessment and relationship with other units</w:t>
            </w:r>
            <w:r w:rsidRPr="00F67815">
              <w:rPr>
                <w:rStyle w:val="SpecialBold"/>
              </w:rPr>
              <w:tab/>
            </w:r>
          </w:p>
        </w:tc>
        <w:tc>
          <w:tcPr>
            <w:tcW w:w="6840" w:type="dxa"/>
            <w:gridSpan w:val="2"/>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rPr>
                <w:rStyle w:val="SpecialBold"/>
              </w:rPr>
              <w:t>8.5)</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gridSpan w:val="2"/>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There are no recommended concurrent assessments with this unit, however in some cases efficiencies may be gained in terms of learning and assessment effort being concurrently managed with allied Units where listed.</w:t>
            </w:r>
            <w:r w:rsidRPr="00F67815">
              <w:tab/>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UEGNSG132A</w:t>
            </w:r>
          </w:p>
        </w:tc>
        <w:tc>
          <w:tcPr>
            <w:tcW w:w="522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Carry out basic work activ</w:t>
            </w:r>
            <w:r w:rsidRPr="00F67815">
              <w:t>ities in a gas industry work environment</w:t>
            </w:r>
          </w:p>
        </w:tc>
      </w:tr>
      <w:tr w:rsidTr="00485A4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UEGNSG134A</w:t>
            </w:r>
          </w:p>
        </w:tc>
        <w:tc>
          <w:tcPr>
            <w:tcW w:w="522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Establish a utilities infrastructure work site</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11" w:name="O_577793"/>
      <w:bookmarkEnd w:id="11"/>
      <w:r w:rsidRPr="00F67815">
        <w:t>Range Statement</w:t>
      </w:r>
    </w:p>
    <w:tbl>
      <w:tblPr>
        <w:tblW w:w="0" w:type="auto"/>
        <w:tblLayout w:type="fixed"/>
        <w:tblCellMar>
          <w:left w:w="62" w:type="dxa"/>
          <w:right w:w="62" w:type="dxa"/>
        </w:tblCellMar>
        <w:tblLook w:val="0000"/>
      </w:tblPr>
      <w:tblGrid>
        <w:gridCol w:w="8280"/>
      </w:tblGrid>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Heading5"/>
              <w:rPr>
                <w:lang w:val="en-NZ"/>
              </w:rPr>
            </w:pPr>
            <w:r w:rsidRPr="00F67815">
              <w:rPr>
                <w:rStyle w:val="SpecialBold"/>
              </w:rPr>
              <w:t>9)</w:t>
            </w:r>
            <w:r w:rsidRPr="00F67815">
              <w:t xml:space="preserve"> This relates to the competency standard unit as a whole providing the range of contexts and conditions </w:t>
            </w:r>
            <w:r w:rsidRPr="00F67815">
              <w:t>to which the Performance Criteria apply. It allows for different work environments and situations that will affect performance.</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t>This Unit shall be demonstrated in relation to compliance with environmental policies and procedures in at least one of the fol</w:t>
            </w:r>
            <w:r w:rsidRPr="00F67815">
              <w:t>lowing utilities industry work sites including:</w:t>
            </w:r>
          </w:p>
          <w:p w:rsidR="00000000" w:rsidRPr="00F67815" w:rsidP="00F67815">
            <w:pPr>
              <w:pStyle w:val="ListBullet"/>
            </w:pPr>
            <w:r w:rsidRPr="00F67815">
              <w:t>Above ground level sites</w:t>
            </w:r>
          </w:p>
          <w:p w:rsidR="00000000" w:rsidRPr="00F67815" w:rsidP="00F67815">
            <w:pPr>
              <w:pStyle w:val="ListBullet"/>
            </w:pPr>
            <w:r w:rsidRPr="00F67815">
              <w:t>Below ground level sites</w:t>
            </w:r>
          </w:p>
          <w:p w:rsidR="00000000" w:rsidRPr="00F67815" w:rsidP="00F67815">
            <w:pPr>
              <w:pStyle w:val="ListBullet"/>
            </w:pPr>
            <w:r w:rsidRPr="00F67815">
              <w:t>Easements</w:t>
            </w:r>
          </w:p>
          <w:p w:rsidR="00000000" w:rsidRPr="00F67815" w:rsidP="00F67815">
            <w:pPr>
              <w:pStyle w:val="ListBullet"/>
            </w:pPr>
            <w:r w:rsidRPr="00F67815">
              <w:t>Public sites, requiring pedestrian and traffic control</w:t>
            </w:r>
          </w:p>
          <w:p w:rsidR="00000000" w:rsidP="00F67815">
            <w:pPr>
              <w:pStyle w:val="ListBullet"/>
              <w:rPr>
                <w:lang w:val="en-NZ"/>
              </w:rPr>
            </w:pPr>
            <w:r w:rsidRPr="00F67815">
              <w:t xml:space="preserve">Private sites.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BodyText"/>
              <w:rPr>
                <w:lang w:val="en-NZ"/>
              </w:rPr>
            </w:pPr>
            <w:r w:rsidRPr="00F67815">
              <w:t>The following constants and variables included in the element/Performance C</w:t>
            </w:r>
            <w:r w:rsidRPr="00F67815">
              <w:t>riteria in this unit are fully described in the Definitions Section of this volume and form an integral part of the Range Statement of this unit:</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ListBullet"/>
              <w:rPr>
                <w:lang w:val="en-NZ"/>
              </w:rPr>
            </w:pPr>
            <w:r w:rsidRPr="00F67815">
              <w:t xml:space="preserve">Legislation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ListBullet"/>
              <w:rPr>
                <w:lang w:val="en-NZ"/>
              </w:rPr>
            </w:pPr>
            <w:r w:rsidRPr="00F67815">
              <w:t xml:space="preserve">Inspection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ListBullet"/>
              <w:rPr>
                <w:lang w:val="en-NZ"/>
              </w:rPr>
            </w:pPr>
            <w:r w:rsidRPr="00F67815">
              <w:t xml:space="preserve">Safety equipment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ListBullet"/>
              <w:rPr>
                <w:lang w:val="en-NZ"/>
              </w:rPr>
            </w:pPr>
            <w:r w:rsidRPr="00F67815">
              <w:t xml:space="preserve">Personal Protective Equipment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ListBullet"/>
              <w:rPr>
                <w:lang w:val="en-NZ"/>
              </w:rPr>
            </w:pPr>
            <w:r w:rsidRPr="00F67815">
              <w:t xml:space="preserve">Relevant regulation and procedures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F67815">
            <w:pPr>
              <w:pStyle w:val="ListBullet"/>
              <w:rPr>
                <w:lang w:val="en-NZ"/>
              </w:rPr>
            </w:pPr>
            <w:r w:rsidRPr="00F67815">
              <w:t xml:space="preserve">Emergency and hazardous work situations </w:t>
            </w:r>
          </w:p>
        </w:tc>
      </w:tr>
      <w:tr w:rsidTr="00485A44">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F67815" w:rsidP="00F67815">
            <w:pPr>
              <w:pStyle w:val="ListBullet"/>
            </w:pPr>
            <w:r w:rsidRPr="00F67815">
              <w:t xml:space="preserve">Relevant sections of standard operating procedures </w:t>
            </w:r>
          </w:p>
        </w:tc>
      </w:tr>
    </w:tbl>
    <w:p w:rsidR="00000000" w:rsidRPr="00F67815" w:rsidP="00F67815">
      <w:pPr>
        <w:pStyle w:val="BodyText"/>
      </w:pPr>
    </w:p>
    <w:p w:rsidR="00000000" w:rsidRPr="00F67815" w:rsidP="00F67815">
      <w:pPr>
        <w:pStyle w:val="AllowPageBreak"/>
      </w:pPr>
    </w:p>
    <w:p w:rsidR="00000000" w:rsidRPr="00F67815" w:rsidP="00F67815">
      <w:pPr>
        <w:pStyle w:val="Heading1"/>
      </w:pPr>
      <w:bookmarkStart w:id="12" w:name="O_577794"/>
      <w:bookmarkEnd w:id="12"/>
      <w:r w:rsidRPr="00F67815">
        <w:t>Unit Sector(s)</w:t>
      </w:r>
    </w:p>
    <w:p w:rsidR="00000000" w:rsidRPr="00F67815" w:rsidP="00F67815">
      <w:pPr>
        <w:pStyle w:val="BodyText"/>
      </w:pPr>
      <w:r w:rsidRPr="00F67815">
        <w:t>Utilities industry</w:t>
      </w:r>
    </w:p>
    <w:p w:rsidR="00000000" w:rsidRPr="00F67815" w:rsidP="00F67815">
      <w:pPr>
        <w:pStyle w:val="AllowPageBreak"/>
      </w:pPr>
    </w:p>
    <w:p w:rsidR="00000000" w:rsidRPr="00F67815" w:rsidP="00F67815">
      <w:pPr>
        <w:pStyle w:val="Heading1"/>
      </w:pPr>
      <w:bookmarkStart w:id="13" w:name="O_577795"/>
      <w:bookmarkEnd w:id="13"/>
      <w:r w:rsidRPr="00F67815">
        <w:t>Competency Field</w:t>
      </w:r>
    </w:p>
    <w:tbl>
      <w:tblPr>
        <w:tblW w:w="0" w:type="auto"/>
        <w:tblLayout w:type="fixed"/>
        <w:tblCellMar>
          <w:left w:w="62" w:type="dxa"/>
          <w:right w:w="62" w:type="dxa"/>
        </w:tblCellMar>
        <w:tblLook w:val="0000"/>
      </w:tblPr>
      <w:tblGrid>
        <w:gridCol w:w="2638"/>
        <w:gridCol w:w="5760"/>
      </w:tblGrid>
      <w:tr w:rsidTr="00F67815">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RPr="00F67815" w:rsidP="00F67815">
            <w:pPr>
              <w:pStyle w:val="BodyText"/>
            </w:pPr>
            <w:r w:rsidRPr="00F67815">
              <w:rPr>
                <w:rStyle w:val="SpecialBold"/>
              </w:rPr>
              <w:t xml:space="preserve">11) </w:t>
            </w:r>
          </w:p>
          <w:p w:rsidR="00000000" w:rsidRPr="00F67815" w:rsidP="00F67815">
            <w:pPr>
              <w:pStyle w:val="BodyText"/>
            </w:pPr>
            <w:r w:rsidRPr="00F67815">
              <w:t>Cross discipline</w:t>
            </w:r>
          </w:p>
        </w:tc>
      </w:tr>
    </w:tbl>
    <w:p w:rsidR="00000000" w:rsidRPr="00F67815" w:rsidP="00F67815">
      <w:pPr>
        <w:pStyle w:val="BodyText"/>
      </w:pPr>
    </w:p>
    <w:p w:rsidR="00000000" w:rsidRPr="00F67815" w:rsidP="00F67815"/>
    <w:sectPr w:rsidSect="00F678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15" w:rsidRPr="00485A44" w:rsidP="00485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44" w:rsidP="00F67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85A44" w:rsidP="00F6781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85A44" w:rsidP="00F67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15" w:rsidRPr="00485A44" w:rsidP="00485A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44" w:rsidRPr="002D2AF8" w:rsidP="00F67815">
    <w:pPr>
      <w:pStyle w:val="Header"/>
      <w:framePr w:wrap="around"/>
    </w:pPr>
    <w:r>
      <w:fldChar w:fldCharType="begin"/>
    </w:r>
    <w:r>
      <w:instrText xml:space="preserve"> TITLE   \* MERGEFORMAT </w:instrText>
    </w:r>
    <w:r>
      <w:fldChar w:fldCharType="separate"/>
    </w:r>
    <w:r>
      <w:t>UEGNSG133A Comply with environmental policies and procedures in the utilities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485A44" w:rsidP="00F67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83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66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60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815"/>
    <w:pPr>
      <w:spacing w:before="360" w:after="60"/>
      <w:outlineLvl w:val="0"/>
    </w:pPr>
    <w:rPr>
      <w:sz w:val="32"/>
    </w:rPr>
  </w:style>
  <w:style w:type="paragraph" w:styleId="Heading2">
    <w:name w:val="heading 2"/>
    <w:basedOn w:val="HeadingBase"/>
    <w:next w:val="BodyText"/>
    <w:link w:val="Heading2Char"/>
    <w:qFormat/>
    <w:rsid w:val="00F67815"/>
    <w:pPr>
      <w:keepLines/>
      <w:spacing w:before="240" w:after="120"/>
      <w:outlineLvl w:val="1"/>
    </w:pPr>
    <w:rPr>
      <w:sz w:val="28"/>
      <w:szCs w:val="40"/>
    </w:rPr>
  </w:style>
  <w:style w:type="paragraph" w:styleId="Heading3">
    <w:name w:val="heading 3"/>
    <w:basedOn w:val="HeadingBase"/>
    <w:next w:val="BodyText"/>
    <w:link w:val="Heading3Char"/>
    <w:qFormat/>
    <w:rsid w:val="00F67815"/>
    <w:pPr>
      <w:spacing w:before="180" w:after="120"/>
      <w:outlineLvl w:val="2"/>
    </w:pPr>
    <w:rPr>
      <w:spacing w:val="-10"/>
      <w:kern w:val="32"/>
    </w:rPr>
  </w:style>
  <w:style w:type="paragraph" w:styleId="Heading4">
    <w:name w:val="heading 4"/>
    <w:basedOn w:val="HeadingBase"/>
    <w:next w:val="BodyText"/>
    <w:link w:val="Heading4Char"/>
    <w:qFormat/>
    <w:rsid w:val="00F67815"/>
    <w:pPr>
      <w:spacing w:before="160" w:after="120"/>
      <w:outlineLvl w:val="3"/>
    </w:pPr>
    <w:rPr>
      <w:sz w:val="22"/>
    </w:rPr>
  </w:style>
  <w:style w:type="paragraph" w:styleId="Heading5">
    <w:name w:val="heading 5"/>
    <w:basedOn w:val="HeadingBase"/>
    <w:next w:val="Normal"/>
    <w:link w:val="Heading5Char"/>
    <w:qFormat/>
    <w:rsid w:val="00F67815"/>
    <w:pPr>
      <w:spacing w:before="80"/>
      <w:outlineLvl w:val="4"/>
    </w:pPr>
    <w:rPr>
      <w:color w:val="918585"/>
      <w:sz w:val="20"/>
    </w:rPr>
  </w:style>
  <w:style w:type="paragraph" w:styleId="Heading6">
    <w:name w:val="heading 6"/>
    <w:basedOn w:val="HeadingBase"/>
    <w:next w:val="Normal"/>
    <w:link w:val="Heading6Char"/>
    <w:qFormat/>
    <w:rsid w:val="00F67815"/>
    <w:pPr>
      <w:spacing w:before="60"/>
      <w:outlineLvl w:val="5"/>
    </w:pPr>
    <w:rPr>
      <w:color w:val="918585"/>
      <w:sz w:val="20"/>
    </w:rPr>
  </w:style>
  <w:style w:type="paragraph" w:styleId="Heading7">
    <w:name w:val="heading 7"/>
    <w:basedOn w:val="Normal"/>
    <w:next w:val="Normal"/>
    <w:link w:val="Heading7Char"/>
    <w:qFormat/>
    <w:rsid w:val="00F67815"/>
    <w:pPr>
      <w:ind w:left="720"/>
      <w:outlineLvl w:val="6"/>
    </w:pPr>
    <w:rPr>
      <w:i/>
    </w:rPr>
  </w:style>
  <w:style w:type="paragraph" w:styleId="Heading8">
    <w:name w:val="heading 8"/>
    <w:basedOn w:val="Normal"/>
    <w:next w:val="Normal"/>
    <w:link w:val="Heading8Char"/>
    <w:qFormat/>
    <w:rsid w:val="00F67815"/>
    <w:pPr>
      <w:ind w:left="720"/>
      <w:outlineLvl w:val="7"/>
    </w:pPr>
    <w:rPr>
      <w:i/>
    </w:rPr>
  </w:style>
  <w:style w:type="paragraph" w:styleId="Heading9">
    <w:name w:val="heading 9"/>
    <w:basedOn w:val="Normal"/>
    <w:next w:val="Normal"/>
    <w:link w:val="Heading9Char"/>
    <w:qFormat/>
    <w:rsid w:val="00F67815"/>
    <w:pPr>
      <w:ind w:left="720"/>
      <w:outlineLvl w:val="8"/>
    </w:pPr>
    <w:rPr>
      <w:i/>
    </w:rPr>
  </w:style>
  <w:style w:type="character" w:default="1" w:styleId="DefaultParagraphFont">
    <w:name w:val="Default Paragraph Font"/>
    <w:uiPriority w:val="1"/>
    <w:unhideWhenUsed/>
    <w:rsid w:val="00F67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815"/>
  </w:style>
  <w:style w:type="character" w:customStyle="1" w:styleId="Heading1Char">
    <w:name w:val="Heading 1 Char"/>
    <w:basedOn w:val="DefaultParagraphFont"/>
    <w:link w:val="Heading1"/>
    <w:rsid w:val="00F6781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7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815"/>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F678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815"/>
    <w:rPr>
      <w:rFonts w:ascii="Times New Roman" w:eastAsia="Times New Roman" w:hAnsi="Times New Roman" w:cs="Times New Roman"/>
      <w:sz w:val="24"/>
      <w:lang w:eastAsia="en-US"/>
    </w:rPr>
  </w:style>
  <w:style w:type="paragraph" w:styleId="ListBullet">
    <w:name w:val="List Bullet"/>
    <w:basedOn w:val="List"/>
    <w:rsid w:val="00F67815"/>
    <w:pPr>
      <w:numPr>
        <w:numId w:val="13"/>
      </w:numPr>
      <w:tabs>
        <w:tab w:val="clear" w:pos="340"/>
      </w:tabs>
      <w:spacing w:before="40" w:after="40"/>
    </w:pPr>
  </w:style>
  <w:style w:type="character" w:customStyle="1" w:styleId="SpecialBold">
    <w:name w:val="Special Bold"/>
    <w:basedOn w:val="DefaultParagraphFont"/>
    <w:rsid w:val="00F67815"/>
    <w:rPr>
      <w:b/>
      <w:spacing w:val="0"/>
    </w:rPr>
  </w:style>
  <w:style w:type="paragraph" w:styleId="ListBullet2">
    <w:name w:val="List Bullet 2"/>
    <w:basedOn w:val="List2"/>
    <w:rsid w:val="00F67815"/>
    <w:pPr>
      <w:numPr>
        <w:numId w:val="14"/>
      </w:numPr>
      <w:tabs>
        <w:tab w:val="clear" w:pos="680"/>
      </w:tabs>
    </w:pPr>
  </w:style>
  <w:style w:type="character" w:styleId="Emphasis">
    <w:name w:val="Emphasis"/>
    <w:basedOn w:val="DefaultParagraphFont"/>
    <w:qFormat/>
    <w:rsid w:val="00F67815"/>
    <w:rPr>
      <w:i/>
    </w:rPr>
  </w:style>
  <w:style w:type="paragraph" w:customStyle="1" w:styleId="SuperHeading">
    <w:name w:val="SuperHeading"/>
    <w:basedOn w:val="Normal"/>
    <w:rsid w:val="00F67815"/>
    <w:pPr>
      <w:spacing w:before="240" w:after="120"/>
      <w:outlineLvl w:val="0"/>
    </w:pPr>
    <w:rPr>
      <w:rFonts w:ascii="Times New Roman" w:hAnsi="Times New Roman"/>
      <w:b/>
      <w:sz w:val="32"/>
    </w:rPr>
  </w:style>
  <w:style w:type="paragraph" w:customStyle="1" w:styleId="AllowPageBreak">
    <w:name w:val="AllowPageBreak"/>
    <w:rsid w:val="00F67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815"/>
    <w:rPr>
      <w:rFonts w:ascii="Times New Roman" w:eastAsia="Times New Roman" w:hAnsi="Times New Roman" w:cs="Times New Roman"/>
      <w:b/>
      <w:spacing w:val="-10"/>
      <w:kern w:val="32"/>
      <w:sz w:val="24"/>
      <w:szCs w:val="20"/>
      <w:lang w:eastAsia="en-US"/>
    </w:rPr>
  </w:style>
  <w:style w:type="character" w:customStyle="1" w:styleId="Heading6Char">
    <w:name w:val="Heading 6 Char"/>
    <w:basedOn w:val="DefaultParagraphFont"/>
    <w:link w:val="Heading6"/>
    <w:rsid w:val="00F67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815"/>
    <w:rPr>
      <w:rFonts w:ascii="Courier New" w:eastAsia="Times New Roman" w:hAnsi="Courier New" w:cs="Times New Roman"/>
      <w:i/>
      <w:szCs w:val="20"/>
      <w:lang w:eastAsia="en-US"/>
    </w:rPr>
  </w:style>
  <w:style w:type="paragraph" w:customStyle="1" w:styleId="HeadingBase">
    <w:name w:val="Heading Base"/>
    <w:rsid w:val="00F67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815"/>
    <w:pPr>
      <w:tabs>
        <w:tab w:val="right" w:leader="dot" w:pos="9072"/>
      </w:tabs>
      <w:ind w:left="567"/>
    </w:pPr>
    <w:rPr>
      <w:szCs w:val="22"/>
    </w:rPr>
  </w:style>
  <w:style w:type="paragraph" w:customStyle="1" w:styleId="TOCBase">
    <w:name w:val="TOC Base"/>
    <w:rsid w:val="00F67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815"/>
    <w:pPr>
      <w:tabs>
        <w:tab w:val="right" w:leader="dot" w:pos="9072"/>
      </w:tabs>
      <w:spacing w:before="40" w:after="40"/>
      <w:ind w:left="284"/>
    </w:pPr>
    <w:rPr>
      <w:rFonts w:ascii="Times New Roman" w:hAnsi="Times New Roman"/>
    </w:rPr>
  </w:style>
  <w:style w:type="paragraph" w:styleId="TOC1">
    <w:name w:val="toc 1"/>
    <w:basedOn w:val="TOCBase"/>
    <w:next w:val="Normal"/>
    <w:rsid w:val="00F67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815"/>
    <w:rPr>
      <w:rFonts w:ascii="Times New Roman" w:eastAsia="Times New Roman" w:hAnsi="Times New Roman" w:cs="Times New Roman"/>
      <w:sz w:val="16"/>
      <w:lang w:eastAsia="en-US"/>
    </w:rPr>
  </w:style>
  <w:style w:type="paragraph" w:styleId="Title">
    <w:name w:val="Title"/>
    <w:basedOn w:val="HeadingBase"/>
    <w:link w:val="TitleChar"/>
    <w:qFormat/>
    <w:rsid w:val="00F67815"/>
    <w:pPr>
      <w:spacing w:before="5040"/>
      <w:jc w:val="center"/>
    </w:pPr>
    <w:rPr>
      <w:sz w:val="48"/>
      <w:szCs w:val="72"/>
      <w:lang w:val="en-US"/>
    </w:rPr>
  </w:style>
  <w:style w:type="character" w:customStyle="1" w:styleId="TitleChar">
    <w:name w:val="Title Char"/>
    <w:basedOn w:val="DefaultParagraphFont"/>
    <w:link w:val="Title"/>
    <w:rsid w:val="00F67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815"/>
    <w:pPr>
      <w:tabs>
        <w:tab w:val="left" w:pos="3600"/>
        <w:tab w:val="left" w:pos="3958"/>
      </w:tabs>
    </w:pPr>
  </w:style>
  <w:style w:type="paragraph" w:styleId="List">
    <w:name w:val="List"/>
    <w:basedOn w:val="BodyText"/>
    <w:next w:val="BodyText"/>
    <w:rsid w:val="00F67815"/>
    <w:pPr>
      <w:tabs>
        <w:tab w:val="left" w:pos="340"/>
      </w:tabs>
      <w:spacing w:before="60" w:after="60"/>
      <w:ind w:left="340" w:hanging="340"/>
    </w:pPr>
  </w:style>
  <w:style w:type="paragraph" w:customStyle="1" w:styleId="Note">
    <w:name w:val="Note"/>
    <w:basedOn w:val="BodyText"/>
    <w:rsid w:val="00F67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815"/>
    <w:pPr>
      <w:framePr w:wrap="auto" w:hAnchor="text" w:y="6049"/>
    </w:pPr>
    <w:rPr>
      <w:color w:val="000000"/>
      <w:sz w:val="40"/>
    </w:rPr>
  </w:style>
  <w:style w:type="paragraph" w:customStyle="1" w:styleId="TOCTitle">
    <w:name w:val="TOCTitle"/>
    <w:basedOn w:val="Heading1"/>
    <w:rsid w:val="00F67815"/>
    <w:pPr>
      <w:spacing w:after="240"/>
      <w:jc w:val="center"/>
      <w:outlineLvl w:val="9"/>
    </w:pPr>
    <w:rPr>
      <w:caps/>
    </w:rPr>
  </w:style>
  <w:style w:type="paragraph" w:customStyle="1" w:styleId="Version">
    <w:name w:val="Version"/>
    <w:rsid w:val="00F67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815"/>
    <w:pPr>
      <w:keepNext w:val="0"/>
      <w:tabs>
        <w:tab w:val="right" w:pos="4176"/>
      </w:tabs>
      <w:ind w:left="198" w:hanging="198"/>
    </w:pPr>
    <w:rPr>
      <w:rFonts w:ascii="Garamond" w:hAnsi="Garamond"/>
    </w:rPr>
  </w:style>
  <w:style w:type="paragraph" w:styleId="IndexHeading">
    <w:name w:val="index heading"/>
    <w:basedOn w:val="Normal"/>
    <w:next w:val="Index1"/>
    <w:semiHidden/>
    <w:rsid w:val="00F67815"/>
    <w:pPr>
      <w:spacing w:before="120" w:after="120"/>
    </w:pPr>
    <w:rPr>
      <w:rFonts w:ascii="Arial" w:hAnsi="Arial"/>
      <w:b/>
      <w:color w:val="918585"/>
      <w:sz w:val="24"/>
    </w:rPr>
  </w:style>
  <w:style w:type="paragraph" w:styleId="Header">
    <w:name w:val="header"/>
    <w:basedOn w:val="Normal"/>
    <w:link w:val="HeaderChar"/>
    <w:rsid w:val="00F67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815"/>
    <w:rPr>
      <w:rFonts w:ascii="Times New Roman" w:eastAsia="Times New Roman" w:hAnsi="Times New Roman" w:cs="Times New Roman"/>
      <w:sz w:val="16"/>
      <w:szCs w:val="20"/>
      <w:lang w:val="en-GB" w:eastAsia="en-US"/>
    </w:rPr>
  </w:style>
  <w:style w:type="paragraph" w:customStyle="1" w:styleId="Chapter">
    <w:name w:val="Chapter"/>
    <w:basedOn w:val="Normal"/>
    <w:rsid w:val="00F67815"/>
    <w:pPr>
      <w:spacing w:before="240"/>
    </w:pPr>
    <w:rPr>
      <w:rFonts w:ascii="Times New Roman" w:hAnsi="Times New Roman"/>
      <w:smallCaps/>
      <w:spacing w:val="80"/>
      <w:sz w:val="28"/>
    </w:rPr>
  </w:style>
  <w:style w:type="paragraph" w:customStyle="1" w:styleId="InChapter">
    <w:name w:val="InChapter"/>
    <w:basedOn w:val="Heading3"/>
    <w:rsid w:val="00F67815"/>
    <w:pPr>
      <w:spacing w:after="240"/>
      <w:outlineLvl w:val="9"/>
    </w:pPr>
    <w:rPr>
      <w:noProof/>
    </w:rPr>
  </w:style>
  <w:style w:type="paragraph" w:styleId="Index2">
    <w:name w:val="index 2"/>
    <w:basedOn w:val="Normal"/>
    <w:next w:val="Normal"/>
    <w:semiHidden/>
    <w:rsid w:val="00F67815"/>
    <w:pPr>
      <w:tabs>
        <w:tab w:val="right" w:pos="4176"/>
      </w:tabs>
      <w:ind w:left="568" w:hanging="284"/>
    </w:pPr>
    <w:rPr>
      <w:rFonts w:ascii="Garamond" w:hAnsi="Garamond"/>
    </w:rPr>
  </w:style>
  <w:style w:type="paragraph" w:customStyle="1" w:styleId="Byline">
    <w:name w:val="Byline"/>
    <w:rsid w:val="00F67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815"/>
    <w:pPr>
      <w:tabs>
        <w:tab w:val="clear" w:pos="3600"/>
        <w:tab w:val="clear" w:pos="3958"/>
      </w:tabs>
      <w:jc w:val="right"/>
    </w:pPr>
  </w:style>
  <w:style w:type="paragraph" w:styleId="Caption">
    <w:name w:val="caption"/>
    <w:basedOn w:val="BodyText"/>
    <w:next w:val="Normal"/>
    <w:qFormat/>
    <w:rsid w:val="00F67815"/>
    <w:pPr>
      <w:framePr w:w="2268" w:hSpace="181" w:vSpace="181" w:wrap="around" w:vAnchor="text" w:hAnchor="page" w:x="1135" w:y="285" w:anchorLock="1"/>
    </w:pPr>
    <w:rPr>
      <w:i/>
    </w:rPr>
  </w:style>
  <w:style w:type="paragraph" w:customStyle="1" w:styleId="MiniTOCTitle">
    <w:name w:val="MiniTOCTitle"/>
    <w:basedOn w:val="Heading4"/>
    <w:rsid w:val="00F67815"/>
    <w:pPr>
      <w:spacing w:before="240"/>
      <w:outlineLvl w:val="9"/>
    </w:pPr>
    <w:rPr>
      <w:noProof/>
      <w:sz w:val="24"/>
    </w:rPr>
  </w:style>
  <w:style w:type="paragraph" w:customStyle="1" w:styleId="MiniTOCItem">
    <w:name w:val="MiniTOCItem"/>
    <w:basedOn w:val="ListBullet"/>
    <w:rsid w:val="00F67815"/>
    <w:pPr>
      <w:numPr>
        <w:numId w:val="0"/>
      </w:numPr>
      <w:tabs>
        <w:tab w:val="right" w:leader="dot" w:pos="6521"/>
      </w:tabs>
      <w:spacing w:before="0" w:after="0"/>
    </w:pPr>
  </w:style>
  <w:style w:type="paragraph" w:customStyle="1" w:styleId="TOFTitle">
    <w:name w:val="TOFTitle"/>
    <w:basedOn w:val="TOCTitle"/>
    <w:rsid w:val="00F67815"/>
  </w:style>
  <w:style w:type="paragraph" w:styleId="TableofFigures">
    <w:name w:val="table of figures"/>
    <w:basedOn w:val="Normal"/>
    <w:next w:val="Normal"/>
    <w:semiHidden/>
    <w:rsid w:val="00F67815"/>
    <w:pPr>
      <w:tabs>
        <w:tab w:val="right" w:leader="dot" w:pos="9072"/>
      </w:tabs>
      <w:ind w:left="970" w:hanging="403"/>
    </w:pPr>
    <w:rPr>
      <w:rFonts w:ascii="Times New Roman" w:hAnsi="Times New Roman"/>
      <w:b/>
    </w:rPr>
  </w:style>
  <w:style w:type="paragraph" w:styleId="ListNumber">
    <w:name w:val="List Number"/>
    <w:basedOn w:val="List"/>
    <w:rsid w:val="00F67815"/>
    <w:pPr>
      <w:numPr>
        <w:numId w:val="11"/>
      </w:numPr>
    </w:pPr>
  </w:style>
  <w:style w:type="character" w:customStyle="1" w:styleId="WingdingSymbols">
    <w:name w:val="Wingding Symbols"/>
    <w:rsid w:val="00F67815"/>
    <w:rPr>
      <w:rFonts w:ascii="Wingdings" w:hAnsi="Wingdings"/>
    </w:rPr>
  </w:style>
  <w:style w:type="paragraph" w:customStyle="1" w:styleId="TableHeading">
    <w:name w:val="Table Heading"/>
    <w:basedOn w:val="HeadingBase"/>
    <w:rsid w:val="00F67815"/>
    <w:pPr>
      <w:keepLines/>
      <w:pBdr>
        <w:bottom w:val="single" w:sz="6" w:space="1" w:color="918585"/>
      </w:pBdr>
      <w:spacing w:before="240"/>
    </w:pPr>
  </w:style>
  <w:style w:type="character" w:customStyle="1" w:styleId="HotSpot">
    <w:name w:val="HotSpot"/>
    <w:rsid w:val="00F67815"/>
    <w:rPr>
      <w:color w:val="0033CC"/>
      <w:u w:val="none"/>
    </w:rPr>
  </w:style>
  <w:style w:type="paragraph" w:customStyle="1" w:styleId="BodyTextRight">
    <w:name w:val="Body Text Right"/>
    <w:basedOn w:val="BodyText"/>
    <w:rsid w:val="00F67815"/>
    <w:pPr>
      <w:spacing w:before="0" w:after="0"/>
      <w:jc w:val="right"/>
    </w:pPr>
  </w:style>
  <w:style w:type="paragraph" w:styleId="Index3">
    <w:name w:val="index 3"/>
    <w:basedOn w:val="ListNumber2"/>
    <w:next w:val="Normal"/>
    <w:semiHidden/>
    <w:rsid w:val="00F67815"/>
    <w:pPr>
      <w:numPr>
        <w:numId w:val="0"/>
      </w:numPr>
      <w:tabs>
        <w:tab w:val="right" w:leader="dot" w:pos="4176"/>
      </w:tabs>
    </w:pPr>
  </w:style>
  <w:style w:type="paragraph" w:styleId="ListNumber2">
    <w:name w:val="List Number 2"/>
    <w:basedOn w:val="List2"/>
    <w:rsid w:val="00F67815"/>
    <w:pPr>
      <w:numPr>
        <w:numId w:val="10"/>
      </w:numPr>
      <w:tabs>
        <w:tab w:val="clear" w:pos="1060"/>
      </w:tabs>
    </w:pPr>
  </w:style>
  <w:style w:type="paragraph" w:customStyle="1" w:styleId="MarginNote">
    <w:name w:val="Margin Note"/>
    <w:basedOn w:val="BodyText"/>
    <w:rsid w:val="00F67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815"/>
    <w:rPr>
      <w:sz w:val="32"/>
    </w:rPr>
  </w:style>
  <w:style w:type="paragraph" w:customStyle="1" w:styleId="HeadingProcedure">
    <w:name w:val="Heading Procedure"/>
    <w:basedOn w:val="HeadingBase"/>
    <w:next w:val="Normal"/>
    <w:rsid w:val="00F67815"/>
    <w:pPr>
      <w:tabs>
        <w:tab w:val="left" w:pos="0"/>
      </w:tabs>
      <w:spacing w:before="120" w:after="60"/>
    </w:pPr>
    <w:rPr>
      <w:i/>
      <w:color w:val="918585"/>
      <w:sz w:val="22"/>
    </w:rPr>
  </w:style>
  <w:style w:type="paragraph" w:customStyle="1" w:styleId="TableBodyText">
    <w:name w:val="Table Body Text"/>
    <w:basedOn w:val="BodyText"/>
    <w:rsid w:val="00F67815"/>
    <w:pPr>
      <w:spacing w:before="60" w:after="60"/>
    </w:pPr>
  </w:style>
  <w:style w:type="paragraph" w:styleId="ListContinue">
    <w:name w:val="List Continue"/>
    <w:basedOn w:val="List"/>
    <w:rsid w:val="00F67815"/>
    <w:pPr>
      <w:ind w:firstLine="0"/>
    </w:pPr>
  </w:style>
  <w:style w:type="paragraph" w:customStyle="1" w:styleId="ListNote">
    <w:name w:val="List Note"/>
    <w:basedOn w:val="List"/>
    <w:rsid w:val="00F67815"/>
    <w:pPr>
      <w:pBdr>
        <w:top w:val="single" w:sz="6" w:space="2" w:color="918585"/>
        <w:bottom w:val="single" w:sz="6" w:space="2" w:color="918585"/>
      </w:pBdr>
      <w:tabs>
        <w:tab w:val="left" w:pos="1021"/>
      </w:tabs>
      <w:ind w:firstLine="0"/>
    </w:pPr>
  </w:style>
  <w:style w:type="paragraph" w:customStyle="1" w:styleId="Warning">
    <w:name w:val="Warning"/>
    <w:basedOn w:val="BodyText"/>
    <w:rsid w:val="00F67815"/>
    <w:pPr>
      <w:shd w:val="clear" w:color="auto" w:fill="D9D9D9"/>
      <w:tabs>
        <w:tab w:val="left" w:pos="992"/>
      </w:tabs>
      <w:ind w:left="119" w:right="119"/>
    </w:pPr>
    <w:rPr>
      <w:sz w:val="20"/>
    </w:rPr>
  </w:style>
  <w:style w:type="paragraph" w:customStyle="1" w:styleId="MarginIcons">
    <w:name w:val="Margin Icons"/>
    <w:basedOn w:val="BodyText"/>
    <w:rsid w:val="00F67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815"/>
    <w:rPr>
      <w:rFonts w:ascii="Courier New" w:hAnsi="Courier New"/>
    </w:rPr>
  </w:style>
  <w:style w:type="paragraph" w:customStyle="1" w:styleId="NoteBullet">
    <w:name w:val="Note Bullet"/>
    <w:basedOn w:val="Note"/>
    <w:rsid w:val="00F67815"/>
    <w:pPr>
      <w:tabs>
        <w:tab w:val="clear" w:pos="680"/>
      </w:tabs>
      <w:spacing w:before="60" w:after="60"/>
    </w:pPr>
  </w:style>
  <w:style w:type="paragraph" w:customStyle="1" w:styleId="SubHeading2">
    <w:name w:val="SubHeading2"/>
    <w:basedOn w:val="HeadingBase"/>
    <w:rsid w:val="00F67815"/>
    <w:pPr>
      <w:spacing w:before="240" w:after="60"/>
    </w:pPr>
    <w:rPr>
      <w:sz w:val="20"/>
    </w:rPr>
  </w:style>
  <w:style w:type="paragraph" w:customStyle="1" w:styleId="SubHeading1">
    <w:name w:val="SubHeading1"/>
    <w:basedOn w:val="HeadingBase"/>
    <w:rsid w:val="00F67815"/>
    <w:pPr>
      <w:spacing w:before="240" w:after="60"/>
    </w:pPr>
    <w:rPr>
      <w:color w:val="918585"/>
      <w:sz w:val="22"/>
    </w:rPr>
  </w:style>
  <w:style w:type="paragraph" w:customStyle="1" w:styleId="SideHeading">
    <w:name w:val="Side Heading"/>
    <w:basedOn w:val="HeadingBase"/>
    <w:rsid w:val="00F67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815"/>
    <w:pPr>
      <w:numPr>
        <w:numId w:val="12"/>
      </w:numPr>
    </w:pPr>
  </w:style>
  <w:style w:type="paragraph" w:styleId="PlainText">
    <w:name w:val="Plain Text"/>
    <w:basedOn w:val="Normal"/>
    <w:link w:val="PlainTextChar"/>
    <w:rsid w:val="00F67815"/>
    <w:rPr>
      <w:sz w:val="20"/>
    </w:rPr>
  </w:style>
  <w:style w:type="character" w:customStyle="1" w:styleId="PlainTextChar">
    <w:name w:val="Plain Text Char"/>
    <w:basedOn w:val="DefaultParagraphFont"/>
    <w:link w:val="PlainText"/>
    <w:rsid w:val="00F67815"/>
    <w:rPr>
      <w:rFonts w:ascii="Courier New" w:eastAsia="Times New Roman" w:hAnsi="Courier New" w:cs="Times New Roman"/>
      <w:sz w:val="20"/>
      <w:szCs w:val="20"/>
      <w:lang w:eastAsia="en-US"/>
    </w:rPr>
  </w:style>
  <w:style w:type="character" w:customStyle="1" w:styleId="MenuOption">
    <w:name w:val="Menu Option"/>
    <w:basedOn w:val="DefaultParagraphFont"/>
    <w:rsid w:val="00F67815"/>
    <w:rPr>
      <w:b/>
      <w:smallCaps/>
    </w:rPr>
  </w:style>
  <w:style w:type="paragraph" w:customStyle="1" w:styleId="TableListNumber">
    <w:name w:val="Table List Number"/>
    <w:basedOn w:val="ListNumber"/>
    <w:rsid w:val="00F67815"/>
    <w:pPr>
      <w:numPr>
        <w:numId w:val="0"/>
      </w:numPr>
    </w:pPr>
  </w:style>
  <w:style w:type="paragraph" w:styleId="TOC4">
    <w:name w:val="toc 4"/>
    <w:basedOn w:val="TOCBase"/>
    <w:next w:val="Normal"/>
    <w:semiHidden/>
    <w:rsid w:val="00F67815"/>
    <w:pPr>
      <w:tabs>
        <w:tab w:val="right" w:leader="dot" w:pos="9071"/>
      </w:tabs>
      <w:ind w:left="1701"/>
    </w:pPr>
  </w:style>
  <w:style w:type="paragraph" w:customStyle="1" w:styleId="ListAlpha">
    <w:name w:val="List Alpha"/>
    <w:basedOn w:val="List"/>
    <w:rsid w:val="00F67815"/>
    <w:pPr>
      <w:numPr>
        <w:numId w:val="9"/>
      </w:numPr>
    </w:pPr>
  </w:style>
  <w:style w:type="paragraph" w:customStyle="1" w:styleId="ListAlpha2">
    <w:name w:val="List Alpha 2"/>
    <w:basedOn w:val="List2"/>
    <w:rsid w:val="00F67815"/>
    <w:pPr>
      <w:numPr>
        <w:numId w:val="8"/>
      </w:numPr>
    </w:pPr>
  </w:style>
  <w:style w:type="paragraph" w:styleId="List2">
    <w:name w:val="List 2"/>
    <w:basedOn w:val="BodyText"/>
    <w:rsid w:val="00F67815"/>
    <w:pPr>
      <w:tabs>
        <w:tab w:val="left" w:pos="680"/>
      </w:tabs>
      <w:spacing w:before="60" w:after="60"/>
      <w:ind w:left="680" w:hanging="340"/>
    </w:pPr>
  </w:style>
  <w:style w:type="paragraph" w:styleId="List3">
    <w:name w:val="List 3"/>
    <w:basedOn w:val="BodyText"/>
    <w:rsid w:val="00F67815"/>
    <w:pPr>
      <w:tabs>
        <w:tab w:val="left" w:pos="1021"/>
      </w:tabs>
      <w:spacing w:before="60" w:after="60"/>
      <w:ind w:left="1020" w:hanging="340"/>
    </w:pPr>
  </w:style>
  <w:style w:type="paragraph" w:styleId="List4">
    <w:name w:val="List 4"/>
    <w:basedOn w:val="BodyText"/>
    <w:rsid w:val="00F67815"/>
    <w:pPr>
      <w:tabs>
        <w:tab w:val="left" w:pos="1361"/>
      </w:tabs>
      <w:spacing w:before="60" w:after="60"/>
      <w:ind w:left="1361" w:hanging="340"/>
    </w:pPr>
  </w:style>
  <w:style w:type="paragraph" w:styleId="List5">
    <w:name w:val="List 5"/>
    <w:basedOn w:val="BodyText"/>
    <w:rsid w:val="00F67815"/>
    <w:pPr>
      <w:tabs>
        <w:tab w:val="left" w:pos="1701"/>
      </w:tabs>
      <w:spacing w:before="60" w:after="60"/>
      <w:ind w:left="1701" w:hanging="340"/>
    </w:pPr>
  </w:style>
  <w:style w:type="paragraph" w:styleId="ListBullet3">
    <w:name w:val="List Bullet 3"/>
    <w:basedOn w:val="List3"/>
    <w:rsid w:val="00F67815"/>
    <w:pPr>
      <w:numPr>
        <w:numId w:val="15"/>
      </w:numPr>
      <w:tabs>
        <w:tab w:val="clear" w:pos="1021"/>
      </w:tabs>
      <w:ind w:left="1037" w:hanging="357"/>
    </w:pPr>
  </w:style>
  <w:style w:type="paragraph" w:styleId="ListBullet4">
    <w:name w:val="List Bullet 4"/>
    <w:basedOn w:val="List4"/>
    <w:rsid w:val="00F67815"/>
    <w:pPr>
      <w:numPr>
        <w:numId w:val="3"/>
      </w:numPr>
    </w:pPr>
  </w:style>
  <w:style w:type="paragraph" w:styleId="ListBullet5">
    <w:name w:val="List Bullet 5"/>
    <w:basedOn w:val="List5"/>
    <w:rsid w:val="00F67815"/>
    <w:pPr>
      <w:numPr>
        <w:numId w:val="4"/>
      </w:numPr>
    </w:pPr>
  </w:style>
  <w:style w:type="paragraph" w:styleId="ListContinue2">
    <w:name w:val="List Continue 2"/>
    <w:basedOn w:val="List2"/>
    <w:rsid w:val="00F67815"/>
    <w:pPr>
      <w:ind w:firstLine="0"/>
    </w:pPr>
  </w:style>
  <w:style w:type="paragraph" w:styleId="ListContinue3">
    <w:name w:val="List Continue 3"/>
    <w:basedOn w:val="List3"/>
    <w:rsid w:val="00F67815"/>
    <w:pPr>
      <w:ind w:left="1021" w:firstLine="0"/>
    </w:pPr>
  </w:style>
  <w:style w:type="paragraph" w:styleId="ListContinue4">
    <w:name w:val="List Continue 4"/>
    <w:basedOn w:val="List4"/>
    <w:rsid w:val="00F67815"/>
    <w:pPr>
      <w:ind w:firstLine="0"/>
    </w:pPr>
  </w:style>
  <w:style w:type="paragraph" w:styleId="ListContinue5">
    <w:name w:val="List Continue 5"/>
    <w:basedOn w:val="List5"/>
    <w:rsid w:val="00F67815"/>
    <w:pPr>
      <w:ind w:firstLine="0"/>
    </w:pPr>
  </w:style>
  <w:style w:type="paragraph" w:styleId="ListNumber3">
    <w:name w:val="List Number 3"/>
    <w:basedOn w:val="List3"/>
    <w:rsid w:val="00F67815"/>
    <w:pPr>
      <w:numPr>
        <w:numId w:val="5"/>
      </w:numPr>
    </w:pPr>
  </w:style>
  <w:style w:type="paragraph" w:styleId="ListNumber4">
    <w:name w:val="List Number 4"/>
    <w:basedOn w:val="List4"/>
    <w:rsid w:val="00F67815"/>
    <w:pPr>
      <w:numPr>
        <w:numId w:val="6"/>
      </w:numPr>
    </w:pPr>
  </w:style>
  <w:style w:type="paragraph" w:styleId="ListNumber5">
    <w:name w:val="List Number 5"/>
    <w:basedOn w:val="List5"/>
    <w:rsid w:val="00F67815"/>
    <w:pPr>
      <w:numPr>
        <w:numId w:val="7"/>
      </w:numPr>
    </w:pPr>
  </w:style>
  <w:style w:type="paragraph" w:styleId="BlockText">
    <w:name w:val="Block Text"/>
    <w:basedOn w:val="Normal"/>
    <w:rsid w:val="00F67815"/>
    <w:pPr>
      <w:spacing w:after="120"/>
      <w:ind w:left="1440" w:right="1440"/>
    </w:pPr>
  </w:style>
  <w:style w:type="character" w:customStyle="1" w:styleId="Subscript">
    <w:name w:val="Subscript"/>
    <w:basedOn w:val="DefaultParagraphFont"/>
    <w:rsid w:val="00F67815"/>
    <w:rPr>
      <w:sz w:val="16"/>
      <w:vertAlign w:val="subscript"/>
    </w:rPr>
  </w:style>
  <w:style w:type="character" w:customStyle="1" w:styleId="Superscript">
    <w:name w:val="Superscript"/>
    <w:basedOn w:val="DefaultParagraphFont"/>
    <w:rsid w:val="00F67815"/>
    <w:rPr>
      <w:sz w:val="16"/>
      <w:vertAlign w:val="superscript"/>
    </w:rPr>
  </w:style>
  <w:style w:type="character" w:customStyle="1" w:styleId="Symbols">
    <w:name w:val="Symbols"/>
    <w:basedOn w:val="DefaultParagraphFont"/>
    <w:rsid w:val="00F67815"/>
    <w:rPr>
      <w:rFonts w:ascii="Symbol" w:hAnsi="Symbol"/>
    </w:rPr>
  </w:style>
  <w:style w:type="character" w:customStyle="1" w:styleId="MenuOptions">
    <w:name w:val="Menu Options"/>
    <w:basedOn w:val="DefaultParagraphFont"/>
    <w:rsid w:val="00F67815"/>
    <w:rPr>
      <w:rFonts w:ascii="Arial Narrow" w:hAnsi="Arial Narrow"/>
      <w:smallCaps/>
    </w:rPr>
  </w:style>
  <w:style w:type="character" w:customStyle="1" w:styleId="Buttons">
    <w:name w:val="Buttons"/>
    <w:basedOn w:val="DefaultParagraphFont"/>
    <w:rsid w:val="00F67815"/>
    <w:rPr>
      <w:b/>
    </w:rPr>
  </w:style>
  <w:style w:type="character" w:customStyle="1" w:styleId="Underlined">
    <w:name w:val="Underlined"/>
    <w:basedOn w:val="DefaultParagraphFont"/>
    <w:rsid w:val="00F67815"/>
    <w:rPr>
      <w:u w:val="single"/>
    </w:rPr>
  </w:style>
  <w:style w:type="paragraph" w:customStyle="1" w:styleId="TableBodyTextRight">
    <w:name w:val="Table Body Text Right"/>
    <w:basedOn w:val="TableBodyText"/>
    <w:rsid w:val="00F67815"/>
    <w:pPr>
      <w:widowControl w:val="0"/>
      <w:autoSpaceDE w:val="0"/>
      <w:autoSpaceDN w:val="0"/>
      <w:adjustRightInd w:val="0"/>
      <w:jc w:val="right"/>
    </w:pPr>
    <w:rPr>
      <w:rFonts w:cs="Arial"/>
      <w:szCs w:val="18"/>
    </w:rPr>
  </w:style>
  <w:style w:type="paragraph" w:customStyle="1" w:styleId="CopyrightText">
    <w:name w:val="Copyright Text"/>
    <w:basedOn w:val="BodyText"/>
    <w:rsid w:val="00F67815"/>
    <w:rPr>
      <w:sz w:val="18"/>
    </w:rPr>
  </w:style>
  <w:style w:type="paragraph" w:customStyle="1" w:styleId="BodySmallRight">
    <w:name w:val="Body Small Right"/>
    <w:basedOn w:val="BodyTextRight"/>
    <w:rsid w:val="00F67815"/>
    <w:rPr>
      <w:sz w:val="18"/>
      <w:szCs w:val="18"/>
    </w:rPr>
  </w:style>
  <w:style w:type="paragraph" w:customStyle="1" w:styleId="MarginEdition">
    <w:name w:val="Margin Edition"/>
    <w:basedOn w:val="MarginNote"/>
    <w:rsid w:val="00F67815"/>
    <w:pPr>
      <w:spacing w:before="0" w:after="0"/>
    </w:pPr>
    <w:rPr>
      <w:rFonts w:ascii="Times New Roman" w:hAnsi="Times New Roman"/>
      <w:color w:val="999999"/>
    </w:rPr>
  </w:style>
  <w:style w:type="paragraph" w:customStyle="1" w:styleId="Spacer">
    <w:name w:val="Spacer"/>
    <w:basedOn w:val="Normal"/>
    <w:rsid w:val="00F67815"/>
    <w:rPr>
      <w:sz w:val="2"/>
      <w:szCs w:val="2"/>
    </w:rPr>
  </w:style>
  <w:style w:type="character" w:customStyle="1" w:styleId="Small">
    <w:name w:val="Small"/>
    <w:basedOn w:val="DefaultParagraphFont"/>
    <w:rsid w:val="00F67815"/>
    <w:rPr>
      <w:sz w:val="16"/>
    </w:rPr>
  </w:style>
  <w:style w:type="paragraph" w:customStyle="1" w:styleId="WideTable">
    <w:name w:val="Wide Table"/>
    <w:basedOn w:val="Normal"/>
    <w:rsid w:val="00F67815"/>
    <w:pPr>
      <w:ind w:left="-1418"/>
    </w:pPr>
    <w:rPr>
      <w:sz w:val="2"/>
      <w:szCs w:val="2"/>
    </w:rPr>
  </w:style>
  <w:style w:type="character" w:styleId="PageNumber">
    <w:name w:val="page number"/>
    <w:basedOn w:val="DefaultParagraphFont"/>
    <w:rsid w:val="00F67815"/>
  </w:style>
  <w:style w:type="paragraph" w:styleId="Quote">
    <w:name w:val="Quote"/>
    <w:basedOn w:val="Heading1"/>
    <w:link w:val="QuoteChar"/>
    <w:qFormat/>
    <w:rsid w:val="00F67815"/>
    <w:rPr>
      <w:b w:val="0"/>
      <w:sz w:val="72"/>
      <w:szCs w:val="72"/>
      <w:lang w:val="en-NZ"/>
    </w:rPr>
  </w:style>
  <w:style w:type="character" w:customStyle="1" w:styleId="QuoteChar">
    <w:name w:val="Quote Char"/>
    <w:basedOn w:val="DefaultParagraphFont"/>
    <w:link w:val="Quote"/>
    <w:rsid w:val="00F67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815"/>
    <w:pPr>
      <w:pageBreakBefore/>
    </w:pPr>
  </w:style>
  <w:style w:type="paragraph" w:customStyle="1" w:styleId="Border">
    <w:name w:val="Border"/>
    <w:basedOn w:val="Normal"/>
    <w:qFormat/>
    <w:rsid w:val="00F67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815"/>
    <w:rPr>
      <w:b/>
      <w:bCs/>
      <w:i/>
      <w:iCs/>
      <w:color w:val="auto"/>
    </w:rPr>
  </w:style>
  <w:style w:type="paragraph" w:styleId="IntenseQuote">
    <w:name w:val="Intense Quote"/>
    <w:basedOn w:val="Normal"/>
    <w:next w:val="Normal"/>
    <w:link w:val="IntenseQuoteChar"/>
    <w:uiPriority w:val="30"/>
    <w:qFormat/>
    <w:rsid w:val="00F67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815"/>
    <w:rPr>
      <w:smallCaps/>
      <w:color w:val="auto"/>
      <w:u w:val="single"/>
    </w:rPr>
  </w:style>
  <w:style w:type="character" w:styleId="IntenseReference">
    <w:name w:val="Intense Reference"/>
    <w:basedOn w:val="DefaultParagraphFont"/>
    <w:uiPriority w:val="32"/>
    <w:qFormat/>
    <w:rsid w:val="00F67815"/>
    <w:rPr>
      <w:b/>
      <w:bCs/>
      <w:smallCaps/>
      <w:color w:val="auto"/>
      <w:spacing w:val="5"/>
      <w:u w:val="single"/>
    </w:rPr>
  </w:style>
  <w:style w:type="paragraph" w:customStyle="1" w:styleId="2ColumnHeading">
    <w:name w:val="2Column Heading"/>
    <w:basedOn w:val="BodyText"/>
    <w:qFormat/>
    <w:rsid w:val="00F67815"/>
    <w:pPr>
      <w:spacing w:after="60"/>
      <w:ind w:left="-2268"/>
    </w:pPr>
    <w:rPr>
      <w:b/>
    </w:rPr>
  </w:style>
  <w:style w:type="paragraph" w:customStyle="1" w:styleId="Heading1TOC">
    <w:name w:val="Heading1 TOC"/>
    <w:basedOn w:val="Normal"/>
    <w:qFormat/>
    <w:rsid w:val="00F67815"/>
    <w:pPr>
      <w:spacing w:before="240" w:after="120"/>
    </w:pPr>
    <w:rPr>
      <w:rFonts w:ascii="Times New Roman" w:hAnsi="Times New Roman"/>
      <w:b/>
      <w:sz w:val="32"/>
    </w:rPr>
  </w:style>
  <w:style w:type="paragraph" w:customStyle="1" w:styleId="Heading2TOC">
    <w:name w:val="Heading2 TOC"/>
    <w:basedOn w:val="Normal"/>
    <w:qFormat/>
    <w:rsid w:val="00F67815"/>
    <w:pPr>
      <w:spacing w:before="240" w:after="60"/>
    </w:pPr>
    <w:rPr>
      <w:rFonts w:ascii="Times New Roman" w:hAnsi="Times New Roman"/>
      <w:b/>
      <w:sz w:val="28"/>
    </w:rPr>
  </w:style>
  <w:style w:type="character" w:customStyle="1" w:styleId="Underline">
    <w:name w:val="Underline"/>
    <w:basedOn w:val="DefaultParagraphFont"/>
    <w:qFormat/>
    <w:rsid w:val="00F67815"/>
    <w:rPr>
      <w:u w:val="single"/>
    </w:rPr>
  </w:style>
  <w:style w:type="character" w:customStyle="1" w:styleId="BoldandItalics">
    <w:name w:val="Bold and Italics"/>
    <w:qFormat/>
    <w:rsid w:val="00F67815"/>
    <w:rPr>
      <w:b/>
      <w:i/>
      <w:u w:val="none"/>
    </w:rPr>
  </w:style>
  <w:style w:type="paragraph" w:styleId="BalloonText">
    <w:name w:val="Balloon Text"/>
    <w:basedOn w:val="Normal"/>
    <w:link w:val="BalloonTextChar"/>
    <w:rsid w:val="00F67815"/>
    <w:rPr>
      <w:rFonts w:ascii="Tahoma" w:hAnsi="Tahoma" w:cs="Tahoma"/>
      <w:sz w:val="16"/>
      <w:szCs w:val="16"/>
    </w:rPr>
  </w:style>
  <w:style w:type="character" w:customStyle="1" w:styleId="BalloonTextChar">
    <w:name w:val="Balloon Text Char"/>
    <w:basedOn w:val="DefaultParagraphFont"/>
    <w:link w:val="BalloonText"/>
    <w:rsid w:val="00F67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8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815"/>
    <w:rPr>
      <w:b/>
      <w:color w:val="660033"/>
      <w:spacing w:val="0"/>
    </w:rPr>
  </w:style>
  <w:style w:type="paragraph" w:customStyle="1" w:styleId="Nameditemlist">
    <w:name w:val="Named item list"/>
    <w:basedOn w:val="BodyText"/>
    <w:qFormat/>
    <w:rsid w:val="00F678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2490</Words>
  <Characters>15655</Characters>
  <Application>Microsoft Office Word</Application>
  <DocSecurity>0</DocSecurity>
  <Lines>662</Lines>
  <Paragraphs>245</Paragraphs>
  <ScaleCrop>false</ScaleCrop>
  <Company>Author-it Software Corporation Ltd.</Company>
  <LinksUpToDate>false</LinksUpToDate>
  <CharactersWithSpaces>17998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UEGNSG133A Comply with environmental policies and procedures in the utilities industry</dc:title>
  <dc:subject>Approved</dc:subject>
  <dc:creator>E-Oz Training Standards</dc:creator>
  <cp:keywords>Release 1</cp:keywords>
  <dc:description>Review Date: 12 April 2008</dc:description>
  <cp:lastModifiedBy>HSD_TPCMSd.prod</cp:lastModifiedBy>
  <cp:revision>3</cp:revision>
  <dcterms:created xsi:type="dcterms:W3CDTF">2014-03-13T15:17:49Z</dcterms:created>
  <dcterms:modified xsi:type="dcterms:W3CDTF">2014-03-13T03:50:00Z</dcterms:modified>
</cp:coreProperties>
</file>