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964" w:rsidP="000B2964">
      <w:pPr>
        <w:pStyle w:val="Title"/>
      </w:pPr>
      <w:r>
        <w:fldChar w:fldCharType="begin"/>
      </w:r>
      <w:r>
        <w:instrText xml:space="preserve"> TITLE   \* MERGEFORMAT </w:instrText>
      </w:r>
      <w:r>
        <w:fldChar w:fldCharType="separate"/>
      </w:r>
      <w:r>
        <w:t>UEGNSG123B Manage financial resources in a gas industry facility</w:t>
      </w:r>
      <w:r>
        <w:fldChar w:fldCharType="end"/>
      </w:r>
    </w:p>
    <w:p w:rsidR="000B2964" w:rsidP="000B2964">
      <w:pPr>
        <w:pStyle w:val="Version"/>
        <w:sectPr w:rsidSect="008B6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9F7" w:rsidP="008B69F7">
      <w:pPr>
        <w:pStyle w:val="SuperHeading"/>
      </w:pPr>
      <w:r w:rsidRPr="008B69F7">
        <w:t>UEGNSG123B Manage financial resources in a gas industry facility</w:t>
      </w:r>
    </w:p>
    <w:p w:rsidR="00000000" w:rsidRPr="008B69F7" w:rsidP="008B69F7">
      <w:pPr>
        <w:pStyle w:val="Heading1"/>
      </w:pPr>
      <w:bookmarkStart w:id="1" w:name="O_401122"/>
      <w:bookmarkEnd w:id="1"/>
      <w:r w:rsidRPr="008B69F7">
        <w:t>Modification History</w:t>
      </w:r>
    </w:p>
    <w:p w:rsidR="00000000" w:rsidRPr="008B69F7" w:rsidP="008B69F7">
      <w:pPr>
        <w:pStyle w:val="BodyText"/>
      </w:pPr>
      <w:r w:rsidRPr="008B69F7">
        <w:t>Not applicable.</w:t>
      </w:r>
    </w:p>
    <w:p w:rsidR="00000000" w:rsidRPr="008B69F7" w:rsidP="008B69F7">
      <w:pPr>
        <w:pStyle w:val="AllowPageBreak"/>
      </w:pPr>
    </w:p>
    <w:p w:rsidR="00000000" w:rsidRPr="008B69F7" w:rsidP="008B69F7">
      <w:pPr>
        <w:pStyle w:val="Heading1"/>
      </w:pPr>
      <w:bookmarkStart w:id="2" w:name="O_401120"/>
      <w:bookmarkEnd w:id="2"/>
      <w:r w:rsidRPr="008B69F7">
        <w:t>Unit Descriptor</w:t>
      </w:r>
    </w:p>
    <w:tbl>
      <w:tblPr>
        <w:tblW w:w="0" w:type="auto"/>
        <w:tblLayout w:type="fixed"/>
        <w:tblCellMar>
          <w:left w:w="62" w:type="dxa"/>
          <w:right w:w="62" w:type="dxa"/>
        </w:tblCellMar>
        <w:tblLook w:val="0000"/>
      </w:tblPr>
      <w:tblGrid>
        <w:gridCol w:w="2700"/>
        <w:gridCol w:w="5760"/>
      </w:tblGrid>
      <w:tr w:rsidTr="000B2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1) Scope:</w:t>
            </w:r>
          </w:p>
        </w:tc>
      </w:tr>
      <w:tr w:rsidTr="000B2964">
        <w:tblPrEx>
          <w:tblW w:w="0" w:type="auto"/>
          <w:tblLayout w:type="fixed"/>
          <w:tblCellMar>
            <w:left w:w="62" w:type="dxa"/>
            <w:right w:w="62" w:type="dxa"/>
          </w:tblCellMar>
          <w:tblLook w:val="0000"/>
        </w:tblPrEx>
        <w:trPr>
          <w:trHeight w:val="241"/>
        </w:trPr>
        <w:tc>
          <w:tcPr>
            <w:tcW w:w="2700" w:type="dxa"/>
            <w:tcBorders>
              <w:top w:val="nil"/>
              <w:left w:val="nil"/>
              <w:bottom w:val="nil"/>
              <w:right w:val="nil"/>
            </w:tcBorders>
            <w:tcMar>
              <w:top w:w="0" w:type="dxa"/>
              <w:left w:w="62" w:type="dxa"/>
              <w:bottom w:w="0" w:type="dxa"/>
              <w:right w:w="62" w:type="dxa"/>
            </w:tcMar>
          </w:tcPr>
          <w:p w:rsidR="00000000" w:rsidRPr="008B69F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1.1) Descriptor</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This Unit covers the requirements to manage financial resources to achieve organisational and operational objectives. This competency standard refers to Budget formats; Operating budget; Policy; Financial reports; Management information systems.</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3" w:name="O_401109"/>
      <w:bookmarkEnd w:id="3"/>
      <w:r w:rsidRPr="008B69F7">
        <w:t>Application of the Unit</w:t>
      </w:r>
    </w:p>
    <w:tbl>
      <w:tblPr>
        <w:tblW w:w="0" w:type="auto"/>
        <w:tblLayout w:type="fixed"/>
        <w:tblCellMar>
          <w:left w:w="62" w:type="dxa"/>
          <w:right w:w="62" w:type="dxa"/>
        </w:tblCellMar>
        <w:tblLook w:val="0000"/>
      </w:tblPr>
      <w:tblGrid>
        <w:gridCol w:w="2672"/>
        <w:gridCol w:w="5699"/>
      </w:tblGrid>
      <w:tr w:rsidTr="000B2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2)</w:t>
            </w:r>
          </w:p>
        </w:tc>
      </w:tr>
      <w:tr w:rsidTr="000B2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 xml:space="preserve">This competency standard shall apply to any basic and safe work site where Gas Industry operations occur. It could also apply, where applicable </w:t>
            </w:r>
            <w:r w:rsidRPr="008B69F7">
              <w:t>to other workplaces in the electricity supply industry (transmission and distribution and generation), the electrotechnology industry and the water industry, subject to all Occupational Health and Safety and duty of care requirements being met for the work</w:t>
            </w:r>
            <w:r w:rsidRPr="008B69F7">
              <w:t>place.</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4" w:name="O_401116"/>
      <w:bookmarkEnd w:id="4"/>
      <w:r w:rsidRPr="008B69F7">
        <w:t>Licensing/Regulatory Information</w:t>
      </w:r>
    </w:p>
    <w:tbl>
      <w:tblPr>
        <w:tblW w:w="0" w:type="auto"/>
        <w:tblLayout w:type="fixed"/>
        <w:tblCellMar>
          <w:left w:w="62" w:type="dxa"/>
          <w:right w:w="62" w:type="dxa"/>
        </w:tblCellMar>
        <w:tblLook w:val="0000"/>
      </w:tblPr>
      <w:tblGrid>
        <w:gridCol w:w="2700"/>
        <w:gridCol w:w="5760"/>
      </w:tblGrid>
      <w:tr w:rsidTr="000B2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 xml:space="preserve">3) </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 xml:space="preserve">The skills and knowledge described in this unit are not subject to licence regulation other than those directly related to Occupational Health </w:t>
            </w:r>
            <w:r w:rsidRPr="008B69F7">
              <w:t xml:space="preserve">and Safety, gas/electricity/water industry safety and compliance, industrial relations, environmental protection, telecommunications, anti discrimination and training. </w:t>
            </w:r>
            <w:r w:rsidRPr="008B69F7">
              <w:t xml:space="preserve">Commonwealth, State/Territory or Local Government legislation and regulations may exist </w:t>
            </w:r>
            <w:r w:rsidRPr="008B69F7">
              <w:t>that limit the age at which a person can operate certain equipment.</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5" w:name="O_401117"/>
      <w:bookmarkEnd w:id="5"/>
      <w:r w:rsidRPr="008B69F7">
        <w:t>Pre-Requisites</w:t>
      </w:r>
    </w:p>
    <w:tbl>
      <w:tblPr>
        <w:tblW w:w="0" w:type="auto"/>
        <w:tblLayout w:type="fixed"/>
        <w:tblCellMar>
          <w:left w:w="62" w:type="dxa"/>
          <w:right w:w="62" w:type="dxa"/>
        </w:tblCellMar>
        <w:tblLook w:val="0000"/>
      </w:tblPr>
      <w:tblGrid>
        <w:gridCol w:w="2700"/>
        <w:gridCol w:w="1800"/>
        <w:gridCol w:w="3960"/>
      </w:tblGrid>
      <w:tr w:rsidTr="000B2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 xml:space="preserve">4) </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4.1)</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Granting of competency in this unit shall be made only after </w:t>
            </w:r>
            <w:r w:rsidRPr="008B69F7">
              <w:t>competency in the following unit(s) has/have been confirmed:</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Nil</w:t>
            </w:r>
          </w:p>
        </w:tc>
        <w:tc>
          <w:tcPr>
            <w:tcW w:w="3960" w:type="dxa"/>
            <w:tcBorders>
              <w:top w:val="nil"/>
              <w:left w:val="nil"/>
              <w:bottom w:val="nil"/>
              <w:right w:val="nil"/>
            </w:tcBorders>
            <w:tcMar>
              <w:top w:w="0" w:type="dxa"/>
              <w:left w:w="62" w:type="dxa"/>
              <w:bottom w:w="0" w:type="dxa"/>
              <w:right w:w="62" w:type="dxa"/>
            </w:tcMar>
          </w:tcPr>
          <w:p w:rsidR="00000000" w:rsidRPr="008B69F7" w:rsidP="008B69F7">
            <w:pPr>
              <w:pStyle w:val="BodyText"/>
            </w:pPr>
          </w:p>
        </w:tc>
      </w:tr>
    </w:tbl>
    <w:p w:rsidR="00000000" w:rsidRPr="008B69F7" w:rsidP="008B69F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 xml:space="preserve">4.2) </w:t>
            </w:r>
          </w:p>
          <w:p w:rsidR="00000000" w:rsidP="008B69F7">
            <w:pPr>
              <w:pStyle w:val="BodyText"/>
              <w:rPr>
                <w:lang w:val="en-NZ"/>
              </w:rPr>
            </w:pPr>
            <w:r w:rsidRPr="008B69F7">
              <w:t>Participants are best equipped to achieve this unit if they have reading, writing and numeracy skills indicated by the following scales. Description o</w:t>
            </w:r>
            <w:r w:rsidRPr="008B69F7">
              <w:t>f each scale is given in Volume 2, Part 3 ‘Literacy and Numeracy’</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Reading</w:t>
            </w:r>
          </w:p>
        </w:tc>
        <w:tc>
          <w:tcPr>
            <w:tcW w:w="81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5</w:t>
            </w:r>
          </w:p>
        </w:tc>
        <w:tc>
          <w:tcPr>
            <w:tcW w:w="9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Writing</w:t>
            </w: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5</w:t>
            </w:r>
          </w:p>
        </w:tc>
        <w:tc>
          <w:tcPr>
            <w:tcW w:w="12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Numeracy</w:t>
            </w:r>
          </w:p>
        </w:tc>
        <w:tc>
          <w:tcPr>
            <w:tcW w:w="72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5</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6" w:name="O_401113"/>
      <w:bookmarkEnd w:id="6"/>
      <w:r w:rsidRPr="008B69F7">
        <w:t>Employability Skills Information</w:t>
      </w:r>
    </w:p>
    <w:tbl>
      <w:tblPr>
        <w:tblW w:w="0" w:type="auto"/>
        <w:tblLayout w:type="fixed"/>
        <w:tblCellMar>
          <w:left w:w="62" w:type="dxa"/>
          <w:right w:w="62" w:type="dxa"/>
        </w:tblCellMar>
        <w:tblLook w:val="0000"/>
      </w:tblPr>
      <w:tblGrid>
        <w:gridCol w:w="2700"/>
        <w:gridCol w:w="5760"/>
      </w:tblGrid>
      <w:tr w:rsidTr="000B2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 xml:space="preserve">5) </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This unit contains Employability Skills</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B69F7">
              <w:t>requirements.</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7" w:name="O_401112"/>
      <w:bookmarkEnd w:id="7"/>
      <w:r w:rsidRPr="008B69F7">
        <w:t>Elements and Performance Criteria Pre-Content</w:t>
      </w:r>
    </w:p>
    <w:tbl>
      <w:tblPr>
        <w:tblW w:w="0" w:type="auto"/>
        <w:tblLayout w:type="fixed"/>
        <w:tblCellMar>
          <w:left w:w="62" w:type="dxa"/>
          <w:right w:w="62" w:type="dxa"/>
        </w:tblCellMar>
        <w:tblLook w:val="0000"/>
      </w:tblPr>
      <w:tblGrid>
        <w:gridCol w:w="2700"/>
        <w:gridCol w:w="5760"/>
      </w:tblGrid>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6)</w:t>
            </w:r>
            <w:r w:rsidRPr="008B69F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Performance Criteria describe the required performance needed to demonstrate achievement of the element</w:t>
            </w:r>
            <w:r w:rsidRPr="008B69F7">
              <w:t>. Assessment of performance is to be consistent with the Evidence Guide.</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8" w:name="O_401111"/>
      <w:bookmarkEnd w:id="8"/>
      <w:r w:rsidRPr="008B69F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29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PERFORMANCE CRITERIA</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w:t>
            </w:r>
          </w:p>
        </w:tc>
        <w:tc>
          <w:tcPr>
            <w:tcW w:w="2296"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Develop a budget</w:t>
            </w: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1.1</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Budget format is determined and consistent with organisational guidelines and procedures, cost elements are identified and quantified and cost benefit analyses are prepared for major cost items in accordance with the organisations policy and procedures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1.2</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Sub-budgets prepared by other staff are coordinated in order that desired objectives are achieved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1.3</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Organisational established procedures on policies and specifications are obtained or established with the appropriate persons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1.4</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Testing param</w:t>
            </w:r>
            <w:r w:rsidRPr="008B69F7">
              <w:t>eters are established from organisational established procedures on policies and specifications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1.5</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Testing procedures are discussed with appropriate persons in order to ascertain the project brief</w:t>
            </w:r>
          </w:p>
        </w:tc>
      </w:tr>
      <w:tr w:rsidTr="000B2964">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1.6</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Cost benefit analysis are prepared for major cost items in accordance with the organisation's policy and procedures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1.7</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Work roles and tasks are allocated according to requirements and individual's competencies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1.8</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Work is prioritised and sequenced f</w:t>
            </w:r>
            <w:r w:rsidRPr="008B69F7">
              <w:t xml:space="preserve">or the most effective outcome, completed within an acceptable timeframe to a quality standard and in accordance with established procedures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1.9</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Sub-budgets prepared by other staff are coordinated in order that desired objectives are achieved</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1.10</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Liaison and communication issues with authorised persons, authorities and resolved and activities coordinated to carry out work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1.11</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Risk control measures are identified, prioritised and evaluated against the work schedule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w:t>
            </w:r>
          </w:p>
        </w:tc>
        <w:tc>
          <w:tcPr>
            <w:tcW w:w="2296"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Allocate, authorise and m</w:t>
            </w:r>
            <w:r w:rsidRPr="008B69F7">
              <w:t>onitor expenditure</w:t>
            </w: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2.1</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Financial resources are allocated as agreed in the operational plan and is monitored to ensure that expenditure management meets the financial accountability requirements of the organisation</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2.2</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Supply and expenditure processes ar</w:t>
            </w:r>
            <w:r w:rsidRPr="008B69F7">
              <w:t>e performed in accordance with corporate governance and organisational protocols and procedures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2.3</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Mathematical models are used to analyse the financial reports as per requirements and established procedures</w:t>
            </w:r>
          </w:p>
        </w:tc>
      </w:tr>
      <w:tr w:rsidTr="000B2964">
        <w:tblPrEx>
          <w:tblW w:w="0" w:type="auto"/>
          <w:tblLayout w:type="fixed"/>
          <w:tblCellMar>
            <w:left w:w="62" w:type="dxa"/>
            <w:right w:w="62" w:type="dxa"/>
          </w:tblCellMar>
          <w:tblLook w:val="0000"/>
        </w:tblPrEx>
        <w:trPr>
          <w:trHeight w:val="18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2.4</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Sub-budgets and financial allocation is continually monitored against organisational objectives and priorities ensuring optimum service delivery</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2.5</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Essential Knowledge and Associated Skills are applied to analyse specific data and compare it with compl</w:t>
            </w:r>
            <w:r w:rsidRPr="008B69F7">
              <w:t>iance specifications to ensure completion of the project within an agreed timeframe according to requirements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2.6</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Re-allocation of resources is undertaken taking into account of enterprises needs and priorities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2.7</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Work teams are arranged to ensure planned goals are met according to established procedures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2.8</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Solutions to non-routine problems are identified and actioned, according to requirements, using acquired Essential Knowledge and Associated Skills,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2.9</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Quality of work is monitored against personal performance agreement and established organisational and professional standards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2.10</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Strategic plans are developed incorporating organisation initiatives as per established procedures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w:t>
            </w:r>
          </w:p>
        </w:tc>
        <w:tc>
          <w:tcPr>
            <w:tcW w:w="2296"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Utilise relevant financial management information systems and review budget management</w:t>
            </w: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3.1</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Management information systems are used for planning, implementing and monitoring the use of financial resources in accordance with company policies and established </w:t>
            </w:r>
            <w:r w:rsidRPr="008B69F7">
              <w:t>procedures</w:t>
            </w:r>
          </w:p>
        </w:tc>
      </w:tr>
      <w:tr w:rsidTr="000B2964">
        <w:tblPrEx>
          <w:tblW w:w="0" w:type="auto"/>
          <w:tblLayout w:type="fixed"/>
          <w:tblCellMar>
            <w:left w:w="62" w:type="dxa"/>
            <w:right w:w="62" w:type="dxa"/>
          </w:tblCellMar>
          <w:tblLook w:val="0000"/>
        </w:tblPrEx>
        <w:trPr>
          <w:trHeight w:val="18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3.2</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Management information system reports are produced, verified and interpreted </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3.3</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Management of budget is reviewed in accordance with company policies and established procedures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3.4</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Management of budget is reported in accordance with company policies and established procedures</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3.5</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Appropriate persons are notified of completion and reports and completion documents are finalised.</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3.6</w:t>
            </w:r>
          </w:p>
        </w:tc>
        <w:tc>
          <w:tcPr>
            <w:tcW w:w="48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Reports and completion documents are submitted </w:t>
            </w:r>
            <w:r w:rsidRPr="008B69F7">
              <w:t>to relevant persons for approval and where applicable, statutory or regulatory approval</w:t>
            </w:r>
          </w:p>
        </w:tc>
      </w:tr>
      <w:tr w:rsidTr="000B2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3.7</w:t>
            </w:r>
          </w:p>
        </w:tc>
        <w:tc>
          <w:tcPr>
            <w:tcW w:w="48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Approved copies of documents are issued and records are updated in accordance with established procedures</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9" w:name="O_401119"/>
      <w:bookmarkEnd w:id="9"/>
      <w:r w:rsidRPr="008B69F7">
        <w:t>Required Skills and Knowledge</w:t>
      </w:r>
    </w:p>
    <w:tbl>
      <w:tblPr>
        <w:tblW w:w="0" w:type="auto"/>
        <w:tblLayout w:type="fixed"/>
        <w:tblCellMar>
          <w:left w:w="62" w:type="dxa"/>
          <w:right w:w="62" w:type="dxa"/>
        </w:tblCellMar>
        <w:tblLook w:val="0000"/>
      </w:tblPr>
      <w:tblGrid>
        <w:gridCol w:w="8460"/>
      </w:tblGrid>
      <w:tr w:rsidTr="000B2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REQUIRED SKILLS AND KNOWLEDGE</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8)</w:t>
            </w:r>
            <w:r w:rsidRPr="008B69F7">
              <w:t xml:space="preserve"> This describes the essential skills and knowledge and their level, required for this unit.</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Evidence shall show that knowledge has been acquired of working practices for managing financial resources in a Gas Industry facil</w:t>
            </w:r>
            <w:r w:rsidRPr="008B69F7">
              <w:t>ity.</w:t>
            </w:r>
          </w:p>
        </w:tc>
      </w:tr>
      <w:tr w:rsidTr="000B296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All knowledge and skills detailed in this unit should be contextualised to current industry practices and technologies.</w:t>
            </w:r>
          </w:p>
        </w:tc>
      </w:tr>
    </w:tbl>
    <w:p w:rsidR="00000000" w:rsidRPr="008B69F7" w:rsidP="008B69F7">
      <w:pPr>
        <w:pStyle w:val="BodyText"/>
      </w:pPr>
    </w:p>
    <w:tbl>
      <w:tblPr>
        <w:tblW w:w="0" w:type="auto"/>
        <w:tblLayout w:type="fixed"/>
        <w:tblCellMar>
          <w:left w:w="62" w:type="dxa"/>
          <w:right w:w="62" w:type="dxa"/>
        </w:tblCellMar>
        <w:tblLook w:val="0000"/>
      </w:tblPr>
      <w:tblGrid>
        <w:gridCol w:w="1440"/>
        <w:gridCol w:w="990"/>
        <w:gridCol w:w="6030"/>
      </w:tblGrid>
      <w:tr w:rsidTr="000B296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KS01-G123B</w:t>
            </w:r>
          </w:p>
        </w:tc>
        <w:tc>
          <w:tcPr>
            <w:tcW w:w="702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Gas industry financial management</w:t>
            </w:r>
          </w:p>
        </w:tc>
      </w:tr>
      <w:tr w:rsidTr="000B296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G 6.1.9</w:t>
            </w:r>
          </w:p>
        </w:tc>
        <w:tc>
          <w:tcPr>
            <w:tcW w:w="603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Understand and implement financial management</w:t>
            </w:r>
          </w:p>
          <w:p w:rsidR="00000000" w:rsidRPr="008B69F7" w:rsidP="008B69F7">
            <w:pPr>
              <w:pStyle w:val="BodyText"/>
            </w:pPr>
            <w:r w:rsidRPr="008B69F7">
              <w:t>Evidence shall show an understanding of the requirements to perform applicable Gas Industry financial management activities, indicated by the following:</w:t>
            </w:r>
          </w:p>
          <w:p w:rsidR="00000000" w:rsidRPr="008B69F7" w:rsidP="008B69F7">
            <w:pPr>
              <w:pStyle w:val="ListBullet2"/>
            </w:pPr>
            <w:r w:rsidRPr="008B69F7">
              <w:t xml:space="preserve">Understanding financial management with the ability to reporton project and company budgets utilising </w:t>
            </w:r>
            <w:r w:rsidRPr="008B69F7">
              <w:t>financial statements as required by organisational policies and procedures. These include but are not limited to:understanding financial management fundamentals and the how the following are tracked through in an accounting system:</w:t>
            </w:r>
          </w:p>
          <w:p w:rsidR="00000000" w:rsidRPr="008B69F7" w:rsidP="008B69F7">
            <w:pPr>
              <w:pStyle w:val="ListBullet3"/>
            </w:pPr>
            <w:r w:rsidRPr="008B69F7">
              <w:t>assets and liabilities</w:t>
            </w:r>
          </w:p>
          <w:p w:rsidR="00000000" w:rsidRPr="008B69F7" w:rsidP="008B69F7">
            <w:pPr>
              <w:pStyle w:val="ListBullet3"/>
            </w:pPr>
            <w:r w:rsidRPr="008B69F7">
              <w:t>revenue</w:t>
            </w:r>
          </w:p>
          <w:p w:rsidR="00000000" w:rsidRPr="008B69F7" w:rsidP="008B69F7">
            <w:pPr>
              <w:pStyle w:val="ListBullet3"/>
            </w:pPr>
            <w:r w:rsidRPr="008B69F7">
              <w:t>expenses</w:t>
            </w:r>
          </w:p>
          <w:p w:rsidR="00000000" w:rsidRPr="008B69F7" w:rsidP="008B69F7">
            <w:pPr>
              <w:pStyle w:val="ListBullet3"/>
            </w:pPr>
            <w:r w:rsidRPr="008B69F7">
              <w:t>equity</w:t>
            </w:r>
          </w:p>
          <w:p w:rsidR="00000000" w:rsidRPr="008B69F7" w:rsidP="008B69F7">
            <w:pPr>
              <w:pStyle w:val="ListBullet3"/>
            </w:pPr>
            <w:r w:rsidRPr="008B69F7">
              <w:t>source documents</w:t>
            </w:r>
          </w:p>
          <w:p w:rsidR="00000000" w:rsidRPr="008B69F7" w:rsidP="008B69F7">
            <w:pPr>
              <w:pStyle w:val="ListBullet3"/>
            </w:pPr>
            <w:r w:rsidRPr="008B69F7">
              <w:t xml:space="preserve">journals </w:t>
            </w:r>
          </w:p>
          <w:p w:rsidR="00000000" w:rsidRPr="008B69F7" w:rsidP="008B69F7">
            <w:pPr>
              <w:pStyle w:val="ListBullet3"/>
            </w:pPr>
            <w:r w:rsidRPr="008B69F7">
              <w:t>ledgers</w:t>
            </w:r>
          </w:p>
          <w:p w:rsidR="00000000" w:rsidRPr="008B69F7" w:rsidP="008B69F7">
            <w:pPr>
              <w:pStyle w:val="ListBullet3"/>
            </w:pPr>
            <w:r w:rsidRPr="008B69F7">
              <w:t>trial balance</w:t>
            </w:r>
          </w:p>
          <w:p w:rsidR="00000000" w:rsidRPr="008B69F7" w:rsidP="008B69F7">
            <w:pPr>
              <w:pStyle w:val="ListBullet2"/>
            </w:pPr>
            <w:r w:rsidRPr="008B69F7">
              <w:t>reading, interpreting and reporting on project/company progress using accounting reports such as budget and cash flow reports</w:t>
            </w:r>
          </w:p>
          <w:p w:rsidR="00000000" w:rsidRPr="008B69F7" w:rsidP="008B69F7">
            <w:pPr>
              <w:pStyle w:val="ListBullet"/>
            </w:pPr>
            <w:r w:rsidRPr="008B69F7">
              <w:t>understanding of  resource management systems to monitor inventory, stock, consumables and physical resources and other assets</w:t>
            </w:r>
          </w:p>
          <w:p w:rsidR="00000000" w:rsidRPr="008B69F7" w:rsidP="008B69F7">
            <w:pPr>
              <w:pStyle w:val="ListBullet2"/>
            </w:pPr>
            <w:r w:rsidRPr="008B69F7">
              <w:t>managing resources</w:t>
            </w:r>
          </w:p>
          <w:p w:rsidR="00000000" w:rsidRPr="008B69F7" w:rsidP="008B69F7">
            <w:pPr>
              <w:pStyle w:val="ListBullet2"/>
            </w:pPr>
            <w:r w:rsidRPr="008B69F7">
              <w:t>maintaining assets/assets management</w:t>
            </w:r>
          </w:p>
          <w:p w:rsidR="00000000" w:rsidRPr="008B69F7" w:rsidP="008B69F7">
            <w:pPr>
              <w:pStyle w:val="ListBullet2"/>
            </w:pPr>
            <w:r w:rsidRPr="008B69F7">
              <w:t>stock/consumables control</w:t>
            </w:r>
          </w:p>
          <w:p w:rsidR="00000000" w:rsidRPr="008B69F7" w:rsidP="008B69F7">
            <w:pPr>
              <w:pStyle w:val="ListBullet2"/>
            </w:pPr>
            <w:r w:rsidRPr="008B69F7">
              <w:t>maintaining assets register</w:t>
            </w:r>
          </w:p>
          <w:p w:rsidR="00000000" w:rsidRPr="008B69F7" w:rsidP="008B69F7">
            <w:pPr>
              <w:pStyle w:val="ListBullet"/>
            </w:pPr>
            <w:r w:rsidRPr="008B69F7">
              <w:t>understanding of  computer accounting/bookkeeping software effectively</w:t>
            </w:r>
          </w:p>
          <w:p w:rsidR="00000000" w:rsidRPr="008B69F7" w:rsidP="008B69F7">
            <w:pPr>
              <w:pStyle w:val="ListBullet2"/>
            </w:pPr>
            <w:r w:rsidRPr="008B69F7">
              <w:t>accounting software systems</w:t>
            </w:r>
          </w:p>
          <w:p w:rsidR="00000000" w:rsidRPr="008B69F7" w:rsidP="008B69F7">
            <w:pPr>
              <w:pStyle w:val="ListBullet2"/>
            </w:pPr>
            <w:r w:rsidRPr="008B69F7">
              <w:t>invoicing</w:t>
            </w:r>
          </w:p>
          <w:p w:rsidR="00000000" w:rsidRPr="008B69F7" w:rsidP="008B69F7">
            <w:pPr>
              <w:pStyle w:val="ListBullet2"/>
            </w:pPr>
            <w:r w:rsidRPr="008B69F7">
              <w:t>reconciling accounts</w:t>
            </w:r>
          </w:p>
          <w:p w:rsidR="00000000" w:rsidRPr="008B69F7" w:rsidP="008B69F7">
            <w:pPr>
              <w:pStyle w:val="ListBullet2"/>
            </w:pPr>
            <w:r w:rsidRPr="008B69F7">
              <w:t>purchasing</w:t>
            </w:r>
          </w:p>
          <w:p w:rsidR="00000000" w:rsidRPr="008B69F7" w:rsidP="008B69F7">
            <w:pPr>
              <w:pStyle w:val="ListBullet2"/>
            </w:pPr>
            <w:r w:rsidRPr="008B69F7">
              <w:t>stock control</w:t>
            </w:r>
          </w:p>
          <w:p w:rsidR="00000000" w:rsidRPr="008B69F7" w:rsidP="008B69F7">
            <w:pPr>
              <w:pStyle w:val="ListBullet2"/>
            </w:pPr>
            <w:r w:rsidRPr="008B69F7">
              <w:t>general ledger</w:t>
            </w:r>
          </w:p>
          <w:p w:rsidR="00000000" w:rsidRPr="008B69F7" w:rsidP="008B69F7">
            <w:pPr>
              <w:pStyle w:val="ListBullet2"/>
            </w:pPr>
            <w:r w:rsidRPr="008B69F7">
              <w:t>payroll</w:t>
            </w:r>
          </w:p>
          <w:p w:rsidR="00000000" w:rsidRPr="008B69F7" w:rsidP="008B69F7">
            <w:pPr>
              <w:pStyle w:val="ListBullet2"/>
            </w:pPr>
            <w:r w:rsidRPr="008B69F7">
              <w:t>reporting.</w:t>
            </w:r>
          </w:p>
        </w:tc>
      </w:tr>
    </w:tbl>
    <w:p w:rsidR="000B2964" w:rsidP="008B69F7">
      <w:pPr>
        <w:pStyle w:val="BodyText"/>
      </w:pPr>
    </w:p>
    <w:p w:rsidR="000B2964" w:rsidP="008B69F7">
      <w:pPr>
        <w:pStyle w:val="BodyText"/>
      </w:pPr>
    </w:p>
    <w:p w:rsidR="00000000" w:rsidRPr="008B69F7" w:rsidP="008B69F7">
      <w:pPr>
        <w:pStyle w:val="Heading1"/>
      </w:pPr>
      <w:bookmarkStart w:id="10" w:name="O_401114"/>
      <w:bookmarkEnd w:id="10"/>
      <w:r w:rsidRPr="008B69F7">
        <w:t>Evidence Guide</w:t>
      </w:r>
    </w:p>
    <w:tbl>
      <w:tblPr>
        <w:tblW w:w="0" w:type="auto"/>
        <w:tblLayout w:type="fixed"/>
        <w:tblCellMar>
          <w:left w:w="62" w:type="dxa"/>
          <w:right w:w="62" w:type="dxa"/>
        </w:tblCellMar>
        <w:tblLook w:val="0000"/>
      </w:tblPr>
      <w:tblGrid>
        <w:gridCol w:w="8460"/>
      </w:tblGrid>
      <w:tr w:rsidTr="000B2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EVIDENCE GUIDE</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9)</w:t>
            </w:r>
            <w:r w:rsidRPr="008B69F7">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6570"/>
      </w:tblGrid>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9.1)</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such as Profiling, require data to be reliably gathered in a form that can be consistently interpreted over time. This approach is best utilised in Apprenticeship programs and reduces assessment intervention. It is the Industry’s preferred model for appren</w:t>
            </w:r>
            <w:r w:rsidRPr="008B69F7">
              <w:t>ticeships. However, where summative (or final) assessment is used it is to include the application of the competency in the normal work environment or, at a minimum, the application of the competency in a realistically simulated work environment. It is rec</w:t>
            </w:r>
            <w:r w:rsidRPr="008B69F7">
              <w:t>ognised that, in some circumstances, assessment in part or full can occur outside the workplace. However, it must be in accord with industry and regulatory policy in this regard.</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Methods chosen for a particular assessment will be influenced by various fa</w:t>
            </w:r>
            <w:r w:rsidRPr="008B69F7">
              <w:t>ctors. These include the extent of the assessment, the most effective locations for the assessment activities to take place, access to physical resources, additional safety measures that may be required and the critical nature of the competencies being ass</w:t>
            </w:r>
            <w:r w:rsidRPr="008B69F7">
              <w:t>essed.</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The critical safety nature of working with electricity, electrical equipment, gas or any other hazardous substance/material carries risk in deeming a person competent. Hence, sources of evidence need to be ‘rich’ in nature so as to minimise error </w:t>
            </w:r>
            <w:r w:rsidRPr="008B69F7">
              <w:t>in judgment.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Activities associated with normal every day work have a bearing on the decision as to how much and how detailed the data gathered will contribute to its ‘richness’. Some skills are more critical to safety and operational requirements while t</w:t>
            </w:r>
            <w:r w:rsidRPr="008B69F7">
              <w:t>he same skills may be more or less frequently practised. These points are raised for the assessors to consider when choosing an assessment method and developing assessment instruments. Sample assessment instruments are included in the Assessment Guidelines</w:t>
            </w:r>
            <w:r w:rsidRPr="008B69F7">
              <w:t xml:space="preserve"> of this Training Package.</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6570"/>
      </w:tblGrid>
      <w:tr w:rsidTr="000B2964">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9.2)</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Before the critical aspects of evidence are considered all prerequisites shall be met.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A representative body of Performance Criteria demonstrated within the timeframes typically expected of the discipline, work function and industrial environment. In particular this shall incorporate evidence that shows a candidate is able to:</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2"/>
              <w:rPr>
                <w:lang w:val="en-NZ"/>
              </w:rPr>
            </w:pPr>
            <w:r w:rsidRPr="008B69F7">
              <w:t>Implement Occupational Health and Safety workplace procedures and practices including the use of risk control measures as specified in the Performance Criteria and range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2"/>
              <w:rPr>
                <w:lang w:val="en-NZ"/>
              </w:rPr>
            </w:pPr>
            <w:r w:rsidRPr="008B69F7">
              <w:t>Apply sustainable energy principles and practices as specified in the Performance C</w:t>
            </w:r>
            <w:r w:rsidRPr="008B69F7">
              <w:t>riteria and range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2"/>
              <w:rPr>
                <w:lang w:val="en-NZ"/>
              </w:rPr>
            </w:pPr>
            <w:r w:rsidRPr="008B69F7">
              <w:t>Demonstrate an understanding of the essential knowledge and associated skills as described in this unit to such an extent that the learner’s performance outcome is reported in accordance with the preferred approach; namely a percentile</w:t>
            </w:r>
            <w:r w:rsidRPr="008B69F7">
              <w:t xml:space="preserve"> graded result, where required by the regulated environment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2"/>
              <w:rPr>
                <w:lang w:val="en-NZ"/>
              </w:rPr>
            </w:pPr>
            <w:r w:rsidRPr="008B69F7">
              <w:t>Demonstrate an appropriate level of employability skills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2"/>
              <w:rPr>
                <w:lang w:val="en-NZ"/>
              </w:rPr>
            </w:pPr>
            <w:r w:rsidRPr="008B69F7">
              <w:t>Conduct work observing the relevant Anti discrimination legislation, regulations, polices and workplace procedures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B69F7" w:rsidP="008B69F7">
            <w:pPr>
              <w:pStyle w:val="ListBullet"/>
            </w:pPr>
            <w:r w:rsidRPr="008B69F7">
              <w:t>Demonstrate performance across a representative range of contexts from the prescribed items below:</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B296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B69F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rPr>
                <w:rStyle w:val="SpecialBold"/>
              </w:rPr>
              <w:t>Range of tools/equipment/procedures/workplace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B69F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rPr>
                <w:rStyle w:val="SpecialBold"/>
              </w:rPr>
              <w:t>Item List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Budget formats:</w:t>
            </w:r>
          </w:p>
          <w:p w:rsidR="00000000" w:rsidRPr="008B69F7" w:rsidP="008B69F7">
            <w:pPr>
              <w:pStyle w:val="BodyText"/>
            </w:pPr>
            <w:r w:rsidRPr="008B69F7">
              <w:t>Zero based budgeting</w:t>
            </w:r>
          </w:p>
          <w:p w:rsidR="00000000" w:rsidRPr="008B69F7" w:rsidP="008B69F7">
            <w:pPr>
              <w:pStyle w:val="BodyText"/>
            </w:pPr>
            <w:r w:rsidRPr="008B69F7">
              <w:t>Program budgeting</w:t>
            </w:r>
          </w:p>
          <w:p w:rsidR="00000000" w:rsidP="008B69F7">
            <w:pPr>
              <w:pStyle w:val="BodyText"/>
              <w:rPr>
                <w:lang w:val="en-NZ"/>
              </w:rPr>
            </w:pPr>
            <w:r w:rsidRPr="008B69F7">
              <w:t>Line item budgeting</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Operating budget:</w:t>
            </w:r>
          </w:p>
          <w:p w:rsidR="00000000" w:rsidRPr="008B69F7" w:rsidP="008B69F7">
            <w:pPr>
              <w:pStyle w:val="BodyText"/>
            </w:pPr>
            <w:r w:rsidRPr="008B69F7">
              <w:t>Staffing costs</w:t>
            </w:r>
          </w:p>
          <w:p w:rsidR="00000000" w:rsidRPr="008B69F7" w:rsidP="008B69F7">
            <w:pPr>
              <w:pStyle w:val="BodyText"/>
            </w:pPr>
            <w:r w:rsidRPr="008B69F7">
              <w:t>Capital expenditure/income</w:t>
            </w:r>
          </w:p>
          <w:p w:rsidR="00000000" w:rsidRPr="008B69F7" w:rsidP="008B69F7">
            <w:pPr>
              <w:pStyle w:val="BodyText"/>
            </w:pPr>
            <w:r w:rsidRPr="008B69F7">
              <w:t>Recurrent expenditure/income</w:t>
            </w:r>
          </w:p>
          <w:p w:rsidR="00000000" w:rsidRPr="008B69F7" w:rsidP="008B69F7">
            <w:pPr>
              <w:pStyle w:val="BodyText"/>
            </w:pPr>
            <w:r w:rsidRPr="008B69F7">
              <w:t>Forward estimates</w:t>
            </w:r>
          </w:p>
          <w:p w:rsidR="00000000" w:rsidP="008B69F7">
            <w:pPr>
              <w:pStyle w:val="BodyText"/>
              <w:rPr>
                <w:lang w:val="en-NZ"/>
              </w:rPr>
            </w:pPr>
            <w:r w:rsidRPr="008B69F7">
              <w:t>Cash flow</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Policy:</w:t>
            </w:r>
          </w:p>
          <w:p w:rsidR="00000000" w:rsidRPr="008B69F7" w:rsidP="008B69F7">
            <w:pPr>
              <w:pStyle w:val="BodyText"/>
            </w:pPr>
            <w:r w:rsidRPr="008B69F7">
              <w:t>Supply</w:t>
            </w:r>
          </w:p>
          <w:p w:rsidR="00000000" w:rsidRPr="008B69F7" w:rsidP="008B69F7">
            <w:pPr>
              <w:pStyle w:val="BodyText"/>
            </w:pPr>
            <w:r w:rsidRPr="008B69F7">
              <w:t>Procurement</w:t>
            </w:r>
          </w:p>
          <w:p w:rsidR="00000000" w:rsidRPr="008B69F7" w:rsidP="008B69F7">
            <w:pPr>
              <w:pStyle w:val="BodyText"/>
            </w:pPr>
            <w:r w:rsidRPr="008B69F7">
              <w:t>Expenditure</w:t>
            </w:r>
          </w:p>
          <w:p w:rsidR="00000000" w:rsidRPr="008B69F7" w:rsidP="008B69F7">
            <w:pPr>
              <w:pStyle w:val="BodyText"/>
            </w:pPr>
            <w:r w:rsidRPr="008B69F7">
              <w:t>Audit</w:t>
            </w:r>
          </w:p>
          <w:p w:rsidR="00000000" w:rsidP="008B69F7">
            <w:pPr>
              <w:pStyle w:val="BodyText"/>
              <w:rPr>
                <w:lang w:val="en-NZ"/>
              </w:rPr>
            </w:pPr>
            <w:r w:rsidRPr="008B69F7">
              <w:t>Reporting and recording policies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Financial reports:</w:t>
            </w:r>
          </w:p>
          <w:p w:rsidR="00000000" w:rsidRPr="008B69F7" w:rsidP="008B69F7">
            <w:pPr>
              <w:pStyle w:val="BodyText"/>
            </w:pPr>
            <w:r w:rsidRPr="008B69F7">
              <w:t>Annual reports</w:t>
            </w:r>
          </w:p>
          <w:p w:rsidR="00000000" w:rsidRPr="008B69F7" w:rsidP="008B69F7">
            <w:pPr>
              <w:pStyle w:val="BodyText"/>
            </w:pPr>
            <w:r w:rsidRPr="008B69F7">
              <w:t>Program financial statements</w:t>
            </w:r>
          </w:p>
          <w:p w:rsidR="00000000" w:rsidRPr="008B69F7" w:rsidP="008B69F7">
            <w:pPr>
              <w:pStyle w:val="BodyText"/>
            </w:pPr>
            <w:r w:rsidRPr="008B69F7">
              <w:t>Accrual reports</w:t>
            </w:r>
          </w:p>
          <w:p w:rsidR="00000000" w:rsidP="008B69F7">
            <w:pPr>
              <w:pStyle w:val="BodyText"/>
              <w:rPr>
                <w:lang w:val="en-NZ"/>
              </w:rPr>
            </w:pPr>
            <w:r w:rsidRPr="008B69F7">
              <w:t>Monthly/quarterly financial reports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Management information systems:</w:t>
            </w:r>
          </w:p>
          <w:p w:rsidR="00000000" w:rsidRPr="008B69F7" w:rsidP="008B69F7">
            <w:pPr>
              <w:pStyle w:val="BodyText"/>
            </w:pPr>
            <w:r w:rsidRPr="008B69F7">
              <w:t>Computers</w:t>
            </w:r>
          </w:p>
          <w:p w:rsidR="00000000" w:rsidRPr="008B69F7" w:rsidP="008B69F7">
            <w:pPr>
              <w:pStyle w:val="BodyText"/>
            </w:pPr>
            <w:r w:rsidRPr="008B69F7">
              <w:t>Communication channels</w:t>
            </w:r>
          </w:p>
          <w:p w:rsidR="00000000" w:rsidRPr="008B69F7" w:rsidP="008B69F7">
            <w:pPr>
              <w:pStyle w:val="BodyText"/>
            </w:pPr>
            <w:r w:rsidRPr="008B69F7">
              <w:t>Records management data</w:t>
            </w:r>
          </w:p>
          <w:p w:rsidR="00000000" w:rsidRPr="008B69F7" w:rsidP="008B69F7">
            <w:pPr>
              <w:pStyle w:val="BodyText"/>
            </w:pPr>
            <w:r w:rsidRPr="008B69F7">
              <w:t>Procedures</w:t>
            </w:r>
          </w:p>
          <w:p w:rsidR="00000000" w:rsidRPr="008B69F7" w:rsidP="008B69F7">
            <w:pPr>
              <w:pStyle w:val="BodyText"/>
            </w:pPr>
            <w:r w:rsidRPr="008B69F7">
              <w:t>Protocol</w:t>
            </w:r>
          </w:p>
          <w:p w:rsidR="00000000" w:rsidRPr="008B69F7" w:rsidP="008B69F7">
            <w:pPr>
              <w:pStyle w:val="BodyText"/>
            </w:pPr>
            <w:r w:rsidRPr="008B69F7">
              <w:t xml:space="preserve">Legislation </w:t>
            </w:r>
          </w:p>
          <w:p w:rsidR="00000000" w:rsidRPr="008B69F7" w:rsidP="008B69F7">
            <w:pPr>
              <w:pStyle w:val="BodyText"/>
            </w:pPr>
            <w:r w:rsidRPr="008B69F7">
              <w:t>Guidelines and awards</w:t>
            </w:r>
          </w:p>
          <w:p w:rsidR="00000000" w:rsidRPr="008B69F7" w:rsidP="008B69F7">
            <w:pPr>
              <w:pStyle w:val="BodyText"/>
            </w:pPr>
            <w:r w:rsidRPr="008B69F7">
              <w:t>Organisation, legal and policy materials</w:t>
            </w:r>
          </w:p>
          <w:p w:rsidR="00000000" w:rsidRPr="008B69F7" w:rsidP="008B69F7">
            <w:pPr>
              <w:pStyle w:val="BodyText"/>
            </w:pPr>
            <w:r w:rsidRPr="008B69F7">
              <w:t>Client information</w:t>
            </w:r>
          </w:p>
          <w:p w:rsidR="00000000" w:rsidRPr="008B69F7" w:rsidP="008B69F7">
            <w:pPr>
              <w:pStyle w:val="BodyText"/>
            </w:pPr>
            <w:r w:rsidRPr="008B69F7">
              <w:t>Market trends</w:t>
            </w:r>
          </w:p>
          <w:p w:rsidR="00000000" w:rsidRPr="008B69F7" w:rsidP="008B69F7">
            <w:pPr>
              <w:pStyle w:val="BodyText"/>
            </w:pPr>
            <w:r w:rsidRPr="008B69F7">
              <w:t>Registry and file records</w:t>
            </w:r>
          </w:p>
          <w:p w:rsidR="00000000" w:rsidRPr="008B69F7" w:rsidP="008B69F7">
            <w:pPr>
              <w:pStyle w:val="BodyText"/>
            </w:pPr>
            <w:r w:rsidRPr="008B69F7">
              <w:t>Financial records</w:t>
            </w:r>
          </w:p>
          <w:p w:rsidR="00000000" w:rsidP="008B69F7">
            <w:pPr>
              <w:pStyle w:val="BodyText"/>
              <w:rPr>
                <w:lang w:val="en-NZ"/>
              </w:rPr>
            </w:pPr>
            <w:r w:rsidRPr="008B69F7">
              <w:t>Basic statistical information</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F7">
            <w:pPr>
              <w:pStyle w:val="BodyText"/>
              <w:rPr>
                <w:lang w:val="en-NZ"/>
              </w:rPr>
            </w:pPr>
            <w:r w:rsidRPr="008B69F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F7" w:rsidP="008B69F7">
            <w:pPr>
              <w:pStyle w:val="BodyText"/>
            </w:pPr>
            <w:r w:rsidRPr="008B69F7">
              <w:t xml:space="preserve">Deal with an unplanned event by drawing on essential knowledge and associated skills to provide appropriate solutions incorporated in the holistic assessment with the above listed items </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6570"/>
      </w:tblGrid>
      <w:tr w:rsidTr="000B29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9.3)</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This unit should be assessed as it relates to normal work practice using procedures, information and resources typical of a workplace. This should include: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OHS policy and work procedures and instructions.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Suitable work environment, facilities, equipm</w:t>
            </w:r>
            <w:r w:rsidRPr="008B69F7">
              <w:t>ent and materials to undertake actual work as prescribed by this Unit.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Appropriate environmental regulation and work practices.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Appropriate organisational requirements.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ListBullet"/>
              <w:rPr>
                <w:lang w:val="en-NZ"/>
              </w:rPr>
            </w:pPr>
            <w:r w:rsidRPr="008B69F7">
              <w:t>Appropriate work environment, equipment and tools.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In addition to the resources listed above, in Context of and specific resources for assessment, evidence should show demonstrated competency of managing financial resources in a Gas Industry facility. </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Assessment of this competency must also be undertake</w:t>
            </w:r>
            <w:r w:rsidRPr="008B69F7">
              <w:t>n in either an actual workplace or under a simulated work environment. Assessment must also integrate the employability skills.</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6570"/>
      </w:tblGrid>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9.4)</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This Unit shall be assessed by methods given in Volume 1, Part 3 ‘Assessment Guidelines’.</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B69F7">
              <w:t>intended for learning/assessment and incorporates all necessary equipment and facilities for learners to develop and demonstrate the Essential Knowledge and Associated Skills described in this unit.</w:t>
            </w:r>
          </w:p>
        </w:tc>
      </w:tr>
    </w:tbl>
    <w:p w:rsidR="00000000" w:rsidRPr="008B69F7" w:rsidP="008B69F7">
      <w:pPr>
        <w:pStyle w:val="BodyText"/>
      </w:pPr>
    </w:p>
    <w:tbl>
      <w:tblPr>
        <w:tblW w:w="0" w:type="auto"/>
        <w:tblLayout w:type="fixed"/>
        <w:tblCellMar>
          <w:left w:w="62" w:type="dxa"/>
          <w:right w:w="62" w:type="dxa"/>
        </w:tblCellMar>
        <w:tblLook w:val="0000"/>
      </w:tblPr>
      <w:tblGrid>
        <w:gridCol w:w="1890"/>
        <w:gridCol w:w="1620"/>
        <w:gridCol w:w="4950"/>
      </w:tblGrid>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9.5)</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There are no recommended concurrent assessments with this unit, however in some cases efficiencies may be gained in terms of learning and assessment effort being concurrently managed with allied Units where listed.</w:t>
            </w:r>
          </w:p>
        </w:tc>
      </w:tr>
      <w:tr w:rsidTr="000B2964">
        <w:tblPrEx>
          <w:tblW w:w="0" w:type="auto"/>
          <w:tblLayout w:type="fixed"/>
          <w:tblCellMar>
            <w:left w:w="62" w:type="dxa"/>
            <w:right w:w="62" w:type="dxa"/>
          </w:tblCellMar>
          <w:tblLook w:val="0000"/>
        </w:tblPrEx>
        <w:trPr>
          <w:trHeight w:val="46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UEGNSG117B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Plan and implement the data acquisition and metering requirements of a gas system </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UEGNSG118B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Select and commission equipment to meet pressure and temperature control specifications </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UEGNSG119B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 workplace risk</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UEGNSG120B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 gas system environmental compliance</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UEGNSG121B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Prepare and design specifications for a gas system</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UEGNSG115B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 gas system projects</w:t>
            </w:r>
          </w:p>
        </w:tc>
      </w:tr>
      <w:tr w:rsidTr="000B296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UEGNSG122B</w:t>
            </w:r>
          </w:p>
        </w:tc>
        <w:tc>
          <w:tcPr>
            <w:tcW w:w="495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Manage a customer service gas business unit</w:t>
            </w:r>
          </w:p>
        </w:tc>
      </w:tr>
      <w:tr w:rsidTr="000B2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UEGNSG116B</w:t>
            </w:r>
          </w:p>
        </w:tc>
        <w:tc>
          <w:tcPr>
            <w:tcW w:w="495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Manage physical resources</w:t>
            </w:r>
          </w:p>
        </w:tc>
      </w:tr>
    </w:tbl>
    <w:p w:rsidR="000B2964" w:rsidP="008B69F7">
      <w:pPr>
        <w:pStyle w:val="BodyText"/>
      </w:pPr>
    </w:p>
    <w:p w:rsidR="000B2964" w:rsidP="008B69F7">
      <w:pPr>
        <w:pStyle w:val="BodyText"/>
      </w:pPr>
    </w:p>
    <w:p w:rsidR="00000000" w:rsidRPr="008B69F7" w:rsidP="008B69F7">
      <w:pPr>
        <w:pStyle w:val="Heading1"/>
      </w:pPr>
      <w:bookmarkStart w:id="11" w:name="O_401118"/>
      <w:bookmarkEnd w:id="11"/>
      <w:r w:rsidRPr="008B69F7">
        <w:t>Range Statement</w:t>
      </w:r>
    </w:p>
    <w:tbl>
      <w:tblPr>
        <w:tblW w:w="0" w:type="auto"/>
        <w:tblLayout w:type="fixed"/>
        <w:tblCellMar>
          <w:left w:w="62" w:type="dxa"/>
          <w:right w:w="62" w:type="dxa"/>
        </w:tblCellMar>
        <w:tblLook w:val="0000"/>
      </w:tblPr>
      <w:tblGrid>
        <w:gridCol w:w="8460"/>
      </w:tblGrid>
      <w:tr w:rsidTr="000B2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RANGE STATEMENT</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10)</w:t>
            </w:r>
            <w:r w:rsidRPr="008B69F7">
              <w:t xml:space="preserve"> This relates to the competency standard unit as a whole providing the range of contexts and </w:t>
            </w:r>
            <w:r w:rsidRPr="008B69F7">
              <w:t>conditions to which the Performance Criteria apply. It allows for different work environments and situations that will affect performance.</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This Unit shall be demonstrated in relation to managing financial resources in a Gas Industry facility.</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The followi</w:t>
            </w:r>
            <w:r w:rsidRPr="008B69F7">
              <w:t>ng constants and variables included in the element/Performance Criteria in this unit are fully described in the Definitions Section of this volume and form an integral part of the Range Statement of this unit:</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Budget formats</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Operating budget</w:t>
            </w:r>
          </w:p>
        </w:tc>
      </w:tr>
      <w:tr w:rsidTr="000B2964">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Policy</w:t>
            </w:r>
          </w:p>
        </w:tc>
      </w:tr>
      <w:tr w:rsidTr="000B2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t xml:space="preserve">Financial reports </w:t>
            </w:r>
          </w:p>
        </w:tc>
      </w:tr>
      <w:tr w:rsidTr="000B2964">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Management information systems</w:t>
            </w:r>
          </w:p>
        </w:tc>
      </w:tr>
    </w:tbl>
    <w:p w:rsidR="00000000" w:rsidRPr="008B69F7" w:rsidP="008B69F7">
      <w:pPr>
        <w:pStyle w:val="BodyText"/>
      </w:pPr>
    </w:p>
    <w:p w:rsidR="00000000" w:rsidRPr="008B69F7" w:rsidP="008B69F7">
      <w:pPr>
        <w:pStyle w:val="AllowPageBreak"/>
      </w:pPr>
    </w:p>
    <w:p w:rsidR="00000000" w:rsidRPr="008B69F7" w:rsidP="008B69F7">
      <w:pPr>
        <w:pStyle w:val="Heading1"/>
      </w:pPr>
      <w:bookmarkStart w:id="12" w:name="O_401121"/>
      <w:bookmarkEnd w:id="12"/>
      <w:r w:rsidRPr="008B69F7">
        <w:t>Unit Sector(s)</w:t>
      </w:r>
    </w:p>
    <w:p w:rsidR="00000000" w:rsidRPr="008B69F7" w:rsidP="008B69F7">
      <w:pPr>
        <w:pStyle w:val="BodyText"/>
      </w:pPr>
      <w:r w:rsidRPr="008B69F7">
        <w:t>Not applicable.</w:t>
      </w:r>
    </w:p>
    <w:p w:rsidR="00000000" w:rsidRPr="008B69F7" w:rsidP="008B69F7">
      <w:pPr>
        <w:pStyle w:val="AllowPageBreak"/>
      </w:pPr>
    </w:p>
    <w:p w:rsidR="00000000" w:rsidRPr="008B69F7" w:rsidP="008B69F7">
      <w:pPr>
        <w:pStyle w:val="Heading1"/>
      </w:pPr>
      <w:bookmarkStart w:id="13" w:name="O_401110"/>
      <w:bookmarkEnd w:id="13"/>
      <w:r w:rsidRPr="008B69F7">
        <w:t>Competency Field</w:t>
      </w:r>
    </w:p>
    <w:tbl>
      <w:tblPr>
        <w:tblW w:w="0" w:type="auto"/>
        <w:tblLayout w:type="fixed"/>
        <w:tblCellMar>
          <w:left w:w="62" w:type="dxa"/>
          <w:right w:w="62" w:type="dxa"/>
        </w:tblCellMar>
        <w:tblLook w:val="0000"/>
      </w:tblPr>
      <w:tblGrid>
        <w:gridCol w:w="2700"/>
        <w:gridCol w:w="5760"/>
      </w:tblGrid>
      <w:tr w:rsidTr="000B2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69F7">
            <w:pPr>
              <w:pStyle w:val="BodyText"/>
              <w:rPr>
                <w:lang w:val="en-NZ"/>
              </w:rPr>
            </w:pPr>
            <w:r w:rsidRPr="008B69F7">
              <w:rPr>
                <w:rStyle w:val="SpecialBold"/>
              </w:rPr>
              <w:t xml:space="preserve">11) </w:t>
            </w:r>
          </w:p>
        </w:tc>
      </w:tr>
      <w:tr w:rsidTr="000B2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9F7" w:rsidP="008B69F7">
            <w:pPr>
              <w:pStyle w:val="BodyText"/>
            </w:pPr>
            <w:r w:rsidRPr="008B69F7">
              <w:t>Cross discipline.</w:t>
            </w:r>
          </w:p>
        </w:tc>
      </w:tr>
    </w:tbl>
    <w:p w:rsidR="00000000" w:rsidRPr="008B69F7" w:rsidP="008B69F7">
      <w:pPr>
        <w:pStyle w:val="BodyText"/>
      </w:pPr>
    </w:p>
    <w:p w:rsidR="00000000" w:rsidRPr="008B69F7" w:rsidP="008B69F7"/>
    <w:sectPr w:rsidSect="008B6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964" w:rsidP="000B2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64" w:rsidP="008B6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2964" w:rsidP="008B6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2964" w:rsidP="008B6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964" w:rsidP="000B29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64" w:rsidP="008B69F7">
    <w:pPr>
      <w:pStyle w:val="Header"/>
      <w:framePr w:wrap="around"/>
    </w:pPr>
    <w:r>
      <w:fldChar w:fldCharType="begin"/>
    </w:r>
    <w:r>
      <w:instrText xml:space="preserve"> TITLE   \* MERGEFORMAT </w:instrText>
    </w:r>
    <w:r>
      <w:fldChar w:fldCharType="separate"/>
    </w:r>
    <w:r>
      <w:t>UEGNSG123B Manage financial resources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964" w:rsidP="008B69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ED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24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88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9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9F7"/>
    <w:pPr>
      <w:spacing w:before="360" w:after="60"/>
      <w:outlineLvl w:val="0"/>
    </w:pPr>
    <w:rPr>
      <w:sz w:val="32"/>
    </w:rPr>
  </w:style>
  <w:style w:type="paragraph" w:styleId="Heading2">
    <w:name w:val="heading 2"/>
    <w:basedOn w:val="HeadingBase"/>
    <w:next w:val="BodyText"/>
    <w:link w:val="Heading2Char"/>
    <w:qFormat/>
    <w:rsid w:val="008B69F7"/>
    <w:pPr>
      <w:keepLines/>
      <w:spacing w:before="240" w:after="120"/>
      <w:outlineLvl w:val="1"/>
    </w:pPr>
    <w:rPr>
      <w:sz w:val="28"/>
      <w:szCs w:val="40"/>
    </w:rPr>
  </w:style>
  <w:style w:type="paragraph" w:styleId="Heading3">
    <w:name w:val="heading 3"/>
    <w:basedOn w:val="HeadingBase"/>
    <w:next w:val="BodyText"/>
    <w:link w:val="Heading3Char"/>
    <w:qFormat/>
    <w:rsid w:val="008B69F7"/>
    <w:pPr>
      <w:spacing w:before="180" w:after="120"/>
      <w:outlineLvl w:val="2"/>
    </w:pPr>
    <w:rPr>
      <w:spacing w:val="-10"/>
      <w:kern w:val="32"/>
    </w:rPr>
  </w:style>
  <w:style w:type="paragraph" w:styleId="Heading4">
    <w:name w:val="heading 4"/>
    <w:basedOn w:val="HeadingBase"/>
    <w:next w:val="BodyText"/>
    <w:link w:val="Heading4Char"/>
    <w:qFormat/>
    <w:rsid w:val="008B69F7"/>
    <w:pPr>
      <w:spacing w:before="160" w:after="120"/>
      <w:outlineLvl w:val="3"/>
    </w:pPr>
    <w:rPr>
      <w:sz w:val="22"/>
    </w:rPr>
  </w:style>
  <w:style w:type="paragraph" w:styleId="Heading5">
    <w:name w:val="heading 5"/>
    <w:basedOn w:val="HeadingBase"/>
    <w:next w:val="Normal"/>
    <w:link w:val="Heading5Char"/>
    <w:qFormat/>
    <w:rsid w:val="008B69F7"/>
    <w:pPr>
      <w:spacing w:before="80"/>
      <w:outlineLvl w:val="4"/>
    </w:pPr>
    <w:rPr>
      <w:color w:val="918585"/>
      <w:sz w:val="20"/>
    </w:rPr>
  </w:style>
  <w:style w:type="paragraph" w:styleId="Heading6">
    <w:name w:val="heading 6"/>
    <w:basedOn w:val="HeadingBase"/>
    <w:next w:val="Normal"/>
    <w:link w:val="Heading6Char"/>
    <w:qFormat/>
    <w:rsid w:val="008B69F7"/>
    <w:pPr>
      <w:spacing w:before="60"/>
      <w:outlineLvl w:val="5"/>
    </w:pPr>
    <w:rPr>
      <w:color w:val="918585"/>
      <w:sz w:val="20"/>
    </w:rPr>
  </w:style>
  <w:style w:type="paragraph" w:styleId="Heading7">
    <w:name w:val="heading 7"/>
    <w:basedOn w:val="Normal"/>
    <w:next w:val="Normal"/>
    <w:link w:val="Heading7Char"/>
    <w:qFormat/>
    <w:rsid w:val="008B69F7"/>
    <w:pPr>
      <w:ind w:left="720"/>
      <w:outlineLvl w:val="6"/>
    </w:pPr>
    <w:rPr>
      <w:i/>
    </w:rPr>
  </w:style>
  <w:style w:type="paragraph" w:styleId="Heading8">
    <w:name w:val="heading 8"/>
    <w:basedOn w:val="Normal"/>
    <w:next w:val="Normal"/>
    <w:link w:val="Heading8Char"/>
    <w:qFormat/>
    <w:rsid w:val="008B69F7"/>
    <w:pPr>
      <w:ind w:left="720"/>
      <w:outlineLvl w:val="7"/>
    </w:pPr>
    <w:rPr>
      <w:i/>
    </w:rPr>
  </w:style>
  <w:style w:type="paragraph" w:styleId="Heading9">
    <w:name w:val="heading 9"/>
    <w:basedOn w:val="Normal"/>
    <w:next w:val="Normal"/>
    <w:link w:val="Heading9Char"/>
    <w:qFormat/>
    <w:rsid w:val="008B69F7"/>
    <w:pPr>
      <w:ind w:left="720"/>
      <w:outlineLvl w:val="8"/>
    </w:pPr>
    <w:rPr>
      <w:i/>
    </w:rPr>
  </w:style>
  <w:style w:type="character" w:default="1" w:styleId="DefaultParagraphFont">
    <w:name w:val="Default Paragraph Font"/>
    <w:uiPriority w:val="1"/>
    <w:unhideWhenUsed/>
    <w:rsid w:val="008B6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9F7"/>
  </w:style>
  <w:style w:type="character" w:customStyle="1" w:styleId="Heading1Char">
    <w:name w:val="Heading 1 Char"/>
    <w:basedOn w:val="DefaultParagraphFont"/>
    <w:link w:val="Heading1"/>
    <w:rsid w:val="008B69F7"/>
    <w:rPr>
      <w:rFonts w:ascii="Times New Roman" w:eastAsia="Times New Roman" w:hAnsi="Times New Roman" w:cs="Times New Roman"/>
      <w:b/>
      <w:sz w:val="32"/>
      <w:szCs w:val="20"/>
      <w:lang w:eastAsia="en-US"/>
    </w:rPr>
  </w:style>
  <w:style w:type="paragraph" w:styleId="BodyText">
    <w:name w:val="Body Text"/>
    <w:basedOn w:val="Normal"/>
    <w:link w:val="BodyTextChar"/>
    <w:rsid w:val="008B6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9F7"/>
    <w:rPr>
      <w:rFonts w:ascii="Times New Roman" w:eastAsia="Times New Roman" w:hAnsi="Times New Roman" w:cs="Times New Roman"/>
      <w:sz w:val="24"/>
      <w:lang w:val="en-US" w:eastAsia="en-US"/>
    </w:rPr>
  </w:style>
  <w:style w:type="paragraph" w:styleId="Footer">
    <w:name w:val="footer"/>
    <w:basedOn w:val="Normal"/>
    <w:link w:val="FooterChar"/>
    <w:rsid w:val="008B6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9F7"/>
    <w:rPr>
      <w:rFonts w:ascii="Times New Roman" w:eastAsia="Times New Roman" w:hAnsi="Times New Roman" w:cs="Times New Roman"/>
      <w:sz w:val="16"/>
      <w:lang w:val="en-US" w:eastAsia="en-US"/>
    </w:rPr>
  </w:style>
  <w:style w:type="paragraph" w:styleId="ListBullet">
    <w:name w:val="List Bullet"/>
    <w:basedOn w:val="List"/>
    <w:rsid w:val="008B69F7"/>
    <w:pPr>
      <w:numPr>
        <w:numId w:val="14"/>
      </w:numPr>
      <w:tabs>
        <w:tab w:val="clear" w:pos="340"/>
      </w:tabs>
      <w:spacing w:before="40" w:after="40"/>
    </w:pPr>
  </w:style>
  <w:style w:type="character" w:customStyle="1" w:styleId="SpecialBold">
    <w:name w:val="Special Bold"/>
    <w:basedOn w:val="DefaultParagraphFont"/>
    <w:rsid w:val="008B69F7"/>
    <w:rPr>
      <w:b/>
      <w:spacing w:val="0"/>
    </w:rPr>
  </w:style>
  <w:style w:type="paragraph" w:styleId="ListBullet2">
    <w:name w:val="List Bullet 2"/>
    <w:basedOn w:val="List2"/>
    <w:rsid w:val="008B69F7"/>
    <w:pPr>
      <w:numPr>
        <w:numId w:val="15"/>
      </w:numPr>
      <w:tabs>
        <w:tab w:val="clear" w:pos="680"/>
      </w:tabs>
    </w:pPr>
  </w:style>
  <w:style w:type="paragraph" w:styleId="Header">
    <w:name w:val="header"/>
    <w:basedOn w:val="Normal"/>
    <w:link w:val="HeaderChar"/>
    <w:rsid w:val="008B6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9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9F7"/>
    <w:pPr>
      <w:spacing w:before="240" w:after="120"/>
      <w:outlineLvl w:val="0"/>
    </w:pPr>
    <w:rPr>
      <w:rFonts w:ascii="Times New Roman" w:hAnsi="Times New Roman"/>
      <w:b/>
      <w:sz w:val="28"/>
    </w:rPr>
  </w:style>
  <w:style w:type="paragraph" w:customStyle="1" w:styleId="AllowPageBreak">
    <w:name w:val="AllowPageBreak"/>
    <w:rsid w:val="008B69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69F7"/>
    <w:pPr>
      <w:numPr>
        <w:numId w:val="3"/>
      </w:numPr>
      <w:tabs>
        <w:tab w:val="clear" w:pos="1021"/>
      </w:tabs>
      <w:ind w:left="1037" w:hanging="357"/>
    </w:pPr>
  </w:style>
  <w:style w:type="character" w:customStyle="1" w:styleId="Heading2Char">
    <w:name w:val="Heading 2 Char"/>
    <w:basedOn w:val="DefaultParagraphFont"/>
    <w:link w:val="Heading2"/>
    <w:rsid w:val="008B6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9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9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9F7"/>
    <w:rPr>
      <w:rFonts w:ascii="Courier New" w:eastAsia="Times New Roman" w:hAnsi="Courier New" w:cs="Times New Roman"/>
      <w:i/>
      <w:szCs w:val="20"/>
      <w:lang w:val="en-US" w:eastAsia="en-US"/>
    </w:rPr>
  </w:style>
  <w:style w:type="paragraph" w:customStyle="1" w:styleId="HeadingBase">
    <w:name w:val="Heading Base"/>
    <w:rsid w:val="008B6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9F7"/>
    <w:pPr>
      <w:tabs>
        <w:tab w:val="right" w:leader="dot" w:pos="9072"/>
      </w:tabs>
      <w:ind w:left="567"/>
    </w:pPr>
    <w:rPr>
      <w:szCs w:val="22"/>
    </w:rPr>
  </w:style>
  <w:style w:type="paragraph" w:customStyle="1" w:styleId="TOCBase">
    <w:name w:val="TOC Base"/>
    <w:rsid w:val="008B6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9F7"/>
    <w:pPr>
      <w:tabs>
        <w:tab w:val="right" w:leader="dot" w:pos="9072"/>
      </w:tabs>
      <w:spacing w:before="40" w:after="40"/>
      <w:ind w:left="284"/>
    </w:pPr>
    <w:rPr>
      <w:rFonts w:ascii="Times New Roman" w:hAnsi="Times New Roman"/>
    </w:rPr>
  </w:style>
  <w:style w:type="paragraph" w:styleId="TOC1">
    <w:name w:val="toc 1"/>
    <w:basedOn w:val="TOCBase"/>
    <w:next w:val="Normal"/>
    <w:rsid w:val="008B6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9F7"/>
    <w:pPr>
      <w:spacing w:before="5040"/>
      <w:jc w:val="center"/>
    </w:pPr>
    <w:rPr>
      <w:sz w:val="48"/>
      <w:szCs w:val="72"/>
      <w:lang w:val="en-US"/>
    </w:rPr>
  </w:style>
  <w:style w:type="character" w:customStyle="1" w:styleId="TitleChar">
    <w:name w:val="Title Char"/>
    <w:basedOn w:val="DefaultParagraphFont"/>
    <w:link w:val="Title"/>
    <w:rsid w:val="008B6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9F7"/>
    <w:pPr>
      <w:tabs>
        <w:tab w:val="left" w:pos="3600"/>
        <w:tab w:val="left" w:pos="3958"/>
      </w:tabs>
    </w:pPr>
  </w:style>
  <w:style w:type="paragraph" w:styleId="List">
    <w:name w:val="List"/>
    <w:basedOn w:val="BodyText"/>
    <w:next w:val="BodyText"/>
    <w:rsid w:val="008B69F7"/>
    <w:pPr>
      <w:tabs>
        <w:tab w:val="left" w:pos="340"/>
      </w:tabs>
      <w:spacing w:before="60" w:after="60"/>
      <w:ind w:left="340" w:hanging="340"/>
    </w:pPr>
  </w:style>
  <w:style w:type="paragraph" w:customStyle="1" w:styleId="Note">
    <w:name w:val="Note"/>
    <w:basedOn w:val="BodyText"/>
    <w:rsid w:val="008B6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9F7"/>
    <w:pPr>
      <w:framePr w:wrap="auto" w:hAnchor="text" w:y="6049"/>
    </w:pPr>
    <w:rPr>
      <w:color w:val="000000"/>
      <w:sz w:val="40"/>
    </w:rPr>
  </w:style>
  <w:style w:type="paragraph" w:customStyle="1" w:styleId="TOCTitle">
    <w:name w:val="TOCTitle"/>
    <w:basedOn w:val="Heading1"/>
    <w:rsid w:val="008B69F7"/>
    <w:pPr>
      <w:spacing w:after="240"/>
      <w:jc w:val="center"/>
      <w:outlineLvl w:val="9"/>
    </w:pPr>
    <w:rPr>
      <w:caps/>
    </w:rPr>
  </w:style>
  <w:style w:type="paragraph" w:customStyle="1" w:styleId="Version">
    <w:name w:val="Version"/>
    <w:rsid w:val="008B6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9F7"/>
    <w:pPr>
      <w:keepNext w:val="0"/>
      <w:tabs>
        <w:tab w:val="right" w:pos="4176"/>
      </w:tabs>
      <w:ind w:left="198" w:hanging="198"/>
    </w:pPr>
    <w:rPr>
      <w:rFonts w:ascii="Garamond" w:hAnsi="Garamond"/>
    </w:rPr>
  </w:style>
  <w:style w:type="paragraph" w:styleId="IndexHeading">
    <w:name w:val="index heading"/>
    <w:basedOn w:val="Normal"/>
    <w:next w:val="Index1"/>
    <w:semiHidden/>
    <w:rsid w:val="008B69F7"/>
    <w:pPr>
      <w:spacing w:before="120" w:after="120"/>
    </w:pPr>
    <w:rPr>
      <w:rFonts w:ascii="Arial" w:hAnsi="Arial"/>
      <w:b/>
      <w:color w:val="918585"/>
      <w:sz w:val="24"/>
    </w:rPr>
  </w:style>
  <w:style w:type="paragraph" w:customStyle="1" w:styleId="Chapter">
    <w:name w:val="Chapter"/>
    <w:basedOn w:val="Normal"/>
    <w:rsid w:val="008B69F7"/>
    <w:pPr>
      <w:spacing w:before="240"/>
    </w:pPr>
    <w:rPr>
      <w:rFonts w:ascii="Times New Roman" w:hAnsi="Times New Roman"/>
      <w:smallCaps/>
      <w:spacing w:val="80"/>
      <w:sz w:val="28"/>
    </w:rPr>
  </w:style>
  <w:style w:type="paragraph" w:customStyle="1" w:styleId="InChapter">
    <w:name w:val="InChapter"/>
    <w:basedOn w:val="Heading3"/>
    <w:rsid w:val="008B69F7"/>
    <w:pPr>
      <w:spacing w:after="240"/>
      <w:outlineLvl w:val="9"/>
    </w:pPr>
    <w:rPr>
      <w:noProof/>
    </w:rPr>
  </w:style>
  <w:style w:type="paragraph" w:styleId="Index2">
    <w:name w:val="index 2"/>
    <w:basedOn w:val="Normal"/>
    <w:next w:val="Normal"/>
    <w:semiHidden/>
    <w:rsid w:val="008B69F7"/>
    <w:pPr>
      <w:tabs>
        <w:tab w:val="right" w:pos="4176"/>
      </w:tabs>
      <w:ind w:left="568" w:hanging="284"/>
    </w:pPr>
    <w:rPr>
      <w:rFonts w:ascii="Garamond" w:hAnsi="Garamond"/>
    </w:rPr>
  </w:style>
  <w:style w:type="paragraph" w:customStyle="1" w:styleId="Byline">
    <w:name w:val="Byline"/>
    <w:rsid w:val="008B6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9F7"/>
    <w:pPr>
      <w:tabs>
        <w:tab w:val="clear" w:pos="3600"/>
        <w:tab w:val="clear" w:pos="3958"/>
      </w:tabs>
      <w:jc w:val="right"/>
    </w:pPr>
  </w:style>
  <w:style w:type="character" w:styleId="Emphasis">
    <w:name w:val="Emphasis"/>
    <w:basedOn w:val="DefaultParagraphFont"/>
    <w:qFormat/>
    <w:rsid w:val="008B69F7"/>
    <w:rPr>
      <w:i/>
    </w:rPr>
  </w:style>
  <w:style w:type="paragraph" w:styleId="Caption">
    <w:name w:val="caption"/>
    <w:basedOn w:val="BodyText"/>
    <w:next w:val="Normal"/>
    <w:qFormat/>
    <w:rsid w:val="008B69F7"/>
    <w:pPr>
      <w:framePr w:w="2268" w:hSpace="181" w:vSpace="181" w:wrap="around" w:vAnchor="text" w:hAnchor="page" w:x="1135" w:y="285" w:anchorLock="1"/>
    </w:pPr>
    <w:rPr>
      <w:i/>
    </w:rPr>
  </w:style>
  <w:style w:type="paragraph" w:customStyle="1" w:styleId="MiniTOCTitle">
    <w:name w:val="MiniTOCTitle"/>
    <w:basedOn w:val="Heading4"/>
    <w:rsid w:val="008B69F7"/>
    <w:pPr>
      <w:spacing w:before="240"/>
      <w:outlineLvl w:val="9"/>
    </w:pPr>
    <w:rPr>
      <w:noProof/>
      <w:sz w:val="24"/>
    </w:rPr>
  </w:style>
  <w:style w:type="paragraph" w:customStyle="1" w:styleId="MiniTOCItem">
    <w:name w:val="MiniTOCItem"/>
    <w:basedOn w:val="ListBullet"/>
    <w:rsid w:val="008B69F7"/>
    <w:pPr>
      <w:numPr>
        <w:numId w:val="0"/>
      </w:numPr>
      <w:tabs>
        <w:tab w:val="right" w:leader="dot" w:pos="6521"/>
      </w:tabs>
      <w:spacing w:before="0" w:after="0"/>
    </w:pPr>
  </w:style>
  <w:style w:type="paragraph" w:customStyle="1" w:styleId="TOFTitle">
    <w:name w:val="TOFTitle"/>
    <w:basedOn w:val="TOCTitle"/>
    <w:rsid w:val="008B69F7"/>
  </w:style>
  <w:style w:type="paragraph" w:styleId="TableofFigures">
    <w:name w:val="table of figures"/>
    <w:basedOn w:val="Normal"/>
    <w:next w:val="Normal"/>
    <w:semiHidden/>
    <w:rsid w:val="008B69F7"/>
    <w:pPr>
      <w:tabs>
        <w:tab w:val="right" w:leader="dot" w:pos="9072"/>
      </w:tabs>
      <w:ind w:left="970" w:hanging="403"/>
    </w:pPr>
    <w:rPr>
      <w:rFonts w:ascii="Times New Roman" w:hAnsi="Times New Roman"/>
      <w:b/>
    </w:rPr>
  </w:style>
  <w:style w:type="paragraph" w:styleId="ListNumber">
    <w:name w:val="List Number"/>
    <w:basedOn w:val="List"/>
    <w:rsid w:val="008B69F7"/>
    <w:pPr>
      <w:numPr>
        <w:numId w:val="12"/>
      </w:numPr>
    </w:pPr>
  </w:style>
  <w:style w:type="character" w:customStyle="1" w:styleId="WingdingSymbols">
    <w:name w:val="Wingding Symbols"/>
    <w:rsid w:val="008B69F7"/>
    <w:rPr>
      <w:rFonts w:ascii="Wingdings" w:hAnsi="Wingdings"/>
    </w:rPr>
  </w:style>
  <w:style w:type="paragraph" w:customStyle="1" w:styleId="TableHeading">
    <w:name w:val="Table Heading"/>
    <w:basedOn w:val="HeadingBase"/>
    <w:rsid w:val="008B69F7"/>
    <w:pPr>
      <w:keepLines/>
      <w:pBdr>
        <w:bottom w:val="single" w:sz="6" w:space="1" w:color="918585"/>
      </w:pBdr>
      <w:spacing w:before="240"/>
    </w:pPr>
  </w:style>
  <w:style w:type="character" w:customStyle="1" w:styleId="HotSpot">
    <w:name w:val="HotSpot"/>
    <w:rsid w:val="008B69F7"/>
    <w:rPr>
      <w:color w:val="0033CC"/>
      <w:u w:val="none"/>
    </w:rPr>
  </w:style>
  <w:style w:type="paragraph" w:customStyle="1" w:styleId="BodyTextRight">
    <w:name w:val="Body Text Right"/>
    <w:basedOn w:val="BodyText"/>
    <w:rsid w:val="008B69F7"/>
    <w:pPr>
      <w:spacing w:before="0" w:after="0"/>
      <w:jc w:val="right"/>
    </w:pPr>
  </w:style>
  <w:style w:type="paragraph" w:styleId="Index3">
    <w:name w:val="index 3"/>
    <w:basedOn w:val="ListNumber2"/>
    <w:next w:val="Normal"/>
    <w:semiHidden/>
    <w:rsid w:val="008B69F7"/>
    <w:pPr>
      <w:numPr>
        <w:numId w:val="0"/>
      </w:numPr>
      <w:tabs>
        <w:tab w:val="right" w:leader="dot" w:pos="4176"/>
      </w:tabs>
    </w:pPr>
  </w:style>
  <w:style w:type="paragraph" w:styleId="ListNumber2">
    <w:name w:val="List Number 2"/>
    <w:basedOn w:val="List2"/>
    <w:rsid w:val="008B69F7"/>
    <w:pPr>
      <w:numPr>
        <w:numId w:val="11"/>
      </w:numPr>
      <w:tabs>
        <w:tab w:val="clear" w:pos="1060"/>
      </w:tabs>
    </w:pPr>
  </w:style>
  <w:style w:type="paragraph" w:customStyle="1" w:styleId="MarginNote">
    <w:name w:val="Margin Note"/>
    <w:basedOn w:val="BodyText"/>
    <w:rsid w:val="008B6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9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9F7"/>
    <w:rPr>
      <w:sz w:val="32"/>
    </w:rPr>
  </w:style>
  <w:style w:type="paragraph" w:customStyle="1" w:styleId="HeadingProcedure">
    <w:name w:val="Heading Procedure"/>
    <w:basedOn w:val="HeadingBase"/>
    <w:next w:val="Normal"/>
    <w:rsid w:val="008B69F7"/>
    <w:pPr>
      <w:tabs>
        <w:tab w:val="left" w:pos="0"/>
      </w:tabs>
      <w:spacing w:before="120" w:after="60"/>
    </w:pPr>
    <w:rPr>
      <w:i/>
      <w:color w:val="918585"/>
      <w:sz w:val="22"/>
    </w:rPr>
  </w:style>
  <w:style w:type="paragraph" w:customStyle="1" w:styleId="TableBodyText">
    <w:name w:val="Table Body Text"/>
    <w:basedOn w:val="BodyText"/>
    <w:rsid w:val="008B69F7"/>
    <w:pPr>
      <w:spacing w:before="60" w:after="60"/>
    </w:pPr>
  </w:style>
  <w:style w:type="paragraph" w:styleId="ListContinue">
    <w:name w:val="List Continue"/>
    <w:basedOn w:val="List"/>
    <w:rsid w:val="008B69F7"/>
    <w:pPr>
      <w:ind w:firstLine="0"/>
    </w:pPr>
  </w:style>
  <w:style w:type="paragraph" w:customStyle="1" w:styleId="ListNote">
    <w:name w:val="List Note"/>
    <w:basedOn w:val="List"/>
    <w:rsid w:val="008B69F7"/>
    <w:pPr>
      <w:pBdr>
        <w:top w:val="single" w:sz="6" w:space="2" w:color="918585"/>
        <w:bottom w:val="single" w:sz="6" w:space="2" w:color="918585"/>
      </w:pBdr>
      <w:tabs>
        <w:tab w:val="left" w:pos="1021"/>
      </w:tabs>
      <w:ind w:firstLine="0"/>
    </w:pPr>
  </w:style>
  <w:style w:type="paragraph" w:customStyle="1" w:styleId="Warning">
    <w:name w:val="Warning"/>
    <w:basedOn w:val="BodyText"/>
    <w:rsid w:val="008B69F7"/>
    <w:pPr>
      <w:shd w:val="clear" w:color="auto" w:fill="D9D9D9"/>
      <w:tabs>
        <w:tab w:val="left" w:pos="992"/>
      </w:tabs>
      <w:ind w:left="119" w:right="119"/>
    </w:pPr>
    <w:rPr>
      <w:sz w:val="20"/>
    </w:rPr>
  </w:style>
  <w:style w:type="paragraph" w:customStyle="1" w:styleId="MarginIcons">
    <w:name w:val="Margin Icons"/>
    <w:basedOn w:val="BodyText"/>
    <w:rsid w:val="008B6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9F7"/>
    <w:rPr>
      <w:rFonts w:ascii="Courier New" w:hAnsi="Courier New"/>
    </w:rPr>
  </w:style>
  <w:style w:type="paragraph" w:customStyle="1" w:styleId="NoteBullet">
    <w:name w:val="Note Bullet"/>
    <w:basedOn w:val="Note"/>
    <w:rsid w:val="008B69F7"/>
    <w:pPr>
      <w:tabs>
        <w:tab w:val="clear" w:pos="680"/>
      </w:tabs>
      <w:spacing w:before="60" w:after="60"/>
    </w:pPr>
  </w:style>
  <w:style w:type="paragraph" w:customStyle="1" w:styleId="SubHeading2">
    <w:name w:val="SubHeading2"/>
    <w:basedOn w:val="HeadingBase"/>
    <w:rsid w:val="008B69F7"/>
    <w:pPr>
      <w:spacing w:before="240" w:after="60"/>
    </w:pPr>
    <w:rPr>
      <w:sz w:val="20"/>
    </w:rPr>
  </w:style>
  <w:style w:type="paragraph" w:customStyle="1" w:styleId="SubHeading1">
    <w:name w:val="SubHeading1"/>
    <w:basedOn w:val="HeadingBase"/>
    <w:rsid w:val="008B69F7"/>
    <w:pPr>
      <w:spacing w:before="240" w:after="60"/>
    </w:pPr>
    <w:rPr>
      <w:color w:val="918585"/>
      <w:sz w:val="22"/>
    </w:rPr>
  </w:style>
  <w:style w:type="paragraph" w:customStyle="1" w:styleId="SideHeading">
    <w:name w:val="Side Heading"/>
    <w:basedOn w:val="HeadingBase"/>
    <w:rsid w:val="008B6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9F7"/>
    <w:pPr>
      <w:numPr>
        <w:numId w:val="13"/>
      </w:numPr>
    </w:pPr>
  </w:style>
  <w:style w:type="paragraph" w:styleId="PlainText">
    <w:name w:val="Plain Text"/>
    <w:basedOn w:val="Normal"/>
    <w:link w:val="PlainTextChar"/>
    <w:rsid w:val="008B69F7"/>
    <w:rPr>
      <w:sz w:val="20"/>
    </w:rPr>
  </w:style>
  <w:style w:type="character" w:customStyle="1" w:styleId="PlainTextChar">
    <w:name w:val="Plain Text Char"/>
    <w:basedOn w:val="DefaultParagraphFont"/>
    <w:link w:val="PlainText"/>
    <w:rsid w:val="008B69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9F7"/>
    <w:rPr>
      <w:b/>
      <w:smallCaps/>
    </w:rPr>
  </w:style>
  <w:style w:type="paragraph" w:customStyle="1" w:styleId="TableListNumber">
    <w:name w:val="Table List Number"/>
    <w:basedOn w:val="ListNumber"/>
    <w:rsid w:val="008B69F7"/>
    <w:pPr>
      <w:numPr>
        <w:numId w:val="0"/>
      </w:numPr>
    </w:pPr>
  </w:style>
  <w:style w:type="paragraph" w:styleId="TOC4">
    <w:name w:val="toc 4"/>
    <w:basedOn w:val="TOCBase"/>
    <w:next w:val="Normal"/>
    <w:semiHidden/>
    <w:rsid w:val="008B69F7"/>
    <w:pPr>
      <w:tabs>
        <w:tab w:val="right" w:leader="dot" w:pos="9071"/>
      </w:tabs>
      <w:ind w:left="1701"/>
    </w:pPr>
  </w:style>
  <w:style w:type="paragraph" w:customStyle="1" w:styleId="ListAlpha">
    <w:name w:val="List Alpha"/>
    <w:basedOn w:val="List"/>
    <w:rsid w:val="008B69F7"/>
    <w:pPr>
      <w:numPr>
        <w:numId w:val="10"/>
      </w:numPr>
    </w:pPr>
  </w:style>
  <w:style w:type="paragraph" w:customStyle="1" w:styleId="ListAlpha2">
    <w:name w:val="List Alpha 2"/>
    <w:basedOn w:val="List2"/>
    <w:rsid w:val="008B69F7"/>
    <w:pPr>
      <w:numPr>
        <w:numId w:val="9"/>
      </w:numPr>
    </w:pPr>
  </w:style>
  <w:style w:type="paragraph" w:styleId="List2">
    <w:name w:val="List 2"/>
    <w:basedOn w:val="BodyText"/>
    <w:rsid w:val="008B69F7"/>
    <w:pPr>
      <w:tabs>
        <w:tab w:val="left" w:pos="680"/>
      </w:tabs>
      <w:spacing w:before="60" w:after="60"/>
      <w:ind w:left="680" w:hanging="340"/>
    </w:pPr>
  </w:style>
  <w:style w:type="paragraph" w:styleId="List3">
    <w:name w:val="List 3"/>
    <w:basedOn w:val="BodyText"/>
    <w:rsid w:val="008B69F7"/>
    <w:pPr>
      <w:tabs>
        <w:tab w:val="left" w:pos="1021"/>
      </w:tabs>
      <w:spacing w:before="60" w:after="60"/>
      <w:ind w:left="1020" w:hanging="340"/>
    </w:pPr>
  </w:style>
  <w:style w:type="paragraph" w:styleId="List4">
    <w:name w:val="List 4"/>
    <w:basedOn w:val="BodyText"/>
    <w:rsid w:val="008B69F7"/>
    <w:pPr>
      <w:tabs>
        <w:tab w:val="left" w:pos="1361"/>
      </w:tabs>
      <w:spacing w:before="60" w:after="60"/>
      <w:ind w:left="1361" w:hanging="340"/>
    </w:pPr>
  </w:style>
  <w:style w:type="paragraph" w:styleId="List5">
    <w:name w:val="List 5"/>
    <w:basedOn w:val="BodyText"/>
    <w:rsid w:val="008B69F7"/>
    <w:pPr>
      <w:tabs>
        <w:tab w:val="left" w:pos="1701"/>
      </w:tabs>
      <w:spacing w:before="60" w:after="60"/>
      <w:ind w:left="1701" w:hanging="340"/>
    </w:pPr>
  </w:style>
  <w:style w:type="paragraph" w:styleId="ListBullet4">
    <w:name w:val="List Bullet 4"/>
    <w:basedOn w:val="List4"/>
    <w:rsid w:val="008B69F7"/>
    <w:pPr>
      <w:numPr>
        <w:numId w:val="4"/>
      </w:numPr>
    </w:pPr>
  </w:style>
  <w:style w:type="paragraph" w:styleId="ListBullet5">
    <w:name w:val="List Bullet 5"/>
    <w:basedOn w:val="List5"/>
    <w:rsid w:val="008B69F7"/>
    <w:pPr>
      <w:numPr>
        <w:numId w:val="5"/>
      </w:numPr>
    </w:pPr>
  </w:style>
  <w:style w:type="paragraph" w:styleId="ListContinue2">
    <w:name w:val="List Continue 2"/>
    <w:basedOn w:val="List2"/>
    <w:rsid w:val="008B69F7"/>
    <w:pPr>
      <w:ind w:firstLine="0"/>
    </w:pPr>
  </w:style>
  <w:style w:type="paragraph" w:styleId="ListContinue3">
    <w:name w:val="List Continue 3"/>
    <w:basedOn w:val="List3"/>
    <w:rsid w:val="008B69F7"/>
    <w:pPr>
      <w:ind w:left="1021" w:firstLine="0"/>
    </w:pPr>
  </w:style>
  <w:style w:type="paragraph" w:styleId="ListContinue4">
    <w:name w:val="List Continue 4"/>
    <w:basedOn w:val="List4"/>
    <w:rsid w:val="008B69F7"/>
    <w:pPr>
      <w:ind w:firstLine="0"/>
    </w:pPr>
  </w:style>
  <w:style w:type="paragraph" w:styleId="ListContinue5">
    <w:name w:val="List Continue 5"/>
    <w:basedOn w:val="List5"/>
    <w:rsid w:val="008B69F7"/>
    <w:pPr>
      <w:ind w:firstLine="0"/>
    </w:pPr>
  </w:style>
  <w:style w:type="paragraph" w:styleId="ListNumber3">
    <w:name w:val="List Number 3"/>
    <w:basedOn w:val="List3"/>
    <w:rsid w:val="008B69F7"/>
    <w:pPr>
      <w:numPr>
        <w:numId w:val="6"/>
      </w:numPr>
    </w:pPr>
  </w:style>
  <w:style w:type="paragraph" w:styleId="ListNumber4">
    <w:name w:val="List Number 4"/>
    <w:basedOn w:val="List4"/>
    <w:rsid w:val="008B69F7"/>
    <w:pPr>
      <w:numPr>
        <w:numId w:val="7"/>
      </w:numPr>
    </w:pPr>
  </w:style>
  <w:style w:type="paragraph" w:styleId="ListNumber5">
    <w:name w:val="List Number 5"/>
    <w:basedOn w:val="List5"/>
    <w:rsid w:val="008B69F7"/>
    <w:pPr>
      <w:numPr>
        <w:numId w:val="8"/>
      </w:numPr>
    </w:pPr>
  </w:style>
  <w:style w:type="paragraph" w:styleId="BlockText">
    <w:name w:val="Block Text"/>
    <w:basedOn w:val="Normal"/>
    <w:rsid w:val="008B69F7"/>
    <w:pPr>
      <w:spacing w:after="120"/>
      <w:ind w:left="1440" w:right="1440"/>
    </w:pPr>
  </w:style>
  <w:style w:type="character" w:customStyle="1" w:styleId="Subscript">
    <w:name w:val="Subscript"/>
    <w:basedOn w:val="DefaultParagraphFont"/>
    <w:rsid w:val="008B69F7"/>
    <w:rPr>
      <w:sz w:val="16"/>
      <w:vertAlign w:val="subscript"/>
    </w:rPr>
  </w:style>
  <w:style w:type="character" w:customStyle="1" w:styleId="Superscript">
    <w:name w:val="Superscript"/>
    <w:basedOn w:val="DefaultParagraphFont"/>
    <w:rsid w:val="008B69F7"/>
    <w:rPr>
      <w:sz w:val="16"/>
      <w:vertAlign w:val="superscript"/>
    </w:rPr>
  </w:style>
  <w:style w:type="character" w:customStyle="1" w:styleId="Symbols">
    <w:name w:val="Symbols"/>
    <w:basedOn w:val="DefaultParagraphFont"/>
    <w:rsid w:val="008B69F7"/>
    <w:rPr>
      <w:rFonts w:ascii="Symbol" w:hAnsi="Symbol"/>
    </w:rPr>
  </w:style>
  <w:style w:type="character" w:customStyle="1" w:styleId="MenuOptions">
    <w:name w:val="Menu Options"/>
    <w:basedOn w:val="DefaultParagraphFont"/>
    <w:rsid w:val="008B69F7"/>
    <w:rPr>
      <w:rFonts w:ascii="Arial Narrow" w:hAnsi="Arial Narrow"/>
      <w:smallCaps/>
    </w:rPr>
  </w:style>
  <w:style w:type="character" w:customStyle="1" w:styleId="Buttons">
    <w:name w:val="Buttons"/>
    <w:basedOn w:val="DefaultParagraphFont"/>
    <w:rsid w:val="008B69F7"/>
    <w:rPr>
      <w:b/>
    </w:rPr>
  </w:style>
  <w:style w:type="character" w:customStyle="1" w:styleId="Underlined">
    <w:name w:val="Underlined"/>
    <w:basedOn w:val="DefaultParagraphFont"/>
    <w:rsid w:val="008B69F7"/>
    <w:rPr>
      <w:u w:val="single"/>
    </w:rPr>
  </w:style>
  <w:style w:type="paragraph" w:customStyle="1" w:styleId="TableBodyTextRight">
    <w:name w:val="Table Body Text Right"/>
    <w:basedOn w:val="TableBodyText"/>
    <w:rsid w:val="008B69F7"/>
    <w:pPr>
      <w:widowControl w:val="0"/>
      <w:autoSpaceDE w:val="0"/>
      <w:autoSpaceDN w:val="0"/>
      <w:adjustRightInd w:val="0"/>
      <w:jc w:val="right"/>
    </w:pPr>
    <w:rPr>
      <w:rFonts w:cs="Arial"/>
      <w:szCs w:val="18"/>
    </w:rPr>
  </w:style>
  <w:style w:type="paragraph" w:customStyle="1" w:styleId="CopyrightText">
    <w:name w:val="Copyright Text"/>
    <w:basedOn w:val="BodyText"/>
    <w:rsid w:val="008B69F7"/>
    <w:rPr>
      <w:sz w:val="18"/>
    </w:rPr>
  </w:style>
  <w:style w:type="paragraph" w:customStyle="1" w:styleId="BodySmallRight">
    <w:name w:val="Body Small Right"/>
    <w:basedOn w:val="BodyTextRight"/>
    <w:rsid w:val="008B69F7"/>
    <w:rPr>
      <w:sz w:val="18"/>
      <w:szCs w:val="18"/>
    </w:rPr>
  </w:style>
  <w:style w:type="paragraph" w:customStyle="1" w:styleId="MarginEdition">
    <w:name w:val="Margin Edition"/>
    <w:basedOn w:val="MarginNote"/>
    <w:rsid w:val="008B69F7"/>
    <w:pPr>
      <w:spacing w:before="0" w:after="0"/>
    </w:pPr>
    <w:rPr>
      <w:rFonts w:ascii="Times New Roman" w:hAnsi="Times New Roman"/>
      <w:color w:val="999999"/>
    </w:rPr>
  </w:style>
  <w:style w:type="paragraph" w:customStyle="1" w:styleId="Spacer">
    <w:name w:val="Spacer"/>
    <w:basedOn w:val="Normal"/>
    <w:rsid w:val="008B69F7"/>
    <w:rPr>
      <w:sz w:val="2"/>
      <w:szCs w:val="2"/>
    </w:rPr>
  </w:style>
  <w:style w:type="character" w:customStyle="1" w:styleId="Small">
    <w:name w:val="Small"/>
    <w:basedOn w:val="DefaultParagraphFont"/>
    <w:rsid w:val="008B69F7"/>
    <w:rPr>
      <w:sz w:val="16"/>
    </w:rPr>
  </w:style>
  <w:style w:type="paragraph" w:customStyle="1" w:styleId="WideTable">
    <w:name w:val="Wide Table"/>
    <w:basedOn w:val="Normal"/>
    <w:rsid w:val="008B69F7"/>
    <w:pPr>
      <w:ind w:left="-1418"/>
    </w:pPr>
    <w:rPr>
      <w:sz w:val="2"/>
      <w:szCs w:val="2"/>
    </w:rPr>
  </w:style>
  <w:style w:type="character" w:styleId="PageNumber">
    <w:name w:val="page number"/>
    <w:basedOn w:val="DefaultParagraphFont"/>
    <w:rsid w:val="008B69F7"/>
  </w:style>
  <w:style w:type="paragraph" w:styleId="Quote">
    <w:name w:val="Quote"/>
    <w:basedOn w:val="Heading1"/>
    <w:link w:val="QuoteChar"/>
    <w:qFormat/>
    <w:rsid w:val="008B69F7"/>
    <w:rPr>
      <w:b w:val="0"/>
      <w:sz w:val="72"/>
      <w:szCs w:val="72"/>
      <w:lang w:val="en-NZ"/>
    </w:rPr>
  </w:style>
  <w:style w:type="character" w:customStyle="1" w:styleId="QuoteChar">
    <w:name w:val="Quote Char"/>
    <w:basedOn w:val="DefaultParagraphFont"/>
    <w:link w:val="Quote"/>
    <w:rsid w:val="008B6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9F7"/>
    <w:pPr>
      <w:pageBreakBefore/>
    </w:pPr>
  </w:style>
  <w:style w:type="paragraph" w:customStyle="1" w:styleId="Border">
    <w:name w:val="Border"/>
    <w:basedOn w:val="Normal"/>
    <w:qFormat/>
    <w:rsid w:val="008B6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9F7"/>
    <w:rPr>
      <w:b/>
      <w:bCs/>
      <w:i/>
      <w:iCs/>
      <w:color w:val="auto"/>
    </w:rPr>
  </w:style>
  <w:style w:type="paragraph" w:styleId="IntenseQuote">
    <w:name w:val="Intense Quote"/>
    <w:basedOn w:val="Normal"/>
    <w:next w:val="Normal"/>
    <w:link w:val="IntenseQuoteChar"/>
    <w:uiPriority w:val="30"/>
    <w:qFormat/>
    <w:rsid w:val="008B6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9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9F7"/>
    <w:rPr>
      <w:smallCaps/>
      <w:color w:val="auto"/>
      <w:u w:val="single"/>
    </w:rPr>
  </w:style>
  <w:style w:type="character" w:styleId="IntenseReference">
    <w:name w:val="Intense Reference"/>
    <w:basedOn w:val="DefaultParagraphFont"/>
    <w:uiPriority w:val="32"/>
    <w:qFormat/>
    <w:rsid w:val="008B69F7"/>
    <w:rPr>
      <w:b/>
      <w:bCs/>
      <w:smallCaps/>
      <w:color w:val="auto"/>
      <w:spacing w:val="5"/>
      <w:u w:val="single"/>
    </w:rPr>
  </w:style>
  <w:style w:type="paragraph" w:customStyle="1" w:styleId="2ColumnHeading">
    <w:name w:val="2Column Heading"/>
    <w:basedOn w:val="BodyText"/>
    <w:qFormat/>
    <w:rsid w:val="008B69F7"/>
    <w:pPr>
      <w:spacing w:after="60"/>
      <w:ind w:left="-2268"/>
    </w:pPr>
    <w:rPr>
      <w:b/>
    </w:rPr>
  </w:style>
  <w:style w:type="paragraph" w:customStyle="1" w:styleId="Heading1TOC">
    <w:name w:val="Heading1 TOC"/>
    <w:basedOn w:val="Normal"/>
    <w:qFormat/>
    <w:rsid w:val="008B69F7"/>
    <w:pPr>
      <w:spacing w:before="240" w:after="120"/>
    </w:pPr>
    <w:rPr>
      <w:rFonts w:ascii="Times New Roman" w:hAnsi="Times New Roman"/>
      <w:b/>
      <w:sz w:val="32"/>
    </w:rPr>
  </w:style>
  <w:style w:type="paragraph" w:customStyle="1" w:styleId="Heading2TOC">
    <w:name w:val="Heading2 TOC"/>
    <w:basedOn w:val="Normal"/>
    <w:qFormat/>
    <w:rsid w:val="008B69F7"/>
    <w:pPr>
      <w:spacing w:before="240" w:after="60"/>
    </w:pPr>
    <w:rPr>
      <w:rFonts w:ascii="Times New Roman" w:hAnsi="Times New Roman"/>
      <w:b/>
      <w:sz w:val="28"/>
    </w:rPr>
  </w:style>
  <w:style w:type="character" w:customStyle="1" w:styleId="Underline">
    <w:name w:val="Underline"/>
    <w:basedOn w:val="DefaultParagraphFont"/>
    <w:qFormat/>
    <w:rsid w:val="008B69F7"/>
    <w:rPr>
      <w:u w:val="single"/>
    </w:rPr>
  </w:style>
  <w:style w:type="character" w:customStyle="1" w:styleId="BoldandItalics">
    <w:name w:val="Bold and Italics"/>
    <w:qFormat/>
    <w:rsid w:val="008B69F7"/>
    <w:rPr>
      <w:b/>
      <w:i/>
      <w:u w:val="none"/>
    </w:rPr>
  </w:style>
  <w:style w:type="paragraph" w:styleId="BalloonText">
    <w:name w:val="Balloon Text"/>
    <w:basedOn w:val="Normal"/>
    <w:link w:val="BalloonTextChar"/>
    <w:rsid w:val="008B69F7"/>
    <w:rPr>
      <w:rFonts w:ascii="Tahoma" w:hAnsi="Tahoma" w:cs="Tahoma"/>
      <w:sz w:val="16"/>
      <w:szCs w:val="16"/>
    </w:rPr>
  </w:style>
  <w:style w:type="character" w:customStyle="1" w:styleId="BalloonTextChar">
    <w:name w:val="Balloon Text Char"/>
    <w:basedOn w:val="DefaultParagraphFont"/>
    <w:link w:val="BalloonText"/>
    <w:rsid w:val="008B69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9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2180</Words>
  <Characters>13581</Characters>
  <Application>Microsoft Office Word</Application>
  <DocSecurity>0</DocSecurity>
  <Lines>628</Lines>
  <Paragraphs>262</Paragraphs>
  <ScaleCrop>false</ScaleCrop>
  <Company>Author-it Software Corporation Ltd.</Company>
  <LinksUpToDate>false</LinksUpToDate>
  <CharactersWithSpaces>15557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UEGNSG123B Manage financial resources in a gas industry facility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