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2CE" w:rsidP="001542CE">
      <w:pPr>
        <w:pStyle w:val="Title"/>
      </w:pPr>
      <w:bookmarkStart w:id="0" w:name="_GoBack"/>
      <w:bookmarkEnd w:id="0"/>
      <w:r>
        <w:fldChar w:fldCharType="begin"/>
      </w:r>
      <w:r>
        <w:instrText xml:space="preserve"> TITLE   \* MERGEFORMAT </w:instrText>
      </w:r>
      <w:r>
        <w:fldChar w:fldCharType="separate"/>
      </w:r>
      <w:r>
        <w:t>UEGNSG118B Select and commission equipment to meet pressure and temperature control specifications</w:t>
      </w:r>
      <w:r>
        <w:fldChar w:fldCharType="end"/>
      </w:r>
    </w:p>
    <w:p w:rsidR="001542CE" w:rsidP="001542CE">
      <w:pPr>
        <w:pStyle w:val="Version"/>
        <w:sectPr w:rsidSect="00D475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5D5" w:rsidP="00D475D5">
      <w:pPr>
        <w:pStyle w:val="SuperHeading"/>
      </w:pPr>
      <w:r w:rsidRPr="00D475D5">
        <w:t>UEGNSG118B Select and commission equipment to meet pressure and temperature control specifications</w:t>
      </w:r>
    </w:p>
    <w:p w:rsidR="00000000" w:rsidRPr="00D475D5" w:rsidP="00D475D5">
      <w:pPr>
        <w:pStyle w:val="Heading1"/>
      </w:pPr>
      <w:bookmarkStart w:id="1" w:name="O_400799"/>
      <w:bookmarkEnd w:id="1"/>
      <w:r w:rsidRPr="00D475D5">
        <w:t>Modification History</w:t>
      </w:r>
    </w:p>
    <w:p w:rsidR="00000000" w:rsidRPr="00D475D5" w:rsidP="00D475D5">
      <w:pPr>
        <w:pStyle w:val="BodyText"/>
      </w:pPr>
      <w:r w:rsidRPr="00D475D5">
        <w:t>Not applicable.</w:t>
      </w:r>
    </w:p>
    <w:p w:rsidR="00000000" w:rsidRPr="00D475D5" w:rsidP="00D475D5">
      <w:pPr>
        <w:pStyle w:val="AllowPageBreak"/>
      </w:pPr>
    </w:p>
    <w:p w:rsidR="00000000" w:rsidRPr="00D475D5" w:rsidP="00D475D5">
      <w:pPr>
        <w:pStyle w:val="Heading1"/>
      </w:pPr>
      <w:bookmarkStart w:id="2" w:name="O_400797"/>
      <w:bookmarkEnd w:id="2"/>
      <w:r w:rsidRPr="00D475D5">
        <w:t>Unit Descriptor</w:t>
      </w:r>
    </w:p>
    <w:tbl>
      <w:tblPr>
        <w:tblW w:w="0" w:type="auto"/>
        <w:tblLayout w:type="fixed"/>
        <w:tblCellMar>
          <w:left w:w="62" w:type="dxa"/>
          <w:right w:w="62" w:type="dxa"/>
        </w:tblCellMar>
        <w:tblLook w:val="0000"/>
      </w:tblPr>
      <w:tblGrid>
        <w:gridCol w:w="2700"/>
        <w:gridCol w:w="5760"/>
      </w:tblGrid>
      <w:tr w:rsidTr="001542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1) Scope:</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75D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1.1) Descriptor</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 xml:space="preserve">This Unit covers the selection and commissioning of equipment for pressure and temperature control in a natural gas or LPG system. This competency </w:t>
            </w:r>
            <w:r w:rsidRPr="00D475D5">
              <w:t>standard refers to Gas Systems; Gas Characteristics; Relevant resources; Legislative requirements; Relevant authorities and other stakeholders; Relevant documentation.</w:t>
            </w:r>
          </w:p>
        </w:tc>
      </w:tr>
    </w:tbl>
    <w:p w:rsidR="00000000" w:rsidRPr="00D475D5" w:rsidP="00D475D5">
      <w:pPr>
        <w:pStyle w:val="BodyText"/>
      </w:pPr>
    </w:p>
    <w:p w:rsidR="00000000" w:rsidRPr="00D475D5" w:rsidP="00D475D5">
      <w:pPr>
        <w:pStyle w:val="AllowPageBreak"/>
      </w:pPr>
    </w:p>
    <w:p w:rsidR="00000000" w:rsidRPr="00D475D5" w:rsidP="00D475D5">
      <w:pPr>
        <w:pStyle w:val="Heading1"/>
      </w:pPr>
      <w:bookmarkStart w:id="3" w:name="O_400771"/>
      <w:bookmarkEnd w:id="3"/>
      <w:r w:rsidRPr="00D475D5">
        <w:t>Application of the Unit</w:t>
      </w:r>
    </w:p>
    <w:tbl>
      <w:tblPr>
        <w:tblW w:w="0" w:type="auto"/>
        <w:tblLayout w:type="fixed"/>
        <w:tblCellMar>
          <w:left w:w="62" w:type="dxa"/>
          <w:right w:w="62" w:type="dxa"/>
        </w:tblCellMar>
        <w:tblLook w:val="0000"/>
      </w:tblPr>
      <w:tblGrid>
        <w:gridCol w:w="2672"/>
        <w:gridCol w:w="5699"/>
      </w:tblGrid>
      <w:tr w:rsidTr="001542C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2)</w:t>
            </w:r>
          </w:p>
        </w:tc>
      </w:tr>
      <w:tr w:rsidTr="001542C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This competency standard shall apply to any basic and safe work site where Gas Industry operations occur. It could also apply, where applicable to other workplaces in the electricity supply industry (transmission and distribution and generation), the elect</w:t>
            </w:r>
            <w:r w:rsidRPr="00D475D5">
              <w:t>rotechnology industry and the water industry, subject to all Occupational Health and Safety and duty of care requirements being met for the workplace.</w:t>
            </w:r>
          </w:p>
        </w:tc>
      </w:tr>
    </w:tbl>
    <w:p w:rsidR="00000000" w:rsidRPr="00D475D5" w:rsidP="00D475D5">
      <w:pPr>
        <w:pStyle w:val="BodyText"/>
      </w:pPr>
    </w:p>
    <w:p w:rsidR="00000000" w:rsidRPr="00D475D5" w:rsidP="00D475D5">
      <w:pPr>
        <w:pStyle w:val="AllowPageBreak"/>
      </w:pPr>
    </w:p>
    <w:p w:rsidR="00000000" w:rsidRPr="00D475D5" w:rsidP="00D475D5">
      <w:pPr>
        <w:pStyle w:val="Heading1"/>
      </w:pPr>
      <w:bookmarkStart w:id="4" w:name="O_400778"/>
      <w:bookmarkEnd w:id="4"/>
      <w:r w:rsidRPr="00D475D5">
        <w:t>Licensing/Regulatory Information</w:t>
      </w:r>
    </w:p>
    <w:tbl>
      <w:tblPr>
        <w:tblW w:w="0" w:type="auto"/>
        <w:tblLayout w:type="fixed"/>
        <w:tblCellMar>
          <w:left w:w="62" w:type="dxa"/>
          <w:right w:w="62" w:type="dxa"/>
        </w:tblCellMar>
        <w:tblLook w:val="0000"/>
      </w:tblPr>
      <w:tblGrid>
        <w:gridCol w:w="2700"/>
        <w:gridCol w:w="5760"/>
      </w:tblGrid>
      <w:tr w:rsidTr="001542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 xml:space="preserve">3) </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The skills and knowledge de</w:t>
            </w:r>
            <w:r w:rsidRPr="00D475D5">
              <w:t xml:space="preserve">scribed in this unit are not subject to licence regulation other than those directly related to Occupational Health and Safety, gas/electricity/water industry safety and compliance, industrial relations, environmental protection, </w:t>
            </w:r>
            <w:r w:rsidRPr="00D475D5">
              <w:t>telecommunications, anti d</w:t>
            </w:r>
            <w:r w:rsidRPr="00D475D5">
              <w:t>iscrimination and training. Commonwealth, State/Territory or Local Government legislation and regulations may exist that limit the age at which a person can operate certain equipment.</w:t>
            </w:r>
          </w:p>
        </w:tc>
      </w:tr>
    </w:tbl>
    <w:p w:rsidR="00000000" w:rsidRPr="00D475D5" w:rsidP="00D475D5">
      <w:pPr>
        <w:pStyle w:val="BodyText"/>
      </w:pPr>
    </w:p>
    <w:p w:rsidR="00000000" w:rsidRPr="00D475D5" w:rsidP="00D475D5">
      <w:pPr>
        <w:pStyle w:val="AllowPageBreak"/>
      </w:pPr>
    </w:p>
    <w:p w:rsidR="00000000" w:rsidRPr="00D475D5" w:rsidP="00D475D5">
      <w:pPr>
        <w:pStyle w:val="Heading1"/>
      </w:pPr>
      <w:bookmarkStart w:id="5" w:name="O_400781"/>
      <w:bookmarkEnd w:id="5"/>
      <w:r w:rsidRPr="00D475D5">
        <w:t>Pre-Requisites</w:t>
      </w:r>
    </w:p>
    <w:tbl>
      <w:tblPr>
        <w:tblW w:w="0" w:type="auto"/>
        <w:tblLayout w:type="fixed"/>
        <w:tblCellMar>
          <w:left w:w="62" w:type="dxa"/>
          <w:right w:w="62" w:type="dxa"/>
        </w:tblCellMar>
        <w:tblLook w:val="0000"/>
      </w:tblPr>
      <w:tblGrid>
        <w:gridCol w:w="2700"/>
        <w:gridCol w:w="1800"/>
        <w:gridCol w:w="3960"/>
      </w:tblGrid>
      <w:tr w:rsidTr="001542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 xml:space="preserve">4) </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4.1)</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Granting of competency in this unit shall be made only after competency in the following unit(s) has/have been confirmed:</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Nil</w:t>
            </w:r>
          </w:p>
        </w:tc>
        <w:tc>
          <w:tcPr>
            <w:tcW w:w="3960" w:type="dxa"/>
            <w:tcBorders>
              <w:top w:val="nil"/>
              <w:left w:val="nil"/>
              <w:bottom w:val="nil"/>
              <w:right w:val="nil"/>
            </w:tcBorders>
            <w:tcMar>
              <w:top w:w="0" w:type="dxa"/>
              <w:left w:w="62" w:type="dxa"/>
              <w:bottom w:w="0" w:type="dxa"/>
              <w:right w:w="62" w:type="dxa"/>
            </w:tcMar>
          </w:tcPr>
          <w:p w:rsidR="00000000" w:rsidRPr="00D475D5" w:rsidP="00D475D5">
            <w:pPr>
              <w:pStyle w:val="BodyText"/>
            </w:pPr>
          </w:p>
        </w:tc>
      </w:tr>
    </w:tbl>
    <w:p w:rsidR="00000000" w:rsidRPr="00D475D5" w:rsidP="00D475D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 xml:space="preserve">4.2) </w:t>
            </w:r>
          </w:p>
          <w:p w:rsidR="00000000" w:rsidP="00D475D5">
            <w:pPr>
              <w:pStyle w:val="BodyText"/>
              <w:rPr>
                <w:lang w:val="en-NZ"/>
              </w:rPr>
            </w:pPr>
            <w:r w:rsidRPr="00D475D5">
              <w:t>Participants are best equipped to achieve this unit if they have reading, writing and numeracy skills indicated by the following scales. Description of each scale is given in Volume 2, Part 3 ‘Literacy and Numeracy’</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Reading</w:t>
            </w:r>
          </w:p>
        </w:tc>
        <w:tc>
          <w:tcPr>
            <w:tcW w:w="81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5</w:t>
            </w:r>
          </w:p>
        </w:tc>
        <w:tc>
          <w:tcPr>
            <w:tcW w:w="9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Writing</w:t>
            </w: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5</w:t>
            </w:r>
          </w:p>
        </w:tc>
        <w:tc>
          <w:tcPr>
            <w:tcW w:w="12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Numeracy</w:t>
            </w:r>
          </w:p>
        </w:tc>
        <w:tc>
          <w:tcPr>
            <w:tcW w:w="72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5</w:t>
            </w:r>
          </w:p>
        </w:tc>
      </w:tr>
    </w:tbl>
    <w:p w:rsidR="00000000" w:rsidRPr="00D475D5" w:rsidP="00D475D5">
      <w:pPr>
        <w:pStyle w:val="BodyText"/>
      </w:pPr>
    </w:p>
    <w:p w:rsidR="00000000" w:rsidRPr="00D475D5" w:rsidP="00D475D5">
      <w:pPr>
        <w:pStyle w:val="AllowPageBreak"/>
      </w:pPr>
    </w:p>
    <w:p w:rsidR="00000000" w:rsidRPr="00D475D5" w:rsidP="00D475D5">
      <w:pPr>
        <w:pStyle w:val="Heading1"/>
      </w:pPr>
      <w:bookmarkStart w:id="6" w:name="O_400775"/>
      <w:bookmarkEnd w:id="6"/>
      <w:r w:rsidRPr="00D475D5">
        <w:t>Employability Skills Information</w:t>
      </w:r>
    </w:p>
    <w:tbl>
      <w:tblPr>
        <w:tblW w:w="0" w:type="auto"/>
        <w:tblLayout w:type="fixed"/>
        <w:tblCellMar>
          <w:left w:w="62" w:type="dxa"/>
          <w:right w:w="62" w:type="dxa"/>
        </w:tblCellMar>
        <w:tblLook w:val="0000"/>
      </w:tblPr>
      <w:tblGrid>
        <w:gridCol w:w="2700"/>
        <w:gridCol w:w="5760"/>
      </w:tblGrid>
      <w:tr w:rsidTr="001542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 xml:space="preserve">5) </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This unit contains Employability Skills</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475D5">
              <w:t>requirements.</w:t>
            </w:r>
          </w:p>
        </w:tc>
      </w:tr>
    </w:tbl>
    <w:p w:rsidR="00000000" w:rsidRPr="00D475D5" w:rsidP="00D475D5">
      <w:pPr>
        <w:pStyle w:val="BodyText"/>
      </w:pPr>
    </w:p>
    <w:p w:rsidR="00000000" w:rsidRPr="00D475D5" w:rsidP="00D475D5">
      <w:pPr>
        <w:pStyle w:val="AllowPageBreak"/>
      </w:pPr>
    </w:p>
    <w:p w:rsidR="00000000" w:rsidRPr="00D475D5" w:rsidP="00D475D5">
      <w:pPr>
        <w:pStyle w:val="Heading1"/>
      </w:pPr>
      <w:bookmarkStart w:id="7" w:name="O_400774"/>
      <w:bookmarkEnd w:id="7"/>
      <w:r w:rsidRPr="00D475D5">
        <w:t>Elements and Performance Criteria Pre-Content</w:t>
      </w:r>
    </w:p>
    <w:tbl>
      <w:tblPr>
        <w:tblW w:w="0" w:type="auto"/>
        <w:tblLayout w:type="fixed"/>
        <w:tblCellMar>
          <w:left w:w="62" w:type="dxa"/>
          <w:right w:w="62" w:type="dxa"/>
        </w:tblCellMar>
        <w:tblLook w:val="0000"/>
      </w:tblPr>
      <w:tblGrid>
        <w:gridCol w:w="2700"/>
        <w:gridCol w:w="5760"/>
      </w:tblGrid>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6)</w:t>
            </w:r>
            <w:r w:rsidRPr="00D475D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Performance Criteria describe the required performance needed to demonstrate achievement of the element</w:t>
            </w:r>
            <w:r w:rsidRPr="00D475D5">
              <w:t>. Assessment of performance is to be consistent with the Evidence Guide.</w:t>
            </w:r>
          </w:p>
        </w:tc>
      </w:tr>
    </w:tbl>
    <w:p w:rsidR="00000000" w:rsidRPr="00D475D5" w:rsidP="00D475D5">
      <w:pPr>
        <w:pStyle w:val="BodyText"/>
      </w:pPr>
    </w:p>
    <w:p w:rsidR="00000000" w:rsidRPr="00D475D5" w:rsidP="00D475D5">
      <w:pPr>
        <w:pStyle w:val="AllowPageBreak"/>
      </w:pPr>
    </w:p>
    <w:p w:rsidR="00000000" w:rsidRPr="00D475D5" w:rsidP="00D475D5">
      <w:pPr>
        <w:pStyle w:val="Heading1"/>
      </w:pPr>
      <w:bookmarkStart w:id="8" w:name="O_400773"/>
      <w:bookmarkEnd w:id="8"/>
      <w:r w:rsidRPr="00D475D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542C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PERFORMANCE CRITERIA</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w:t>
            </w:r>
          </w:p>
        </w:tc>
        <w:tc>
          <w:tcPr>
            <w:tcW w:w="2296"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Determine performance parameters for the system to be controlled</w:t>
            </w: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1.1</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OHS principles and practices and environmental and sustainable energy procedures which may influence the systems are reviewed and determined</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1.2</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Purpose of the performance parameters for the system to be controlled are established after data is analysed and expected outcomes of the work is confirmed with the appropriate personnel</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1.3</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Organisational established procedures on policies and specific</w:t>
            </w:r>
            <w:r w:rsidRPr="00D475D5">
              <w:t>ations for performance parameters for the system to be controlled are obtained or established with the appropriate personnel</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1.4</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Properties and gas characteristics are identified and discussed with appropriate personnel</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1.5</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Relevant documentation, st</w:t>
            </w:r>
            <w:r w:rsidRPr="00D475D5">
              <w:t xml:space="preserve">andards and legislative requirements are analysed </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1.6</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Growth requirements are factored into the performance requirements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1.7</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Work roles and tasks are allocated according to requirements and individual's competencies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1.8</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 xml:space="preserve">Work is prioritised and sequenced for the most effective outcome, completed within an acceptable timeframe to a quality standard and in accordance with established procedures </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1.9</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 xml:space="preserve">Liaison and communication issues with authorised personnel, authorities, </w:t>
            </w:r>
            <w:r w:rsidRPr="00D475D5">
              <w:t xml:space="preserve">clients and land owners are resolved and activities coordinated to carry out work </w:t>
            </w:r>
          </w:p>
        </w:tc>
      </w:tr>
      <w:tr w:rsidTr="001542CE">
        <w:tblPrEx>
          <w:tblW w:w="0" w:type="auto"/>
          <w:tblLayout w:type="fixed"/>
          <w:tblCellMar>
            <w:left w:w="62" w:type="dxa"/>
            <w:right w:w="62" w:type="dxa"/>
          </w:tblCellMar>
          <w:tblLook w:val="0000"/>
        </w:tblPrEx>
        <w:trPr>
          <w:trHeight w:val="497"/>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1.10</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 xml:space="preserve">Risk control measures are identified, prioritised and evaluated against the work schedule </w:t>
            </w:r>
          </w:p>
        </w:tc>
      </w:tr>
      <w:tr w:rsidTr="001542CE">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1.11</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Site requirements are identified and relevant work permits are secured to coordinate the performance of work according to requirements and established procedures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w:t>
            </w:r>
          </w:p>
        </w:tc>
        <w:tc>
          <w:tcPr>
            <w:tcW w:w="2296"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Plan and oversee the commissioning of the equipment</w:t>
            </w: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2.1</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Equipment and materials are selecte</w:t>
            </w:r>
            <w:r w:rsidRPr="00D475D5">
              <w:t>d to meet performance, budgetary and OHS requirements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2.2</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A commissioning plan and testing criteria are developed and implemented</w:t>
            </w:r>
          </w:p>
        </w:tc>
      </w:tr>
      <w:tr w:rsidTr="001542CE">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2.3</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All relevant resources are scheduled</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2.4</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All relevant supply authorities and statutory bodies are consulted and notified</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2.5</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A performance monitoring plan is developed</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2.6</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All relevant documentation is completed and authorised by the relevant authorities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2.7</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Essential Knowledge and Associated Skills are applied to analyse specific data and compare it with compliance specifications to ensure completion of the project within an agreed timeframe according to requirements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2.8</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Solutions to non-routine problems a</w:t>
            </w:r>
            <w:r w:rsidRPr="00D475D5">
              <w:t>re identified and actioned, according to requirements, using acquired Essential Knowledge and Associated Skills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2.9</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Quality of work is monitored against personal performance agreement and established organisational and professional standards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3</w:t>
            </w:r>
          </w:p>
        </w:tc>
        <w:tc>
          <w:tcPr>
            <w:tcW w:w="2296"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Validate system performance</w:t>
            </w: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3.1</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Final inspections to validate system performance are undertaken to ensure they comply with all requirements and include all specifications and documentation needed to complete the project</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3.2</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System performance is reviewe</w:t>
            </w:r>
            <w:r w:rsidRPr="00D475D5">
              <w:t>d to ensure performance of the system is within specifications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3.3</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System performance is reviewed to ensure balance is maintained with interconnected systems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3.4</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System performance is reviewed to ensure security of supply is within acceptable risk fa</w:t>
            </w:r>
            <w:r w:rsidRPr="00D475D5">
              <w:t>ctors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3.5</w:t>
            </w:r>
          </w:p>
        </w:tc>
        <w:tc>
          <w:tcPr>
            <w:tcW w:w="48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All reports and performance data are completed and lodged with the relevant authorities</w:t>
            </w:r>
          </w:p>
        </w:tc>
      </w:tr>
      <w:tr w:rsidTr="00154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3.6</w:t>
            </w:r>
          </w:p>
        </w:tc>
        <w:tc>
          <w:tcPr>
            <w:tcW w:w="48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Appropriate personnel are notified of completion and reports and completion documents are finalised.</w:t>
            </w:r>
          </w:p>
        </w:tc>
      </w:tr>
    </w:tbl>
    <w:p w:rsidR="00000000" w:rsidRPr="00D475D5" w:rsidP="00D475D5">
      <w:pPr>
        <w:pStyle w:val="BodyText"/>
      </w:pPr>
    </w:p>
    <w:p w:rsidR="00000000" w:rsidRPr="00D475D5" w:rsidP="00D475D5">
      <w:pPr>
        <w:pStyle w:val="AllowPageBreak"/>
      </w:pPr>
    </w:p>
    <w:p w:rsidR="00000000" w:rsidRPr="00D475D5" w:rsidP="00D475D5">
      <w:pPr>
        <w:pStyle w:val="Heading1"/>
      </w:pPr>
      <w:bookmarkStart w:id="9" w:name="O_400795"/>
      <w:bookmarkEnd w:id="9"/>
      <w:r w:rsidRPr="00D475D5">
        <w:t>Required Skills and Knowledge</w:t>
      </w:r>
    </w:p>
    <w:tbl>
      <w:tblPr>
        <w:tblW w:w="0" w:type="auto"/>
        <w:tblLayout w:type="fixed"/>
        <w:tblCellMar>
          <w:left w:w="62" w:type="dxa"/>
          <w:right w:w="62" w:type="dxa"/>
        </w:tblCellMar>
        <w:tblLook w:val="0000"/>
      </w:tblPr>
      <w:tblGrid>
        <w:gridCol w:w="8460"/>
      </w:tblGrid>
      <w:tr w:rsidTr="001542CE">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REQUIRED SKILLS AND KNOWLEDGE</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 xml:space="preserve">8) </w:t>
            </w:r>
            <w:r w:rsidRPr="00D475D5">
              <w:t>This describes the essential skills and knowledge and their level, required for this unit.</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Evidence shall show that knowledge has been acquired of safe</w:t>
            </w:r>
            <w:r w:rsidRPr="00D475D5">
              <w:t xml:space="preserve"> working practices for selecting and commissioning equipment to meet pressure and temperature control specifications.</w:t>
            </w:r>
          </w:p>
        </w:tc>
      </w:tr>
      <w:tr w:rsidTr="001542CE">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All knowledge and skills detailed in this unit should be contextualised to current industry practices and technologies.</w:t>
            </w:r>
          </w:p>
        </w:tc>
      </w:tr>
    </w:tbl>
    <w:p w:rsidR="00000000" w:rsidRPr="00D475D5" w:rsidP="00D475D5">
      <w:pPr>
        <w:pStyle w:val="BodyText"/>
      </w:pPr>
    </w:p>
    <w:tbl>
      <w:tblPr>
        <w:tblW w:w="0" w:type="auto"/>
        <w:tblLayout w:type="fixed"/>
        <w:tblCellMar>
          <w:left w:w="62" w:type="dxa"/>
          <w:right w:w="62" w:type="dxa"/>
        </w:tblCellMar>
        <w:tblLook w:val="0000"/>
      </w:tblPr>
      <w:tblGrid>
        <w:gridCol w:w="1440"/>
        <w:gridCol w:w="990"/>
        <w:gridCol w:w="6030"/>
      </w:tblGrid>
      <w:tr w:rsidTr="001542CE">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KS01-G118B</w:t>
            </w:r>
          </w:p>
        </w:tc>
        <w:tc>
          <w:tcPr>
            <w:tcW w:w="7020" w:type="dxa"/>
            <w:gridSpan w:val="2"/>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Pres</w:t>
            </w:r>
            <w:r w:rsidRPr="00D475D5">
              <w:rPr>
                <w:rStyle w:val="SpecialBold"/>
              </w:rPr>
              <w:t>sure and temperature control</w:t>
            </w:r>
          </w:p>
        </w:tc>
      </w:tr>
      <w:tr w:rsidTr="001542C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 4.1.5</w:t>
            </w:r>
          </w:p>
        </w:tc>
        <w:tc>
          <w:tcPr>
            <w:tcW w:w="603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Interpret Gas Industry drawings</w:t>
            </w:r>
          </w:p>
          <w:p w:rsidR="00000000" w:rsidRPr="00D475D5" w:rsidP="00D475D5">
            <w:pPr>
              <w:pStyle w:val="BodyText"/>
            </w:pPr>
            <w:r w:rsidRPr="00D475D5">
              <w:t>Evidence shall show an ability to interpret and understand Gas Industry technical drawings, indicated by the following:</w:t>
            </w:r>
          </w:p>
          <w:p w:rsidR="00000000" w:rsidRPr="00D475D5" w:rsidP="00D475D5">
            <w:pPr>
              <w:pStyle w:val="ListBullet"/>
            </w:pPr>
            <w:r w:rsidRPr="00D475D5">
              <w:t>understanding and interpreting relevant technical drawings including, but not limited to:</w:t>
            </w:r>
          </w:p>
          <w:p w:rsidR="00000000" w:rsidRPr="00D475D5" w:rsidP="00D475D5">
            <w:pPr>
              <w:pStyle w:val="ListBullet2"/>
            </w:pPr>
            <w:r w:rsidRPr="00D475D5">
              <w:t>Process and Instrumentation Diagrams (PID)</w:t>
            </w:r>
          </w:p>
          <w:p w:rsidR="00000000" w:rsidRPr="00D475D5" w:rsidP="00D475D5">
            <w:pPr>
              <w:pStyle w:val="ListBullet2"/>
            </w:pPr>
            <w:r w:rsidRPr="00D475D5">
              <w:t>Facility and pipeline construction and as-built drawings</w:t>
            </w:r>
          </w:p>
          <w:p w:rsidR="00000000" w:rsidRPr="00D475D5" w:rsidP="00D475D5">
            <w:pPr>
              <w:pStyle w:val="ListBullet2"/>
            </w:pPr>
            <w:r w:rsidRPr="00D475D5">
              <w:t>Geographical Information System (GIS) drawings and data</w:t>
            </w:r>
          </w:p>
          <w:p w:rsidR="00000000" w:rsidRPr="00D475D5" w:rsidP="00D475D5">
            <w:pPr>
              <w:pStyle w:val="ListBullet2"/>
            </w:pPr>
            <w:r w:rsidRPr="00D475D5">
              <w:t>Electrica</w:t>
            </w:r>
            <w:r w:rsidRPr="00D475D5">
              <w:t>l drawings</w:t>
            </w:r>
          </w:p>
          <w:p w:rsidR="00000000" w:rsidRPr="00D475D5" w:rsidP="00D475D5">
            <w:pPr>
              <w:pStyle w:val="ListBullet2"/>
            </w:pPr>
            <w:r w:rsidRPr="00D475D5">
              <w:t>Survey maps</w:t>
            </w:r>
          </w:p>
          <w:p w:rsidR="00000000" w:rsidP="00D475D5">
            <w:pPr>
              <w:pStyle w:val="ListBullet2"/>
              <w:rPr>
                <w:lang w:val="en-NZ"/>
              </w:rPr>
            </w:pPr>
            <w:r w:rsidRPr="00D475D5">
              <w:t xml:space="preserve">Pipeline route maps and alignment sheets </w:t>
            </w:r>
          </w:p>
        </w:tc>
      </w:tr>
      <w:tr w:rsidTr="001542C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 6.1.1</w:t>
            </w:r>
          </w:p>
        </w:tc>
        <w:tc>
          <w:tcPr>
            <w:tcW w:w="603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Understand and utilise concepts and skills for Gas Industry supervisors</w:t>
            </w:r>
          </w:p>
          <w:p w:rsidR="00000000" w:rsidRPr="00D475D5" w:rsidP="00D475D5">
            <w:pPr>
              <w:pStyle w:val="BodyText"/>
            </w:pPr>
            <w:r w:rsidRPr="00D475D5">
              <w:t>Evidence shall show an understanding and interpretation of the concepts and skills required of Gas Industry supervisors to undertake activities, indicated by the following:</w:t>
            </w:r>
          </w:p>
          <w:p w:rsidR="00000000" w:rsidRPr="00D475D5" w:rsidP="00D475D5">
            <w:pPr>
              <w:pStyle w:val="ListBullet"/>
            </w:pPr>
            <w:r w:rsidRPr="00D475D5">
              <w:t xml:space="preserve">applicable mathematical techniques and principles to enable production of relevant </w:t>
            </w:r>
            <w:r w:rsidRPr="00D475D5">
              <w:t xml:space="preserve">supervisory level calculations, data processing requirements and reports </w:t>
            </w:r>
          </w:p>
          <w:p w:rsidR="00000000" w:rsidRPr="00D475D5" w:rsidP="00D475D5">
            <w:pPr>
              <w:pStyle w:val="ListBullet"/>
            </w:pPr>
            <w:r w:rsidRPr="00D475D5">
              <w:t>engineering principles and operating principles of pipeline systems</w:t>
            </w:r>
          </w:p>
          <w:p w:rsidR="00000000" w:rsidRPr="00D475D5" w:rsidP="00D475D5">
            <w:pPr>
              <w:pStyle w:val="ListBullet"/>
            </w:pPr>
            <w:r w:rsidRPr="00D475D5">
              <w:t>understanding of safe design principles</w:t>
            </w:r>
          </w:p>
          <w:p w:rsidR="00000000" w:rsidRPr="00D475D5" w:rsidP="00D475D5">
            <w:pPr>
              <w:pStyle w:val="ListBullet"/>
            </w:pPr>
            <w:r w:rsidRPr="00D475D5">
              <w:t>appropriate environmental requirements</w:t>
            </w:r>
          </w:p>
          <w:p w:rsidR="00000000" w:rsidRPr="00D475D5" w:rsidP="00D475D5">
            <w:pPr>
              <w:pStyle w:val="ListBullet"/>
            </w:pPr>
            <w:r w:rsidRPr="00D475D5">
              <w:t xml:space="preserve">correctly read, analyse, interpret </w:t>
            </w:r>
            <w:r w:rsidRPr="00D475D5">
              <w:t>and record data</w:t>
            </w:r>
          </w:p>
          <w:p w:rsidR="00000000" w:rsidRPr="00D475D5" w:rsidP="00D475D5">
            <w:pPr>
              <w:pStyle w:val="ListBullet"/>
            </w:pPr>
            <w:r w:rsidRPr="00D475D5">
              <w:t>third-party service location methods</w:t>
            </w:r>
          </w:p>
          <w:p w:rsidR="00000000" w:rsidRPr="00D475D5" w:rsidP="00D475D5">
            <w:pPr>
              <w:pStyle w:val="ListBullet"/>
            </w:pPr>
            <w:r w:rsidRPr="00D475D5">
              <w:t>construction principles and safety</w:t>
            </w:r>
          </w:p>
          <w:p w:rsidR="00000000" w:rsidP="00D475D5">
            <w:pPr>
              <w:pStyle w:val="ListBullet"/>
              <w:rPr>
                <w:lang w:val="en-NZ"/>
              </w:rPr>
            </w:pPr>
            <w:r w:rsidRPr="00D475D5">
              <w:t>applicable gas chemistry, properties and characteristics.</w:t>
            </w:r>
          </w:p>
        </w:tc>
      </w:tr>
      <w:tr w:rsidTr="001542C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 6.1.2</w:t>
            </w:r>
          </w:p>
        </w:tc>
        <w:tc>
          <w:tcPr>
            <w:tcW w:w="603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Understand and utilise information for Gas Industry supervisors</w:t>
            </w:r>
          </w:p>
          <w:p w:rsidR="00000000" w:rsidRPr="00D475D5" w:rsidP="00D475D5">
            <w:pPr>
              <w:pStyle w:val="BodyText"/>
            </w:pPr>
            <w:r w:rsidRPr="00D475D5">
              <w:t>Evidence shall show an understanding of the requirements to undertake supervision/management in a Gas Industry environment, indicated by the following:</w:t>
            </w:r>
          </w:p>
          <w:p w:rsidR="00000000" w:rsidRPr="00D475D5" w:rsidP="00D475D5">
            <w:pPr>
              <w:pStyle w:val="ListBullet"/>
            </w:pPr>
            <w:r w:rsidRPr="00D475D5">
              <w:t>principles of gas flow and gas metering</w:t>
            </w:r>
          </w:p>
          <w:p w:rsidR="00000000" w:rsidRPr="00D475D5" w:rsidP="00D475D5">
            <w:pPr>
              <w:pStyle w:val="ListBullet"/>
            </w:pPr>
            <w:r w:rsidRPr="00D475D5">
              <w:t>organisational standard operating procedures</w:t>
            </w:r>
          </w:p>
          <w:p w:rsidR="00000000" w:rsidRPr="00D475D5" w:rsidP="00D475D5">
            <w:pPr>
              <w:pStyle w:val="ListBullet"/>
            </w:pPr>
            <w:r w:rsidRPr="00D475D5">
              <w:t>site specific safet</w:t>
            </w:r>
            <w:r w:rsidRPr="00D475D5">
              <w:t>y legislation and safety requirements</w:t>
            </w:r>
          </w:p>
          <w:p w:rsidR="00000000" w:rsidRPr="00D475D5" w:rsidP="00D475D5">
            <w:pPr>
              <w:pStyle w:val="ListBullet2"/>
            </w:pPr>
            <w:r w:rsidRPr="00D475D5">
              <w:t>overview of Occupational Health and Safety including systematic approaches to OHS</w:t>
            </w:r>
          </w:p>
          <w:p w:rsidR="00000000" w:rsidRPr="00D475D5" w:rsidP="00D475D5">
            <w:pPr>
              <w:pStyle w:val="ListBullet2"/>
            </w:pPr>
            <w:r w:rsidRPr="00D475D5">
              <w:t>health and safety stakeholders (union, employers, workers, contractors and managers) hazards</w:t>
            </w:r>
          </w:p>
          <w:p w:rsidR="00000000" w:rsidRPr="00D475D5" w:rsidP="00D475D5">
            <w:pPr>
              <w:pStyle w:val="ListBullet2"/>
            </w:pPr>
            <w:r w:rsidRPr="00D475D5">
              <w:t>risk assessment and control relating to areas such as:</w:t>
            </w:r>
          </w:p>
          <w:p w:rsidR="00000000" w:rsidRPr="00D475D5" w:rsidP="00D475D5">
            <w:pPr>
              <w:pStyle w:val="ListBullet3"/>
            </w:pPr>
            <w:r w:rsidRPr="00D475D5">
              <w:t>electrical safety</w:t>
            </w:r>
          </w:p>
          <w:p w:rsidR="00000000" w:rsidRPr="00D475D5" w:rsidP="00D475D5">
            <w:pPr>
              <w:pStyle w:val="ListBullet3"/>
            </w:pPr>
            <w:r w:rsidRPr="00D475D5">
              <w:t>vibration</w:t>
            </w:r>
          </w:p>
          <w:p w:rsidR="00000000" w:rsidRPr="00D475D5" w:rsidP="00D475D5">
            <w:pPr>
              <w:pStyle w:val="ListBullet3"/>
            </w:pPr>
            <w:r w:rsidRPr="00D475D5">
              <w:t>outdoor work</w:t>
            </w:r>
          </w:p>
          <w:p w:rsidR="00000000" w:rsidRPr="00D475D5" w:rsidP="00D475D5">
            <w:pPr>
              <w:pStyle w:val="ListBullet3"/>
            </w:pPr>
            <w:r w:rsidRPr="00D475D5">
              <w:t>stress</w:t>
            </w:r>
          </w:p>
          <w:p w:rsidR="00000000" w:rsidRPr="00D475D5" w:rsidP="00D475D5">
            <w:pPr>
              <w:pStyle w:val="ListBullet3"/>
            </w:pPr>
            <w:r w:rsidRPr="00D475D5">
              <w:t>equipment, tools and plant</w:t>
            </w:r>
          </w:p>
          <w:p w:rsidR="00000000" w:rsidRPr="00D475D5" w:rsidP="00D475D5">
            <w:pPr>
              <w:pStyle w:val="ListBullet3"/>
            </w:pPr>
            <w:r w:rsidRPr="00D475D5">
              <w:t>noise</w:t>
            </w:r>
          </w:p>
          <w:p w:rsidR="00000000" w:rsidRPr="00D475D5" w:rsidP="00D475D5">
            <w:pPr>
              <w:pStyle w:val="ListBullet3"/>
            </w:pPr>
            <w:r w:rsidRPr="00D475D5">
              <w:t>chemicals and substances</w:t>
            </w:r>
          </w:p>
          <w:p w:rsidR="00000000" w:rsidRPr="00D475D5" w:rsidP="00D475D5">
            <w:pPr>
              <w:pStyle w:val="ListBullet3"/>
            </w:pPr>
            <w:r w:rsidRPr="00D475D5">
              <w:t>manual handling</w:t>
            </w:r>
          </w:p>
          <w:p w:rsidR="00000000" w:rsidRPr="00D475D5" w:rsidP="00D475D5">
            <w:pPr>
              <w:pStyle w:val="ListBullet3"/>
            </w:pPr>
            <w:r w:rsidRPr="00D475D5">
              <w:t>confined spaces</w:t>
            </w:r>
          </w:p>
          <w:p w:rsidR="00000000" w:rsidRPr="00D475D5" w:rsidP="00D475D5">
            <w:pPr>
              <w:pStyle w:val="ListBullet2"/>
            </w:pPr>
            <w:r w:rsidRPr="00D475D5">
              <w:t>Stakeholder Relations</w:t>
            </w:r>
          </w:p>
          <w:p w:rsidR="00000000" w:rsidRPr="00D475D5" w:rsidP="00D475D5">
            <w:pPr>
              <w:pStyle w:val="ListBullet3"/>
            </w:pPr>
            <w:r w:rsidRPr="00D475D5">
              <w:t>managing contractors, industry awards, and employee entitlements</w:t>
            </w:r>
          </w:p>
          <w:p w:rsidR="00000000" w:rsidRPr="00D475D5" w:rsidP="00D475D5">
            <w:pPr>
              <w:pStyle w:val="ListBullet3"/>
            </w:pPr>
            <w:r w:rsidRPr="00D475D5">
              <w:t>understanding government and business relations</w:t>
            </w:r>
          </w:p>
          <w:p w:rsidR="00000000" w:rsidRPr="00D475D5" w:rsidP="00D475D5">
            <w:pPr>
              <w:pStyle w:val="ListBullet3"/>
            </w:pPr>
            <w:r w:rsidRPr="00D475D5">
              <w:t>employee associations</w:t>
            </w:r>
          </w:p>
          <w:p w:rsidR="00000000" w:rsidRPr="00D475D5" w:rsidP="00D475D5">
            <w:pPr>
              <w:pStyle w:val="ListBullet3"/>
            </w:pPr>
            <w:r w:rsidRPr="00D475D5">
              <w:t>industry associations</w:t>
            </w:r>
          </w:p>
          <w:p w:rsidR="00000000" w:rsidRPr="00D475D5" w:rsidP="00D475D5">
            <w:pPr>
              <w:pStyle w:val="ListBullet3"/>
            </w:pPr>
            <w:r w:rsidRPr="00D475D5">
              <w:t>awards and agreements</w:t>
            </w:r>
          </w:p>
          <w:p w:rsidR="00000000" w:rsidRPr="00D475D5" w:rsidP="00D475D5">
            <w:pPr>
              <w:pStyle w:val="ListBullet3"/>
            </w:pPr>
            <w:r w:rsidRPr="00D475D5">
              <w:t>collective bargaining and individual agreements</w:t>
            </w:r>
          </w:p>
          <w:p w:rsidR="00000000" w:rsidRPr="00D475D5" w:rsidP="00D475D5">
            <w:pPr>
              <w:pStyle w:val="ListBullet3"/>
            </w:pPr>
            <w:r w:rsidRPr="00D475D5">
              <w:t>conciliation, arbitration, me</w:t>
            </w:r>
            <w:r w:rsidRPr="00D475D5">
              <w:t>diation and negotiation</w:t>
            </w:r>
          </w:p>
          <w:p w:rsidR="00000000" w:rsidRPr="00D475D5" w:rsidP="00D475D5">
            <w:pPr>
              <w:pStyle w:val="ListBullet3"/>
            </w:pPr>
            <w:r w:rsidRPr="00D475D5">
              <w:t>coordinate the work of others</w:t>
            </w:r>
          </w:p>
          <w:p w:rsidR="00000000" w:rsidRPr="00D475D5" w:rsidP="00D475D5">
            <w:pPr>
              <w:pStyle w:val="ListBullet"/>
            </w:pPr>
            <w:r w:rsidRPr="00D475D5">
              <w:t>adhere to OHS legislation and regulations</w:t>
            </w:r>
          </w:p>
          <w:p w:rsidR="00000000" w:rsidRPr="00D475D5" w:rsidP="00D475D5">
            <w:pPr>
              <w:pStyle w:val="ListBullet3"/>
            </w:pPr>
            <w:r w:rsidRPr="00D475D5">
              <w:t>understanding government and the development of statute and common law</w:t>
            </w:r>
          </w:p>
          <w:p w:rsidR="00000000" w:rsidRPr="00D475D5" w:rsidP="00D475D5">
            <w:pPr>
              <w:pStyle w:val="ListBullet3"/>
            </w:pPr>
            <w:r w:rsidRPr="00D475D5">
              <w:t xml:space="preserve">principles of Occupational Health and Safety and risk management </w:t>
            </w:r>
          </w:p>
          <w:p w:rsidR="00000000" w:rsidRPr="00D475D5" w:rsidP="00D475D5">
            <w:pPr>
              <w:pStyle w:val="ListBullet3"/>
            </w:pPr>
            <w:r w:rsidRPr="00D475D5">
              <w:t>Occupational Health and Safety legislation and regulations</w:t>
            </w:r>
          </w:p>
          <w:p w:rsidR="00000000" w:rsidRPr="00D475D5" w:rsidP="00D475D5">
            <w:pPr>
              <w:pStyle w:val="ListBullet"/>
            </w:pPr>
            <w:r w:rsidRPr="00D475D5">
              <w:t>observe environmental and legislative requirements</w:t>
            </w:r>
          </w:p>
          <w:p w:rsidR="00000000" w:rsidRPr="00D475D5" w:rsidP="00D475D5">
            <w:pPr>
              <w:pStyle w:val="ListBullet3"/>
            </w:pPr>
            <w:r w:rsidRPr="00D475D5">
              <w:t>understanding government and the development of statute and common law</w:t>
            </w:r>
          </w:p>
          <w:p w:rsidR="00000000" w:rsidRPr="00D475D5" w:rsidP="00D475D5">
            <w:pPr>
              <w:pStyle w:val="ListBullet3"/>
            </w:pPr>
            <w:r w:rsidRPr="00D475D5">
              <w:t>principles of Occupational Health and Safety</w:t>
            </w:r>
          </w:p>
          <w:p w:rsidR="00000000" w:rsidRPr="00D475D5" w:rsidP="00D475D5">
            <w:pPr>
              <w:pStyle w:val="ListBullet3"/>
            </w:pPr>
            <w:r w:rsidRPr="00D475D5">
              <w:t>environmental and other legis</w:t>
            </w:r>
            <w:r w:rsidRPr="00D475D5">
              <w:t>lative requirements</w:t>
            </w:r>
          </w:p>
          <w:p w:rsidR="00000000" w:rsidRPr="00D475D5" w:rsidP="00D475D5">
            <w:pPr>
              <w:pStyle w:val="ListBullet"/>
            </w:pPr>
            <w:r w:rsidRPr="00D475D5">
              <w:t>apply applicable permit to work system including types of permit limitations</w:t>
            </w:r>
          </w:p>
          <w:p w:rsidR="00000000" w:rsidRPr="00D475D5" w:rsidP="00D475D5">
            <w:pPr>
              <w:pStyle w:val="ListBullet3"/>
            </w:pPr>
            <w:r w:rsidRPr="00D475D5">
              <w:t>understanding the permit to work system</w:t>
            </w:r>
          </w:p>
          <w:p w:rsidR="00000000" w:rsidRPr="00D475D5" w:rsidP="00D475D5">
            <w:pPr>
              <w:pStyle w:val="ListBullet3"/>
            </w:pPr>
            <w:r w:rsidRPr="00D475D5">
              <w:t xml:space="preserve">identifying the limitations in a permit to work system </w:t>
            </w:r>
          </w:p>
          <w:p w:rsidR="00000000" w:rsidRPr="00D475D5" w:rsidP="00D475D5">
            <w:pPr>
              <w:pStyle w:val="ListBullet"/>
            </w:pPr>
            <w:r w:rsidRPr="00D475D5">
              <w:t>develop and review standard operating procedures</w:t>
            </w:r>
          </w:p>
          <w:p w:rsidR="00000000" w:rsidRPr="00D475D5" w:rsidP="00D475D5">
            <w:pPr>
              <w:pStyle w:val="ListBullet"/>
            </w:pPr>
            <w:r w:rsidRPr="00D475D5">
              <w:t>review and re</w:t>
            </w:r>
            <w:r w:rsidRPr="00D475D5">
              <w:t>port on completed work</w:t>
            </w:r>
          </w:p>
          <w:p w:rsidR="00000000" w:rsidRPr="00D475D5" w:rsidP="00D475D5">
            <w:pPr>
              <w:pStyle w:val="ListBullet"/>
            </w:pPr>
            <w:r w:rsidRPr="00D475D5">
              <w:t>employ correct waste management procedures</w:t>
            </w:r>
          </w:p>
          <w:p w:rsidR="00000000" w:rsidRPr="00D475D5" w:rsidP="00D475D5">
            <w:pPr>
              <w:pStyle w:val="ListBullet3"/>
            </w:pPr>
            <w:r w:rsidRPr="00D475D5">
              <w:t>appropriate waste management procedures</w:t>
            </w:r>
          </w:p>
          <w:p w:rsidR="00000000" w:rsidRPr="00D475D5" w:rsidP="00D475D5">
            <w:pPr>
              <w:pStyle w:val="ListBullet3"/>
            </w:pPr>
            <w:r w:rsidRPr="00D475D5">
              <w:t>organisational requirements for waste management</w:t>
            </w:r>
          </w:p>
          <w:p w:rsidR="00000000" w:rsidRPr="00D475D5" w:rsidP="00D475D5">
            <w:pPr>
              <w:pStyle w:val="ListBullet3"/>
            </w:pPr>
            <w:r w:rsidRPr="00D475D5">
              <w:t>consequences of not managing waste effectively</w:t>
            </w:r>
          </w:p>
          <w:p w:rsidR="00000000" w:rsidRPr="00D475D5" w:rsidP="00D475D5">
            <w:pPr>
              <w:pStyle w:val="ListBullet"/>
            </w:pPr>
            <w:r w:rsidRPr="00D475D5">
              <w:t>knowledge of native title issues and legislation</w:t>
            </w:r>
          </w:p>
          <w:p w:rsidR="00000000" w:rsidP="00D475D5">
            <w:pPr>
              <w:pStyle w:val="ListBullet"/>
              <w:rPr>
                <w:lang w:val="en-NZ"/>
              </w:rPr>
            </w:pPr>
            <w:r w:rsidRPr="00D475D5">
              <w:t>analyse relevant workplace data eg incident and environmental monitoring to evaluate the effectiveness of the OHS management system.</w:t>
            </w:r>
          </w:p>
        </w:tc>
      </w:tr>
      <w:tr w:rsidTr="001542C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 6.1.3</w:t>
            </w:r>
          </w:p>
        </w:tc>
        <w:tc>
          <w:tcPr>
            <w:tcW w:w="603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Commission/decommission pipelines and cathodic protection principles for Gas Industry supervisors</w:t>
            </w:r>
          </w:p>
          <w:p w:rsidR="00000000" w:rsidRPr="00D475D5" w:rsidP="00D475D5">
            <w:pPr>
              <w:pStyle w:val="BodyText"/>
            </w:pPr>
            <w:r w:rsidRPr="00D475D5">
              <w:t xml:space="preserve">Evidence shall </w:t>
            </w:r>
            <w:r w:rsidRPr="00D475D5">
              <w:t>show an understanding of commission/decommissioning and cathodic protection principles required of Gas Industry supervisors, indicated by the following:</w:t>
            </w:r>
          </w:p>
          <w:p w:rsidR="00000000" w:rsidRPr="00D475D5" w:rsidP="00D475D5">
            <w:pPr>
              <w:pStyle w:val="ListBullet"/>
            </w:pPr>
            <w:r w:rsidRPr="00D475D5">
              <w:t>commissioning and decommissioning procedures for pipeline and gas industry facilities and infrastructur</w:t>
            </w:r>
            <w:r w:rsidRPr="00D475D5">
              <w:t>e</w:t>
            </w:r>
          </w:p>
          <w:p w:rsidR="00000000" w:rsidRPr="00D475D5" w:rsidP="00D475D5">
            <w:pPr>
              <w:pStyle w:val="ListBullet"/>
            </w:pPr>
            <w:r w:rsidRPr="00D475D5">
              <w:t>cathodic protection systems</w:t>
            </w:r>
          </w:p>
          <w:p w:rsidR="00000000" w:rsidRPr="00D475D5" w:rsidP="00D475D5">
            <w:pPr>
              <w:pStyle w:val="ListBullet"/>
            </w:pPr>
            <w:r w:rsidRPr="00D475D5">
              <w:t xml:space="preserve">plan and design commissioning procedures </w:t>
            </w:r>
          </w:p>
          <w:p w:rsidR="00000000" w:rsidP="00D475D5">
            <w:pPr>
              <w:pStyle w:val="ListBullet"/>
              <w:rPr>
                <w:lang w:val="en-NZ"/>
              </w:rPr>
            </w:pPr>
            <w:r w:rsidRPr="00D475D5">
              <w:t>plan and design cathodic protection commissioning procedures</w:t>
            </w:r>
          </w:p>
        </w:tc>
      </w:tr>
      <w:tr w:rsidTr="001542CE">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 6.1.4</w:t>
            </w:r>
          </w:p>
        </w:tc>
        <w:tc>
          <w:tcPr>
            <w:tcW w:w="603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Communicate effectively</w:t>
            </w:r>
          </w:p>
          <w:p w:rsidR="00000000" w:rsidRPr="00D475D5" w:rsidP="00D475D5">
            <w:pPr>
              <w:pStyle w:val="BodyText"/>
            </w:pPr>
            <w:r w:rsidRPr="00D475D5">
              <w:t xml:space="preserve">Evidence shall show an understanding and utilisation of technology for communication  in </w:t>
            </w:r>
            <w:r w:rsidRPr="00D475D5">
              <w:t>a Gas Industry environment, indicated by the following:</w:t>
            </w:r>
          </w:p>
          <w:p w:rsidR="00000000" w:rsidRPr="00D475D5" w:rsidP="00D475D5">
            <w:pPr>
              <w:pStyle w:val="ListBullet"/>
            </w:pPr>
            <w:r w:rsidRPr="00D475D5">
              <w:t>effective communication for Gas Industry managers and supervisors</w:t>
            </w:r>
          </w:p>
          <w:p w:rsidR="00000000" w:rsidRPr="00D475D5" w:rsidP="00D475D5">
            <w:pPr>
              <w:pStyle w:val="ListBullet2"/>
            </w:pPr>
            <w:r w:rsidRPr="00D475D5">
              <w:t>motives for communication</w:t>
            </w:r>
          </w:p>
          <w:p w:rsidR="00000000" w:rsidRPr="00D475D5" w:rsidP="00D475D5">
            <w:pPr>
              <w:pStyle w:val="ListBullet2"/>
            </w:pPr>
            <w:r w:rsidRPr="00D475D5">
              <w:t>communication networks: who communicates with whom</w:t>
            </w:r>
          </w:p>
          <w:p w:rsidR="00000000" w:rsidRPr="00D475D5" w:rsidP="00D475D5">
            <w:pPr>
              <w:pStyle w:val="ListBullet2"/>
            </w:pPr>
            <w:r w:rsidRPr="00D475D5">
              <w:t>verbal and non-verbal communication</w:t>
            </w:r>
          </w:p>
          <w:p w:rsidR="00000000" w:rsidRPr="00D475D5" w:rsidP="00D475D5">
            <w:pPr>
              <w:pStyle w:val="ListBullet2"/>
            </w:pPr>
            <w:r w:rsidRPr="00D475D5">
              <w:t xml:space="preserve">choosing the medium and the flow of a message </w:t>
            </w:r>
          </w:p>
          <w:p w:rsidR="00000000" w:rsidRPr="00D475D5" w:rsidP="00D475D5">
            <w:pPr>
              <w:pStyle w:val="ListBullet2"/>
            </w:pPr>
            <w:r w:rsidRPr="00D475D5">
              <w:t>blocks to effective communication</w:t>
            </w:r>
          </w:p>
          <w:p w:rsidR="00000000" w:rsidRPr="00D475D5" w:rsidP="00D475D5">
            <w:pPr>
              <w:pStyle w:val="ListBullet"/>
            </w:pPr>
            <w:r w:rsidRPr="00D475D5">
              <w:t>analyse and interpret recorded data, review and report</w:t>
            </w:r>
          </w:p>
          <w:p w:rsidR="00000000" w:rsidRPr="00D475D5" w:rsidP="00D475D5">
            <w:pPr>
              <w:pStyle w:val="ListBullet"/>
            </w:pPr>
            <w:r w:rsidRPr="00D475D5">
              <w:t>use information technology for communication</w:t>
            </w:r>
          </w:p>
          <w:p w:rsidR="00000000" w:rsidRPr="00D475D5" w:rsidP="00D475D5">
            <w:pPr>
              <w:pStyle w:val="ListBullet2"/>
            </w:pPr>
            <w:r w:rsidRPr="00D475D5">
              <w:t>understanding how to use information technology</w:t>
            </w:r>
          </w:p>
          <w:p w:rsidR="00000000" w:rsidP="00D475D5">
            <w:pPr>
              <w:pStyle w:val="ListBullet2"/>
              <w:rPr>
                <w:lang w:val="en-NZ"/>
              </w:rPr>
            </w:pPr>
            <w:r w:rsidRPr="00D475D5">
              <w:t>effective use of email, in</w:t>
            </w:r>
            <w:r w:rsidRPr="00D475D5">
              <w:t>ternet and other communication mediums.</w:t>
            </w:r>
          </w:p>
        </w:tc>
      </w:tr>
      <w:tr w:rsidTr="001542C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 6.1.5</w:t>
            </w:r>
          </w:p>
        </w:tc>
        <w:tc>
          <w:tcPr>
            <w:tcW w:w="603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Optimise performance of Pressure and temperature control equipment</w:t>
            </w:r>
          </w:p>
          <w:p w:rsidR="00000000" w:rsidRPr="00D475D5" w:rsidP="00D475D5">
            <w:pPr>
              <w:pStyle w:val="BodyText"/>
            </w:pPr>
            <w:r w:rsidRPr="00D475D5">
              <w:t>Evidence shall show an understanding of the requirements of pressure and temperature control equipment at a supervision level in a Gas Industry environment, indicated by the following:</w:t>
            </w:r>
          </w:p>
          <w:p w:rsidR="00000000" w:rsidRPr="00D475D5" w:rsidP="00D475D5">
            <w:pPr>
              <w:pStyle w:val="ListBullet"/>
            </w:pPr>
            <w:r w:rsidRPr="00D475D5">
              <w:t xml:space="preserve">operating principles of pressure and temperature control equipment and </w:t>
            </w:r>
            <w:r w:rsidRPr="00D475D5">
              <w:t>their performance characteristics including but not limited to:</w:t>
            </w:r>
          </w:p>
          <w:p w:rsidR="00000000" w:rsidRPr="00D475D5" w:rsidP="00D475D5">
            <w:pPr>
              <w:pStyle w:val="ListBullet2"/>
            </w:pPr>
            <w:r w:rsidRPr="00D475D5">
              <w:t>Electronic control equipment</w:t>
            </w:r>
          </w:p>
          <w:p w:rsidR="00000000" w:rsidRPr="00D475D5" w:rsidP="00D475D5">
            <w:pPr>
              <w:pStyle w:val="ListBullet2"/>
            </w:pPr>
            <w:r w:rsidRPr="00D475D5">
              <w:t>Pneumatic control equipment</w:t>
            </w:r>
          </w:p>
          <w:p w:rsidR="00000000" w:rsidP="00D475D5">
            <w:pPr>
              <w:pStyle w:val="ListBullet"/>
              <w:rPr>
                <w:lang w:val="en-NZ"/>
              </w:rPr>
            </w:pPr>
            <w:r w:rsidRPr="00D475D5">
              <w:t xml:space="preserve">Designing and modification to pressure and temperature equipment </w:t>
            </w:r>
          </w:p>
        </w:tc>
      </w:tr>
      <w:tr w:rsidTr="001542CE">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 6.1.6</w:t>
            </w:r>
          </w:p>
        </w:tc>
        <w:tc>
          <w:tcPr>
            <w:tcW w:w="603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Plan and carry out project management</w:t>
            </w:r>
          </w:p>
          <w:p w:rsidR="00000000" w:rsidRPr="00D475D5" w:rsidP="00D475D5">
            <w:pPr>
              <w:pStyle w:val="BodyText"/>
            </w:pPr>
            <w:r w:rsidRPr="00D475D5">
              <w:t>Evidence shall show an understanding and application of the requirements to undertake project management in a Gas Industry environment, indicated by the following:</w:t>
            </w:r>
          </w:p>
          <w:p w:rsidR="00000000" w:rsidRPr="00D475D5" w:rsidP="00D475D5">
            <w:pPr>
              <w:pStyle w:val="ListBullet"/>
            </w:pPr>
            <w:r w:rsidRPr="00D475D5">
              <w:t>project management and costing</w:t>
            </w:r>
          </w:p>
          <w:p w:rsidR="00000000" w:rsidRPr="00D475D5" w:rsidP="00D475D5">
            <w:pPr>
              <w:pStyle w:val="ListBullet2"/>
            </w:pPr>
            <w:r w:rsidRPr="00D475D5">
              <w:t>project planning processes</w:t>
            </w:r>
          </w:p>
          <w:p w:rsidR="00000000" w:rsidRPr="00D475D5" w:rsidP="00D475D5">
            <w:pPr>
              <w:pStyle w:val="ListBullet2"/>
            </w:pPr>
            <w:r w:rsidRPr="00D475D5">
              <w:t>determining project costing</w:t>
            </w:r>
          </w:p>
          <w:p w:rsidR="00000000" w:rsidRPr="00D475D5" w:rsidP="00D475D5">
            <w:pPr>
              <w:pStyle w:val="ListBullet2"/>
            </w:pPr>
            <w:r w:rsidRPr="00D475D5">
              <w:t>plann</w:t>
            </w:r>
            <w:r w:rsidRPr="00D475D5">
              <w:t>ing for events and milestones</w:t>
            </w:r>
          </w:p>
          <w:p w:rsidR="00000000" w:rsidRPr="00D475D5" w:rsidP="00D475D5">
            <w:pPr>
              <w:pStyle w:val="ListBullet2"/>
            </w:pPr>
            <w:r w:rsidRPr="00D475D5">
              <w:t>determining inputs</w:t>
            </w:r>
          </w:p>
          <w:p w:rsidR="00000000" w:rsidRPr="00D475D5" w:rsidP="00D475D5">
            <w:pPr>
              <w:pStyle w:val="ListBullet2"/>
            </w:pPr>
            <w:r w:rsidRPr="00D475D5">
              <w:t>producing outputs to a plan</w:t>
            </w:r>
          </w:p>
          <w:p w:rsidR="00000000" w:rsidRPr="00D475D5" w:rsidP="00D475D5">
            <w:pPr>
              <w:pStyle w:val="ListBullet"/>
            </w:pPr>
            <w:r w:rsidRPr="00D475D5">
              <w:t>planning theory and its processes</w:t>
            </w:r>
          </w:p>
          <w:p w:rsidR="00000000" w:rsidRPr="00D475D5" w:rsidP="00D475D5">
            <w:pPr>
              <w:pStyle w:val="ListBullet2"/>
            </w:pPr>
            <w:r w:rsidRPr="00D475D5">
              <w:t>the importance of planning</w:t>
            </w:r>
          </w:p>
          <w:p w:rsidR="00000000" w:rsidRPr="00D475D5" w:rsidP="00D475D5">
            <w:pPr>
              <w:pStyle w:val="ListBullet2"/>
            </w:pPr>
            <w:r w:rsidRPr="00D475D5">
              <w:t>the planning process</w:t>
            </w:r>
          </w:p>
          <w:p w:rsidR="00000000" w:rsidRPr="00D475D5" w:rsidP="00D475D5">
            <w:pPr>
              <w:pStyle w:val="ListBullet2"/>
            </w:pPr>
            <w:r w:rsidRPr="00D475D5">
              <w:t>organisational goals and objectives</w:t>
            </w:r>
          </w:p>
          <w:p w:rsidR="00000000" w:rsidRPr="00D475D5" w:rsidP="00D475D5">
            <w:pPr>
              <w:pStyle w:val="ListBullet2"/>
            </w:pPr>
            <w:r w:rsidRPr="00D475D5">
              <w:t>strategic planning</w:t>
            </w:r>
          </w:p>
          <w:p w:rsidR="00000000" w:rsidRPr="00D475D5" w:rsidP="00D475D5">
            <w:pPr>
              <w:pStyle w:val="ListBullet2"/>
            </w:pPr>
            <w:r w:rsidRPr="00D475D5">
              <w:t>operational planning</w:t>
            </w:r>
          </w:p>
          <w:p w:rsidR="00000000" w:rsidRPr="00D475D5" w:rsidP="00D475D5">
            <w:pPr>
              <w:pStyle w:val="ListBullet2"/>
            </w:pPr>
            <w:r w:rsidRPr="00D475D5">
              <w:t>forecasting</w:t>
            </w:r>
          </w:p>
          <w:p w:rsidR="00000000" w:rsidRPr="00D475D5" w:rsidP="00D475D5">
            <w:pPr>
              <w:pStyle w:val="ListBullet"/>
            </w:pPr>
            <w:r w:rsidRPr="00D475D5">
              <w:t>prioriti</w:t>
            </w:r>
            <w:r w:rsidRPr="00D475D5">
              <w:t>se techniques</w:t>
            </w:r>
          </w:p>
          <w:p w:rsidR="00000000" w:rsidRPr="00D475D5" w:rsidP="00D475D5">
            <w:pPr>
              <w:pStyle w:val="ListBullet2"/>
            </w:pPr>
            <w:r w:rsidRPr="00D475D5">
              <w:t>organising/prioritise work flows</w:t>
            </w:r>
          </w:p>
          <w:p w:rsidR="00000000" w:rsidRPr="00D475D5" w:rsidP="00D475D5">
            <w:pPr>
              <w:pStyle w:val="ListBullet2"/>
            </w:pPr>
            <w:r w:rsidRPr="00D475D5">
              <w:t>time management</w:t>
            </w:r>
          </w:p>
          <w:p w:rsidR="00000000" w:rsidRPr="00D475D5" w:rsidP="00D475D5">
            <w:pPr>
              <w:pStyle w:val="ListBullet2"/>
            </w:pPr>
            <w:r w:rsidRPr="00D475D5">
              <w:t>stress management</w:t>
            </w:r>
          </w:p>
          <w:p w:rsidR="00000000" w:rsidRPr="00D475D5" w:rsidP="00D475D5">
            <w:pPr>
              <w:pStyle w:val="ListBullet"/>
            </w:pPr>
            <w:r w:rsidRPr="00D475D5">
              <w:t>managing persons and resources including consultants</w:t>
            </w:r>
          </w:p>
          <w:p w:rsidR="00000000" w:rsidRPr="00D475D5" w:rsidP="00D475D5">
            <w:pPr>
              <w:pStyle w:val="ListBullet2"/>
            </w:pPr>
            <w:r w:rsidRPr="00D475D5">
              <w:t>understanding people</w:t>
            </w:r>
          </w:p>
          <w:p w:rsidR="00000000" w:rsidRPr="00D475D5" w:rsidP="00D475D5">
            <w:pPr>
              <w:pStyle w:val="ListBullet2"/>
            </w:pPr>
            <w:r w:rsidRPr="00D475D5">
              <w:t>understanding behaviour</w:t>
            </w:r>
          </w:p>
          <w:p w:rsidR="00000000" w:rsidRPr="00D475D5" w:rsidP="00D475D5">
            <w:pPr>
              <w:pStyle w:val="ListBullet2"/>
            </w:pPr>
            <w:r w:rsidRPr="00D475D5">
              <w:t>perceiving the causes of behaviour</w:t>
            </w:r>
          </w:p>
          <w:p w:rsidR="00000000" w:rsidRPr="00D475D5" w:rsidP="00D475D5">
            <w:pPr>
              <w:pStyle w:val="ListBullet2"/>
            </w:pPr>
            <w:r w:rsidRPr="00D475D5">
              <w:t>defining leadership</w:t>
            </w:r>
          </w:p>
          <w:p w:rsidR="00000000" w:rsidRPr="00D475D5" w:rsidP="00D475D5">
            <w:pPr>
              <w:pStyle w:val="ListBullet"/>
            </w:pPr>
            <w:r w:rsidRPr="00D475D5">
              <w:t>manage meetings</w:t>
            </w:r>
          </w:p>
          <w:p w:rsidR="00000000" w:rsidRPr="00D475D5" w:rsidP="00D475D5">
            <w:pPr>
              <w:pStyle w:val="ListBullet2"/>
            </w:pPr>
            <w:r w:rsidRPr="00D475D5">
              <w:t>understanding organisational communication</w:t>
            </w:r>
          </w:p>
          <w:p w:rsidR="00000000" w:rsidRPr="00D475D5" w:rsidP="00D475D5">
            <w:pPr>
              <w:pStyle w:val="ListBullet2"/>
            </w:pPr>
            <w:r w:rsidRPr="00D475D5">
              <w:t>formal and informal organisational communication</w:t>
            </w:r>
          </w:p>
          <w:p w:rsidR="00000000" w:rsidRPr="00D475D5" w:rsidP="00D475D5">
            <w:pPr>
              <w:pStyle w:val="ListBullet2"/>
            </w:pPr>
            <w:r w:rsidRPr="00D475D5">
              <w:t>managing meetings and recording minutes</w:t>
            </w:r>
          </w:p>
          <w:p w:rsidR="00000000" w:rsidRPr="00D475D5" w:rsidP="00D475D5">
            <w:pPr>
              <w:pStyle w:val="ListBullet2"/>
            </w:pPr>
            <w:r w:rsidRPr="00D475D5">
              <w:t>drafting minutes</w:t>
            </w:r>
          </w:p>
          <w:p w:rsidR="00000000" w:rsidRPr="00D475D5" w:rsidP="00D475D5">
            <w:pPr>
              <w:pStyle w:val="ListBullet"/>
            </w:pPr>
            <w:r w:rsidRPr="00D475D5">
              <w:t>prepare reports</w:t>
            </w:r>
          </w:p>
          <w:p w:rsidR="00000000" w:rsidRPr="00D475D5" w:rsidP="00D475D5">
            <w:pPr>
              <w:pStyle w:val="ListBullet2"/>
            </w:pPr>
            <w:r w:rsidRPr="00D475D5">
              <w:t>planning the writing process</w:t>
            </w:r>
          </w:p>
          <w:p w:rsidR="00000000" w:rsidRPr="00D475D5" w:rsidP="00D475D5">
            <w:pPr>
              <w:pStyle w:val="ListBullet2"/>
            </w:pPr>
            <w:r w:rsidRPr="00D475D5">
              <w:t>developing the scope and outline of a document/report</w:t>
            </w:r>
          </w:p>
          <w:p w:rsidR="00000000" w:rsidRPr="00D475D5" w:rsidP="00D475D5">
            <w:pPr>
              <w:pStyle w:val="ListBullet2"/>
            </w:pPr>
            <w:r w:rsidRPr="00D475D5">
              <w:t>draftin</w:t>
            </w:r>
            <w:r w:rsidRPr="00D475D5">
              <w:t>g documents/reports utilising a plan and outline</w:t>
            </w:r>
          </w:p>
          <w:p w:rsidR="00000000" w:rsidRPr="00D475D5" w:rsidP="00D475D5">
            <w:pPr>
              <w:pStyle w:val="ListBullet2"/>
            </w:pPr>
            <w:r w:rsidRPr="00D475D5">
              <w:t xml:space="preserve">finalising documents/reports </w:t>
            </w:r>
          </w:p>
          <w:p w:rsidR="00000000" w:rsidRPr="00D475D5" w:rsidP="00D475D5">
            <w:pPr>
              <w:pStyle w:val="ListBullet"/>
            </w:pPr>
            <w:r w:rsidRPr="00D475D5">
              <w:t>facilitate contracts and employment</w:t>
            </w:r>
          </w:p>
          <w:p w:rsidR="00000000" w:rsidRPr="00D475D5" w:rsidP="00D475D5">
            <w:pPr>
              <w:pStyle w:val="ListBullet2"/>
            </w:pPr>
            <w:r w:rsidRPr="00D475D5">
              <w:t>parliament, government and the law</w:t>
            </w:r>
          </w:p>
          <w:p w:rsidR="00000000" w:rsidRPr="00D475D5" w:rsidP="00D475D5">
            <w:pPr>
              <w:pStyle w:val="ListBullet2"/>
            </w:pPr>
            <w:r w:rsidRPr="00D475D5">
              <w:t>statute law</w:t>
            </w:r>
          </w:p>
          <w:p w:rsidR="00000000" w:rsidRPr="00D475D5" w:rsidP="00D475D5">
            <w:pPr>
              <w:pStyle w:val="ListBullet2"/>
            </w:pPr>
            <w:r w:rsidRPr="00D475D5">
              <w:t>common law</w:t>
            </w:r>
          </w:p>
          <w:p w:rsidR="00000000" w:rsidRPr="00D475D5" w:rsidP="00D475D5">
            <w:pPr>
              <w:pStyle w:val="ListBullet2"/>
            </w:pPr>
            <w:r w:rsidRPr="00D475D5">
              <w:t>contracts and contract law</w:t>
            </w:r>
          </w:p>
          <w:p w:rsidR="00000000" w:rsidRPr="00D475D5" w:rsidP="00D475D5">
            <w:pPr>
              <w:pStyle w:val="ListBullet2"/>
            </w:pPr>
            <w:r w:rsidRPr="00D475D5">
              <w:t>employment law</w:t>
            </w:r>
          </w:p>
          <w:p w:rsidR="00000000" w:rsidRPr="00D475D5" w:rsidP="00D475D5">
            <w:pPr>
              <w:pStyle w:val="ListBullet"/>
            </w:pPr>
            <w:r w:rsidRPr="00D475D5">
              <w:t xml:space="preserve">understanding of sound </w:t>
            </w:r>
            <w:r w:rsidRPr="00D475D5">
              <w:t>business principles and performance measures</w:t>
            </w:r>
          </w:p>
          <w:p w:rsidR="00000000" w:rsidRPr="00D475D5" w:rsidP="00D475D5">
            <w:pPr>
              <w:pStyle w:val="ListBullet2"/>
            </w:pPr>
            <w:r w:rsidRPr="00D475D5">
              <w:t xml:space="preserve">understanding organisational behaviour </w:t>
            </w:r>
          </w:p>
          <w:p w:rsidR="00000000" w:rsidRPr="00D475D5" w:rsidP="00D475D5">
            <w:pPr>
              <w:pStyle w:val="ListBullet2"/>
            </w:pPr>
            <w:r w:rsidRPr="00D475D5">
              <w:t>business fundamentals</w:t>
            </w:r>
          </w:p>
          <w:p w:rsidR="00000000" w:rsidRPr="00D475D5" w:rsidP="00D475D5">
            <w:pPr>
              <w:pStyle w:val="ListBullet2"/>
            </w:pPr>
            <w:r w:rsidRPr="00D475D5">
              <w:t>establishing the principles of performance management</w:t>
            </w:r>
          </w:p>
          <w:p w:rsidR="00000000" w:rsidRPr="00D475D5" w:rsidP="00D475D5">
            <w:pPr>
              <w:pStyle w:val="ListBullet2"/>
            </w:pPr>
            <w:r w:rsidRPr="00D475D5">
              <w:t>establishing performance measures</w:t>
            </w:r>
          </w:p>
          <w:p w:rsidR="00000000" w:rsidRPr="00D475D5" w:rsidP="00D475D5">
            <w:pPr>
              <w:pStyle w:val="ListBullet"/>
            </w:pPr>
            <w:r w:rsidRPr="00D475D5">
              <w:t>understanding of competition policy, budgets and product pri</w:t>
            </w:r>
            <w:r w:rsidRPr="00D475D5">
              <w:t>cing and tariffs</w:t>
            </w:r>
          </w:p>
          <w:p w:rsidR="00000000" w:rsidRPr="00D475D5" w:rsidP="00D475D5">
            <w:pPr>
              <w:pStyle w:val="ListBullet2"/>
            </w:pPr>
            <w:r w:rsidRPr="00D475D5">
              <w:t>understanding of government business relations in the Gas Industry</w:t>
            </w:r>
          </w:p>
          <w:p w:rsidR="00000000" w:rsidRPr="00D475D5" w:rsidP="00D475D5">
            <w:pPr>
              <w:pStyle w:val="ListBullet2"/>
            </w:pPr>
            <w:r w:rsidRPr="00D475D5">
              <w:t>how tariffs are determined</w:t>
            </w:r>
          </w:p>
          <w:p w:rsidR="00000000" w:rsidRPr="00D475D5" w:rsidP="00D475D5">
            <w:pPr>
              <w:pStyle w:val="ListBullet2"/>
            </w:pPr>
            <w:r w:rsidRPr="00D475D5">
              <w:t>working within legislative guidelines in tariffs and pricing.</w:t>
            </w:r>
          </w:p>
        </w:tc>
      </w:tr>
    </w:tbl>
    <w:p w:rsidR="001542CE" w:rsidP="00D475D5">
      <w:pPr>
        <w:pStyle w:val="BodyText"/>
      </w:pPr>
    </w:p>
    <w:p w:rsidR="001542CE" w:rsidP="00D475D5">
      <w:pPr>
        <w:pStyle w:val="BodyText"/>
      </w:pPr>
    </w:p>
    <w:p w:rsidR="00000000" w:rsidRPr="00D475D5" w:rsidP="00D475D5">
      <w:pPr>
        <w:pStyle w:val="Heading1"/>
      </w:pPr>
      <w:bookmarkStart w:id="10" w:name="O_400776"/>
      <w:bookmarkEnd w:id="10"/>
      <w:r w:rsidRPr="00D475D5">
        <w:t>Evidence Guide</w:t>
      </w:r>
    </w:p>
    <w:tbl>
      <w:tblPr>
        <w:tblW w:w="0" w:type="auto"/>
        <w:tblLayout w:type="fixed"/>
        <w:tblCellMar>
          <w:left w:w="62" w:type="dxa"/>
          <w:right w:w="62" w:type="dxa"/>
        </w:tblCellMar>
        <w:tblLook w:val="0000"/>
      </w:tblPr>
      <w:tblGrid>
        <w:gridCol w:w="8460"/>
      </w:tblGrid>
      <w:tr w:rsidTr="001542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EVIDENCE GUIDE</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9)</w:t>
            </w:r>
            <w:r w:rsidRPr="00D475D5">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D475D5" w:rsidP="00D475D5">
      <w:pPr>
        <w:pStyle w:val="BodyText"/>
      </w:pPr>
    </w:p>
    <w:tbl>
      <w:tblPr>
        <w:tblW w:w="0" w:type="auto"/>
        <w:tblLayout w:type="fixed"/>
        <w:tblCellMar>
          <w:left w:w="62" w:type="dxa"/>
          <w:right w:w="62" w:type="dxa"/>
        </w:tblCellMar>
        <w:tblLook w:val="0000"/>
      </w:tblPr>
      <w:tblGrid>
        <w:gridCol w:w="1890"/>
        <w:gridCol w:w="6570"/>
      </w:tblGrid>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9.1)</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Longitudinal competency development approaches to assessment, such as Profiling, require data to be reliably gathered in a form that can be consistently interpreted over time. This approach is best utilised in Apprenticeship programs and reduces assessment</w:t>
            </w:r>
            <w:r w:rsidRPr="00D475D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475D5">
              <w:t>tency in a realistically simulated work environment. It is recognised that, in some circumstances, assessment in part or full can occur outside the workplace. However, it must be in accord with industry and regulatory policy in this regard.</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Methods chose</w:t>
            </w:r>
            <w:r w:rsidRPr="00D475D5">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D475D5">
              <w:t>required and the critical nature of the competencies being assessed.</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The critical safety nature of working with electricity, electrical equipment, gas or any other hazardous substance/material carries risk in deeming a person competent. Hence, sources of</w:t>
            </w:r>
            <w:r w:rsidRPr="00D475D5">
              <w:t xml:space="preserve"> evidence need to be ‘rich’ in nature so as to minimise error in judgment.</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Activities associated with normal every day work have a bearing on the decision as to how much and how detailed the data gathered will contribute to its ‘richness’. Some skills ar</w:t>
            </w:r>
            <w:r w:rsidRPr="00D475D5">
              <w:t>e more critical to safety and operational requirements while the same skills may be more or less frequently practised. These points are raised for the assessors to consider when choosing an assessment method and developing assessment instruments. Sample as</w:t>
            </w:r>
            <w:r w:rsidRPr="00D475D5">
              <w:t>sessment instruments are included in the Assessment Guidelines of this Training Package.</w:t>
            </w:r>
          </w:p>
        </w:tc>
      </w:tr>
    </w:tbl>
    <w:p w:rsidR="00000000" w:rsidRPr="00D475D5" w:rsidP="00D475D5">
      <w:pPr>
        <w:pStyle w:val="BodyText"/>
      </w:pPr>
    </w:p>
    <w:tbl>
      <w:tblPr>
        <w:tblW w:w="0" w:type="auto"/>
        <w:tblLayout w:type="fixed"/>
        <w:tblCellMar>
          <w:left w:w="62" w:type="dxa"/>
          <w:right w:w="62" w:type="dxa"/>
        </w:tblCellMar>
        <w:tblLook w:val="0000"/>
      </w:tblPr>
      <w:tblGrid>
        <w:gridCol w:w="1890"/>
        <w:gridCol w:w="6570"/>
      </w:tblGrid>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9.2)</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Before the critical aspects of evidence are considered all prerequisites shall be</w:t>
            </w:r>
            <w:r w:rsidRPr="00D475D5">
              <w:t xml:space="preserve"> met.</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Evidence for competence in this unit shall be considered holistically. Each element and associated Performance Criteria shall be demonstrated on at least two occasions in accordance with the ‘Assessment Guidelines — UEG11’</w:t>
            </w:r>
            <w:r w:rsidRPr="00D475D5">
              <w:t xml:space="preserve">. Evidence shall also comprise: </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
              <w:rPr>
                <w:lang w:val="en-NZ"/>
              </w:rPr>
            </w:pPr>
            <w:r w:rsidRPr="00D475D5">
              <w:t>A representative body of Performance Criteria demonstrated within the timeframes typically expected of the discipline, work function and industrial environment. In particular this shall incorporate evidence that shows a c</w:t>
            </w:r>
            <w:r w:rsidRPr="00D475D5">
              <w:t>andidate is able to:</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2"/>
              <w:rPr>
                <w:lang w:val="en-NZ"/>
              </w:rPr>
            </w:pPr>
            <w:r w:rsidRPr="00D475D5">
              <w:t>Implement Occupational Health and Safety workplace procedures and practices including the use of risk control measures as specified in the Performance Criteria and range</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2"/>
              <w:rPr>
                <w:lang w:val="en-NZ"/>
              </w:rPr>
            </w:pPr>
            <w:r w:rsidRPr="00D475D5">
              <w:t>Apply sustainable energy principles and practices as specif</w:t>
            </w:r>
            <w:r w:rsidRPr="00D475D5">
              <w:t>ied in the Performance Criteria and range</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2"/>
              <w:rPr>
                <w:lang w:val="en-NZ"/>
              </w:rPr>
            </w:pPr>
            <w:r w:rsidRPr="00D475D5">
              <w:t>Demonstrate an understanding of the essential knowledge and associated skills as described in this unit to such an extent that the learner’</w:t>
            </w:r>
            <w:r w:rsidRPr="00D475D5">
              <w:t>s performance outcome is reported in accordance with the preferred approach; namely a percentile graded result, where required by the regulated environment</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2"/>
              <w:rPr>
                <w:lang w:val="en-NZ"/>
              </w:rPr>
            </w:pPr>
            <w:r w:rsidRPr="00D475D5">
              <w:t>Demonstrate an appropriate level of employability skills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2"/>
              <w:rPr>
                <w:lang w:val="en-NZ"/>
              </w:rPr>
            </w:pPr>
            <w:r w:rsidRPr="00D475D5">
              <w:t>Conduct work observing the relevant A</w:t>
            </w:r>
            <w:r w:rsidRPr="00D475D5">
              <w:t>nti discrimination legislation, regulations, polices and workplace procedures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D475D5" w:rsidP="00D475D5">
            <w:pPr>
              <w:pStyle w:val="ListBullet"/>
            </w:pPr>
            <w:r w:rsidRPr="00D475D5">
              <w:t>Demonstrate performance across a representative range of contexts from the prescribed items below:</w:t>
            </w:r>
          </w:p>
        </w:tc>
      </w:tr>
    </w:tbl>
    <w:p w:rsidR="00000000" w:rsidRPr="00D475D5" w:rsidP="00D475D5">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1542CE">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475D5">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rPr>
                <w:rStyle w:val="SpecialBold"/>
              </w:rPr>
              <w:t>Range of tools/equipment/procedures/workplace</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475D5">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rPr>
                <w:rStyle w:val="SpecialBold"/>
              </w:rPr>
              <w:t>Item List</w:t>
            </w:r>
          </w:p>
        </w:tc>
      </w:tr>
      <w:tr w:rsidTr="001542CE">
        <w:tblPrEx>
          <w:tblW w:w="0" w:type="auto"/>
          <w:tblLayout w:type="fixed"/>
          <w:tblCellMar>
            <w:left w:w="62" w:type="dxa"/>
            <w:right w:w="62" w:type="dxa"/>
          </w:tblCellMar>
          <w:tblLook w:val="0000"/>
        </w:tblPrEx>
        <w:trPr>
          <w:trHeight w:val="259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t>Gas systems:</w:t>
            </w:r>
          </w:p>
          <w:p w:rsidR="00000000" w:rsidRPr="00D475D5" w:rsidP="00D475D5">
            <w:pPr>
              <w:pStyle w:val="BodyText"/>
            </w:pPr>
            <w:r w:rsidRPr="00D475D5">
              <w:t>Transmission and distribution pipelines</w:t>
            </w:r>
          </w:p>
          <w:p w:rsidR="00000000" w:rsidRPr="00D475D5" w:rsidP="00D475D5">
            <w:pPr>
              <w:pStyle w:val="BodyText"/>
            </w:pPr>
            <w:r w:rsidRPr="00D475D5">
              <w:t>Storage facilities</w:t>
            </w:r>
          </w:p>
          <w:p w:rsidR="00000000" w:rsidRPr="00D475D5" w:rsidP="00D475D5">
            <w:pPr>
              <w:pStyle w:val="BodyText"/>
            </w:pPr>
            <w:r w:rsidRPr="00D475D5">
              <w:t>Underground storage</w:t>
            </w:r>
          </w:p>
          <w:p w:rsidR="00000000" w:rsidRPr="00D475D5" w:rsidP="00D475D5">
            <w:pPr>
              <w:pStyle w:val="BodyText"/>
            </w:pPr>
            <w:r w:rsidRPr="00D475D5">
              <w:t>LPG installations</w:t>
            </w:r>
          </w:p>
          <w:p w:rsidR="00000000" w:rsidP="00D475D5">
            <w:pPr>
              <w:pStyle w:val="BodyText"/>
              <w:rPr>
                <w:lang w:val="en-NZ"/>
              </w:rPr>
            </w:pPr>
            <w:r w:rsidRPr="00D475D5">
              <w:t>Tanker and storage facilities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t>Gas characteristics:</w:t>
            </w:r>
          </w:p>
          <w:p w:rsidR="00000000" w:rsidRPr="00D475D5" w:rsidP="00D475D5">
            <w:pPr>
              <w:pStyle w:val="BodyText"/>
            </w:pPr>
            <w:r w:rsidRPr="00D475D5">
              <w:t>Temperature</w:t>
            </w:r>
          </w:p>
          <w:p w:rsidR="00000000" w:rsidRPr="00D475D5" w:rsidP="00D475D5">
            <w:pPr>
              <w:pStyle w:val="BodyText"/>
            </w:pPr>
            <w:r w:rsidRPr="00D475D5">
              <w:t>Chemical composition</w:t>
            </w:r>
          </w:p>
          <w:p w:rsidR="00000000" w:rsidRPr="00D475D5" w:rsidP="00D475D5">
            <w:pPr>
              <w:pStyle w:val="BodyText"/>
            </w:pPr>
            <w:r w:rsidRPr="00D475D5">
              <w:t>Pressures and pressure reduction</w:t>
            </w:r>
          </w:p>
          <w:p w:rsidR="00000000" w:rsidRPr="00D475D5" w:rsidP="00D475D5">
            <w:pPr>
              <w:pStyle w:val="BodyText"/>
            </w:pPr>
            <w:r w:rsidRPr="00D475D5">
              <w:t>Reserve quantities</w:t>
            </w:r>
          </w:p>
          <w:p w:rsidR="00000000" w:rsidP="00D475D5">
            <w:pPr>
              <w:pStyle w:val="BodyText"/>
              <w:rPr>
                <w:lang w:val="en-NZ"/>
              </w:rPr>
            </w:pPr>
            <w:r w:rsidRPr="00D475D5">
              <w:t>LPG evaporation rates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t>Relevant resources:</w:t>
            </w:r>
          </w:p>
          <w:p w:rsidR="00000000" w:rsidRPr="00D475D5" w:rsidP="00D475D5">
            <w:pPr>
              <w:pStyle w:val="BodyText"/>
            </w:pPr>
            <w:r w:rsidRPr="00D475D5">
              <w:t>Relevant personnel</w:t>
            </w:r>
          </w:p>
          <w:p w:rsidR="00000000" w:rsidRPr="00D475D5" w:rsidP="00D475D5">
            <w:pPr>
              <w:pStyle w:val="BodyText"/>
            </w:pPr>
            <w:r w:rsidRPr="00D475D5">
              <w:t>Materials and equipment</w:t>
            </w:r>
          </w:p>
          <w:p w:rsidR="00000000" w:rsidRPr="00D475D5" w:rsidP="00D475D5">
            <w:pPr>
              <w:pStyle w:val="BodyText"/>
            </w:pPr>
            <w:r w:rsidRPr="00D475D5">
              <w:t>Personal protective equipment</w:t>
            </w:r>
          </w:p>
          <w:p w:rsidR="00000000" w:rsidRPr="00D475D5" w:rsidP="00D475D5">
            <w:pPr>
              <w:pStyle w:val="BodyText"/>
            </w:pPr>
            <w:r w:rsidRPr="00D475D5">
              <w:t>Company standard operating procedures</w:t>
            </w:r>
          </w:p>
          <w:p w:rsidR="00000000" w:rsidRPr="00D475D5" w:rsidP="00D475D5">
            <w:pPr>
              <w:pStyle w:val="BodyText"/>
            </w:pPr>
            <w:r w:rsidRPr="00D475D5">
              <w:t>Equipment manuals</w:t>
            </w:r>
          </w:p>
          <w:p w:rsidR="00000000" w:rsidP="00D475D5">
            <w:pPr>
              <w:pStyle w:val="BodyText"/>
              <w:rPr>
                <w:lang w:val="en-NZ"/>
              </w:rPr>
            </w:pPr>
            <w:r w:rsidRPr="00D475D5">
              <w:t>Training resources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t>Legislative requirements:</w:t>
            </w:r>
          </w:p>
          <w:p w:rsidR="00000000" w:rsidRPr="00D475D5" w:rsidP="00D475D5">
            <w:pPr>
              <w:pStyle w:val="BodyText"/>
            </w:pPr>
            <w:r w:rsidRPr="00D475D5">
              <w:t>Occupational Health and Safety, government acts and regulations</w:t>
            </w:r>
          </w:p>
          <w:p w:rsidR="00000000" w:rsidRPr="00D475D5" w:rsidP="00D475D5">
            <w:pPr>
              <w:pStyle w:val="BodyText"/>
            </w:pPr>
            <w:r w:rsidRPr="00D475D5">
              <w:t>Australian standards and codes of practice</w:t>
            </w:r>
          </w:p>
          <w:p w:rsidR="00000000" w:rsidP="00D475D5">
            <w:pPr>
              <w:pStyle w:val="BodyText"/>
              <w:rPr>
                <w:lang w:val="en-NZ"/>
              </w:rPr>
            </w:pPr>
            <w:r w:rsidRPr="00D475D5">
              <w:t xml:space="preserve">Environmental legislative requirements </w:t>
            </w:r>
          </w:p>
        </w:tc>
      </w:tr>
      <w:tr w:rsidTr="001542CE">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t>Relevant requirements:</w:t>
            </w:r>
          </w:p>
          <w:p w:rsidR="00000000" w:rsidRPr="00D475D5" w:rsidP="00D475D5">
            <w:pPr>
              <w:pStyle w:val="BodyText"/>
            </w:pPr>
            <w:r w:rsidRPr="00D475D5">
              <w:t xml:space="preserve">Government authorities </w:t>
            </w:r>
          </w:p>
          <w:p w:rsidR="00000000" w:rsidRPr="00D475D5" w:rsidP="00D475D5">
            <w:pPr>
              <w:pStyle w:val="BodyText"/>
            </w:pPr>
            <w:r w:rsidRPr="00D475D5">
              <w:t>Landowners/Traditional land owners</w:t>
            </w:r>
          </w:p>
          <w:p w:rsidR="00000000" w:rsidRPr="00D475D5" w:rsidP="00D475D5">
            <w:pPr>
              <w:pStyle w:val="BodyText"/>
            </w:pPr>
            <w:r w:rsidRPr="00D475D5">
              <w:t>Stakeholders</w:t>
            </w:r>
          </w:p>
          <w:p w:rsidR="00000000" w:rsidRPr="00D475D5" w:rsidP="00D475D5">
            <w:pPr>
              <w:pStyle w:val="BodyText"/>
            </w:pPr>
            <w:r w:rsidRPr="00D475D5">
              <w:t>Local councils</w:t>
            </w:r>
          </w:p>
          <w:p w:rsidR="00000000" w:rsidRPr="00D475D5" w:rsidP="00D475D5">
            <w:pPr>
              <w:pStyle w:val="BodyText"/>
            </w:pPr>
            <w:r w:rsidRPr="00D475D5">
              <w:t>Fire authorities</w:t>
            </w:r>
          </w:p>
          <w:p w:rsidR="00000000" w:rsidRPr="00D475D5" w:rsidP="00D475D5">
            <w:pPr>
              <w:pStyle w:val="BodyText"/>
            </w:pPr>
            <w:r w:rsidRPr="00D475D5">
              <w:t>Other utilities</w:t>
            </w:r>
          </w:p>
          <w:p w:rsidR="00000000" w:rsidP="00D475D5">
            <w:pPr>
              <w:pStyle w:val="BodyText"/>
              <w:rPr>
                <w:lang w:val="en-NZ"/>
              </w:rPr>
            </w:pPr>
            <w:r w:rsidRPr="00D475D5">
              <w:t>Statutory authorities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t>Relevant documentation:</w:t>
            </w:r>
          </w:p>
          <w:p w:rsidR="00000000" w:rsidRPr="00D475D5" w:rsidP="00D475D5">
            <w:pPr>
              <w:pStyle w:val="BodyText"/>
            </w:pPr>
            <w:r w:rsidRPr="00D475D5">
              <w:t>Contracts</w:t>
            </w:r>
          </w:p>
          <w:p w:rsidR="00000000" w:rsidRPr="00D475D5" w:rsidP="00D475D5">
            <w:pPr>
              <w:pStyle w:val="BodyText"/>
            </w:pPr>
            <w:r w:rsidRPr="00D475D5">
              <w:t>Specifications</w:t>
            </w:r>
          </w:p>
          <w:p w:rsidR="00000000" w:rsidRPr="00D475D5" w:rsidP="00D475D5">
            <w:pPr>
              <w:pStyle w:val="BodyText"/>
            </w:pPr>
            <w:r w:rsidRPr="00D475D5">
              <w:t>Drawings/plans</w:t>
            </w:r>
          </w:p>
          <w:p w:rsidR="00000000" w:rsidRPr="00D475D5" w:rsidP="00D475D5">
            <w:pPr>
              <w:pStyle w:val="BodyText"/>
            </w:pPr>
            <w:r w:rsidRPr="00D475D5">
              <w:t>Manufacturer's specifications</w:t>
            </w:r>
          </w:p>
          <w:p w:rsidR="00000000" w:rsidRPr="00D475D5" w:rsidP="00D475D5">
            <w:pPr>
              <w:pStyle w:val="BodyText"/>
            </w:pPr>
            <w:r w:rsidRPr="00D475D5">
              <w:t>Work permits</w:t>
            </w:r>
          </w:p>
          <w:p w:rsidR="00000000" w:rsidRPr="00D475D5" w:rsidP="00D475D5">
            <w:pPr>
              <w:pStyle w:val="BodyText"/>
            </w:pPr>
            <w:r w:rsidRPr="00D475D5">
              <w:t>Company standard operation and safety procedures</w:t>
            </w:r>
          </w:p>
          <w:p w:rsidR="00000000" w:rsidRPr="00D475D5" w:rsidP="00D475D5">
            <w:pPr>
              <w:pStyle w:val="BodyText"/>
            </w:pPr>
            <w:r w:rsidRPr="00D475D5">
              <w:t>Company management plans and policies</w:t>
            </w:r>
          </w:p>
          <w:p w:rsidR="00000000" w:rsidRPr="00D475D5" w:rsidP="00D475D5">
            <w:pPr>
              <w:pStyle w:val="BodyText"/>
            </w:pPr>
            <w:r w:rsidRPr="00D475D5">
              <w:t>Company forms and files</w:t>
            </w:r>
          </w:p>
          <w:p w:rsidR="00000000" w:rsidP="00D475D5">
            <w:pPr>
              <w:pStyle w:val="BodyText"/>
              <w:rPr>
                <w:lang w:val="en-NZ"/>
              </w:rPr>
            </w:pPr>
            <w:r w:rsidRPr="00D475D5">
              <w:t>Laws and codes of practice</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t>Interpret Gas Industry drawings</w:t>
            </w:r>
          </w:p>
          <w:p w:rsidR="00000000" w:rsidRPr="00D475D5" w:rsidP="00D475D5">
            <w:pPr>
              <w:pStyle w:val="BodyText"/>
            </w:pPr>
            <w:r w:rsidRPr="00D475D5">
              <w:t xml:space="preserve">Understand the commission/decommission pipelines and cathodic protection principles </w:t>
            </w:r>
          </w:p>
          <w:p w:rsidR="00000000" w:rsidRPr="00D475D5" w:rsidP="00D475D5">
            <w:pPr>
              <w:pStyle w:val="BodyText"/>
            </w:pPr>
            <w:r w:rsidRPr="00D475D5">
              <w:t>Communicate to Gas Industry supervisors</w:t>
            </w:r>
          </w:p>
          <w:p w:rsidR="00000000" w:rsidRPr="00D475D5" w:rsidP="00D475D5">
            <w:pPr>
              <w:pStyle w:val="BodyText"/>
            </w:pPr>
            <w:r w:rsidRPr="00D475D5">
              <w:t>Understand pressure and temperature control equipment</w:t>
            </w:r>
          </w:p>
          <w:p w:rsidR="00000000" w:rsidP="00D475D5">
            <w:pPr>
              <w:pStyle w:val="BodyText"/>
              <w:rPr>
                <w:lang w:val="en-NZ"/>
              </w:rPr>
            </w:pPr>
            <w:r w:rsidRPr="00D475D5">
              <w:t>Project manage</w:t>
            </w:r>
          </w:p>
        </w:tc>
      </w:tr>
      <w:tr w:rsidTr="001542CE">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5D5">
            <w:pPr>
              <w:pStyle w:val="BodyText"/>
              <w:rPr>
                <w:lang w:val="en-NZ"/>
              </w:rPr>
            </w:pPr>
            <w:r w:rsidRPr="00D475D5">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5D5" w:rsidP="00D475D5">
            <w:pPr>
              <w:pStyle w:val="BodyText"/>
            </w:pPr>
            <w:r w:rsidRPr="00D475D5">
              <w:t>Deal with an unplanned event by dra</w:t>
            </w:r>
            <w:r w:rsidRPr="00D475D5">
              <w:t xml:space="preserve">wing on essential knowledge and associated skills to provide appropriate solutions incorporated in the holistic assessment with the above listed items </w:t>
            </w:r>
          </w:p>
        </w:tc>
      </w:tr>
    </w:tbl>
    <w:p w:rsidR="00000000" w:rsidRPr="00D475D5" w:rsidP="00D475D5">
      <w:pPr>
        <w:pStyle w:val="BodyText"/>
      </w:pPr>
    </w:p>
    <w:tbl>
      <w:tblPr>
        <w:tblW w:w="0" w:type="auto"/>
        <w:tblLayout w:type="fixed"/>
        <w:tblCellMar>
          <w:left w:w="62" w:type="dxa"/>
          <w:right w:w="62" w:type="dxa"/>
        </w:tblCellMar>
        <w:tblLook w:val="0000"/>
      </w:tblPr>
      <w:tblGrid>
        <w:gridCol w:w="1890"/>
        <w:gridCol w:w="6570"/>
      </w:tblGrid>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9.3)</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This unit should be assessed as it relates to normal work practice using procedures, information and resources typical of a workplace. This should include:</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
              <w:rPr>
                <w:lang w:val="en-NZ"/>
              </w:rPr>
            </w:pPr>
            <w:r w:rsidRPr="00D475D5">
              <w:t>OHS policy and work procedures and instructions.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
              <w:rPr>
                <w:lang w:val="en-NZ"/>
              </w:rPr>
            </w:pPr>
            <w:r w:rsidRPr="00D475D5">
              <w:t>Suitable work environment, facilities, equipment and materials to undertake actual work as prescribed by this Unit.</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
              <w:rPr>
                <w:lang w:val="en-NZ"/>
              </w:rPr>
            </w:pPr>
            <w:r w:rsidRPr="00D475D5">
              <w:t>Appropriate environmental regulation and work practices.</w:t>
            </w:r>
          </w:p>
        </w:tc>
      </w:tr>
      <w:tr w:rsidTr="001542CE">
        <w:tblPrEx>
          <w:tblW w:w="0" w:type="auto"/>
          <w:tblLayout w:type="fixed"/>
          <w:tblCellMar>
            <w:left w:w="62" w:type="dxa"/>
            <w:right w:w="62" w:type="dxa"/>
          </w:tblCellMar>
          <w:tblLook w:val="0000"/>
        </w:tblPrEx>
        <w:trPr>
          <w:trHeight w:val="373"/>
        </w:trPr>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
              <w:rPr>
                <w:lang w:val="en-NZ"/>
              </w:rPr>
            </w:pPr>
            <w:r w:rsidRPr="00D475D5">
              <w:t>Appropriate organisational requirements.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ListBullet"/>
              <w:rPr>
                <w:lang w:val="en-NZ"/>
              </w:rPr>
            </w:pPr>
            <w:r w:rsidRPr="00D475D5">
              <w:t>Appropriate work environment, equipm</w:t>
            </w:r>
            <w:r w:rsidRPr="00D475D5">
              <w:t>ent and tools.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In addition to the resources listed above, in Context of and specific resources for assessment, evidence should show demonstrated competency in selecting and commissioning equipment to meet pressure and temperature control specifications.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 xml:space="preserve">Assessment of this competency must also be undertaken in either an actual workplace or under a simulated work environment. Assessment must also integrate the employability skills </w:t>
            </w:r>
          </w:p>
        </w:tc>
      </w:tr>
    </w:tbl>
    <w:p w:rsidR="00000000" w:rsidRPr="00D475D5" w:rsidP="00D475D5">
      <w:pPr>
        <w:pStyle w:val="BodyText"/>
      </w:pPr>
    </w:p>
    <w:tbl>
      <w:tblPr>
        <w:tblW w:w="0" w:type="auto"/>
        <w:tblLayout w:type="fixed"/>
        <w:tblCellMar>
          <w:left w:w="62" w:type="dxa"/>
          <w:right w:w="62" w:type="dxa"/>
        </w:tblCellMar>
        <w:tblLook w:val="0000"/>
      </w:tblPr>
      <w:tblGrid>
        <w:gridCol w:w="1890"/>
        <w:gridCol w:w="6570"/>
      </w:tblGrid>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9.4)</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This Unit shall be assessed by methods given</w:t>
            </w:r>
            <w:r w:rsidRPr="00D475D5">
              <w:t xml:space="preserve"> in Volume 1, Part 3 ‘Assessment Guidelines’.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Note: Competent performance with inherent safe working practices is expected in the Industry to which this Unit applies. This requires that the specified Essential Knowledge and Associated Skills are assessed</w:t>
            </w:r>
            <w:r w:rsidRPr="00D475D5">
              <w:t xml:space="preserve"> in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D475D5" w:rsidP="00D475D5">
      <w:pPr>
        <w:pStyle w:val="BodyText"/>
      </w:pPr>
    </w:p>
    <w:tbl>
      <w:tblPr>
        <w:tblW w:w="0" w:type="auto"/>
        <w:tblLayout w:type="fixed"/>
        <w:tblCellMar>
          <w:left w:w="62" w:type="dxa"/>
          <w:right w:w="62" w:type="dxa"/>
        </w:tblCellMar>
        <w:tblLook w:val="0000"/>
      </w:tblPr>
      <w:tblGrid>
        <w:gridCol w:w="1890"/>
        <w:gridCol w:w="1620"/>
        <w:gridCol w:w="4950"/>
      </w:tblGrid>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Concurr</w:t>
            </w:r>
            <w:r w:rsidRPr="00D475D5">
              <w:rPr>
                <w:rStyle w:val="SpecialBold"/>
              </w:rPr>
              <w:t>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9.5)</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 xml:space="preserve">There are no recommended concurrent assessments with this unit, however in some cases efficiencies may be gained in terms of learning and assessment </w:t>
            </w:r>
            <w:r w:rsidRPr="00D475D5">
              <w:t>effort being concurrently managed with allied Units where listed.</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UEGNSG117B</w:t>
            </w:r>
          </w:p>
        </w:tc>
        <w:tc>
          <w:tcPr>
            <w:tcW w:w="495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Plan and implement the data acquisition and metering requirements of a gas system</w:t>
            </w:r>
          </w:p>
        </w:tc>
      </w:tr>
      <w:tr w:rsidTr="001542CE">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UEGNSG119B</w:t>
            </w:r>
          </w:p>
        </w:tc>
        <w:tc>
          <w:tcPr>
            <w:tcW w:w="495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Manage workplace risk</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UEGNSG120B</w:t>
            </w:r>
          </w:p>
        </w:tc>
        <w:tc>
          <w:tcPr>
            <w:tcW w:w="495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Manage gas system environmental compliance</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U</w:t>
            </w:r>
            <w:r w:rsidRPr="00D475D5">
              <w:t>EGNSG121B</w:t>
            </w:r>
          </w:p>
        </w:tc>
        <w:tc>
          <w:tcPr>
            <w:tcW w:w="495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Prepare and design specifications for a gas system</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UEGNSG115B</w:t>
            </w:r>
          </w:p>
        </w:tc>
        <w:tc>
          <w:tcPr>
            <w:tcW w:w="495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Manage gas systems projects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UEGNSG122B</w:t>
            </w:r>
          </w:p>
        </w:tc>
        <w:tc>
          <w:tcPr>
            <w:tcW w:w="495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Manage a customer service gas business unit</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UEGNSG123B</w:t>
            </w:r>
          </w:p>
        </w:tc>
        <w:tc>
          <w:tcPr>
            <w:tcW w:w="495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Manage financial resources</w:t>
            </w:r>
          </w:p>
        </w:tc>
      </w:tr>
      <w:tr w:rsidTr="00154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UEGNSG116B</w:t>
            </w:r>
          </w:p>
        </w:tc>
        <w:tc>
          <w:tcPr>
            <w:tcW w:w="495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Manage physical resources</w:t>
            </w:r>
          </w:p>
        </w:tc>
      </w:tr>
    </w:tbl>
    <w:p w:rsidR="001542CE" w:rsidP="00D475D5">
      <w:pPr>
        <w:pStyle w:val="BodyText"/>
      </w:pPr>
    </w:p>
    <w:p w:rsidR="001542CE" w:rsidP="00D475D5">
      <w:pPr>
        <w:pStyle w:val="BodyText"/>
      </w:pPr>
    </w:p>
    <w:p w:rsidR="00000000" w:rsidRPr="00D475D5" w:rsidP="00D475D5">
      <w:pPr>
        <w:pStyle w:val="Heading1"/>
      </w:pPr>
      <w:bookmarkStart w:id="11" w:name="O_400790"/>
      <w:bookmarkEnd w:id="11"/>
      <w:r w:rsidRPr="00D475D5">
        <w:t>Range Statement</w:t>
      </w:r>
    </w:p>
    <w:tbl>
      <w:tblPr>
        <w:tblW w:w="0" w:type="auto"/>
        <w:tblLayout w:type="fixed"/>
        <w:tblCellMar>
          <w:left w:w="62" w:type="dxa"/>
          <w:right w:w="62" w:type="dxa"/>
        </w:tblCellMar>
        <w:tblLook w:val="0000"/>
      </w:tblPr>
      <w:tblGrid>
        <w:gridCol w:w="8460"/>
      </w:tblGrid>
      <w:tr w:rsidTr="001542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RANGE STATEMENT</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10)</w:t>
            </w:r>
            <w:r w:rsidRPr="00D475D5">
              <w:t xml:space="preserve"> This relates to the competency standard unit as a whole providing the range of contexts and </w:t>
            </w:r>
            <w:r w:rsidRPr="00D475D5">
              <w:t>conditions to which the Performance Criteria apply. It allows for different work environments and situations that will affect performance.</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This Unit shall be demonstrated in relation to selecting and commissioning equipment to meet pressure and temperatur</w:t>
            </w:r>
            <w:r w:rsidRPr="00D475D5">
              <w:t>e control specifications.</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The following constants and variables included in the element/Performance Criteria in this unit are fully described in the Definitions Section of this volume and form an integral part of the Range Statement of this unit:</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Gas Sys</w:t>
            </w:r>
            <w:r w:rsidRPr="00D475D5">
              <w:t>tems</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Gas Characteristics</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Relevant resources</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 xml:space="preserve">Legislative requirements </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t xml:space="preserve">Relevant authorities and other stakeholders </w:t>
            </w:r>
          </w:p>
        </w:tc>
      </w:tr>
      <w:tr w:rsidTr="00154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Relevant documentation (6)</w:t>
            </w:r>
          </w:p>
        </w:tc>
      </w:tr>
    </w:tbl>
    <w:p w:rsidR="00000000" w:rsidRPr="00D475D5" w:rsidP="00D475D5">
      <w:pPr>
        <w:pStyle w:val="BodyText"/>
      </w:pPr>
    </w:p>
    <w:p w:rsidR="00000000" w:rsidRPr="00D475D5" w:rsidP="00D475D5">
      <w:pPr>
        <w:pStyle w:val="AllowPageBreak"/>
      </w:pPr>
    </w:p>
    <w:p w:rsidR="00000000" w:rsidRPr="00D475D5" w:rsidP="00D475D5">
      <w:pPr>
        <w:pStyle w:val="Heading1"/>
      </w:pPr>
      <w:bookmarkStart w:id="12" w:name="O_400798"/>
      <w:bookmarkEnd w:id="12"/>
      <w:r w:rsidRPr="00D475D5">
        <w:t>Unit Sector(s)</w:t>
      </w:r>
    </w:p>
    <w:p w:rsidR="00000000" w:rsidRPr="00D475D5" w:rsidP="00D475D5">
      <w:pPr>
        <w:pStyle w:val="BodyText"/>
      </w:pPr>
      <w:r w:rsidRPr="00D475D5">
        <w:t>Not applicable.</w:t>
      </w:r>
    </w:p>
    <w:p w:rsidR="00000000" w:rsidRPr="00D475D5" w:rsidP="00D475D5">
      <w:pPr>
        <w:pStyle w:val="AllowPageBreak"/>
      </w:pPr>
    </w:p>
    <w:p w:rsidR="00000000" w:rsidRPr="00D475D5" w:rsidP="00D475D5">
      <w:pPr>
        <w:pStyle w:val="Heading1"/>
      </w:pPr>
      <w:bookmarkStart w:id="13" w:name="O_400772"/>
      <w:bookmarkEnd w:id="13"/>
      <w:r w:rsidRPr="00D475D5">
        <w:t>Competency Field</w:t>
      </w:r>
    </w:p>
    <w:tbl>
      <w:tblPr>
        <w:tblW w:w="0" w:type="auto"/>
        <w:tblLayout w:type="fixed"/>
        <w:tblCellMar>
          <w:left w:w="62" w:type="dxa"/>
          <w:right w:w="62" w:type="dxa"/>
        </w:tblCellMar>
        <w:tblLook w:val="0000"/>
      </w:tblPr>
      <w:tblGrid>
        <w:gridCol w:w="2700"/>
        <w:gridCol w:w="5760"/>
      </w:tblGrid>
      <w:tr w:rsidTr="001542CE">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475D5">
            <w:pPr>
              <w:pStyle w:val="BodyText"/>
              <w:rPr>
                <w:lang w:val="en-NZ"/>
              </w:rPr>
            </w:pPr>
            <w:r w:rsidRPr="00D475D5">
              <w:rPr>
                <w:rStyle w:val="SpecialBold"/>
              </w:rPr>
              <w:t xml:space="preserve">11) </w:t>
            </w:r>
          </w:p>
        </w:tc>
      </w:tr>
      <w:tr w:rsidTr="00154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475D5" w:rsidP="00D475D5">
            <w:pPr>
              <w:pStyle w:val="BodyText"/>
            </w:pPr>
            <w:r w:rsidRPr="00D475D5">
              <w:t>Cross discipline.</w:t>
            </w:r>
          </w:p>
        </w:tc>
      </w:tr>
    </w:tbl>
    <w:p w:rsidR="00000000" w:rsidRPr="00D475D5" w:rsidP="00D475D5">
      <w:pPr>
        <w:pStyle w:val="BodyText"/>
      </w:pPr>
    </w:p>
    <w:p w:rsidR="00000000" w:rsidRPr="00D475D5" w:rsidP="00D475D5"/>
    <w:sectPr w:rsidSect="00D475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2CE" w:rsidP="001542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2CE" w:rsidP="00D475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542CE" w:rsidP="00D475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542CE" w:rsidP="00D475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D5" w:rsidRPr="001542CE" w:rsidP="001542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2CE" w:rsidRPr="002D2AF8" w:rsidP="00D475D5">
    <w:pPr>
      <w:pStyle w:val="Header"/>
      <w:framePr w:wrap="around"/>
    </w:pPr>
    <w:r>
      <w:fldChar w:fldCharType="begin"/>
    </w:r>
    <w:r>
      <w:instrText xml:space="preserve"> TITLE   \* MERGEFORMAT </w:instrText>
    </w:r>
    <w:r>
      <w:fldChar w:fldCharType="separate"/>
    </w:r>
    <w:r>
      <w:t>UEGNSG118B Select and commission equipment to meet pressure and temperature control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542CE" w:rsidP="00D475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8A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7A0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F64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5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5D5"/>
    <w:pPr>
      <w:spacing w:before="360" w:after="60"/>
      <w:outlineLvl w:val="0"/>
    </w:pPr>
    <w:rPr>
      <w:sz w:val="32"/>
    </w:rPr>
  </w:style>
  <w:style w:type="paragraph" w:styleId="Heading2">
    <w:name w:val="heading 2"/>
    <w:basedOn w:val="HeadingBase"/>
    <w:next w:val="BodyText"/>
    <w:link w:val="Heading2Char"/>
    <w:qFormat/>
    <w:rsid w:val="00D475D5"/>
    <w:pPr>
      <w:keepLines/>
      <w:spacing w:before="240" w:after="120"/>
      <w:outlineLvl w:val="1"/>
    </w:pPr>
    <w:rPr>
      <w:sz w:val="28"/>
      <w:szCs w:val="40"/>
    </w:rPr>
  </w:style>
  <w:style w:type="paragraph" w:styleId="Heading3">
    <w:name w:val="heading 3"/>
    <w:basedOn w:val="HeadingBase"/>
    <w:next w:val="BodyText"/>
    <w:link w:val="Heading3Char"/>
    <w:qFormat/>
    <w:rsid w:val="00D475D5"/>
    <w:pPr>
      <w:spacing w:before="180" w:after="120"/>
      <w:outlineLvl w:val="2"/>
    </w:pPr>
    <w:rPr>
      <w:spacing w:val="-10"/>
      <w:kern w:val="32"/>
    </w:rPr>
  </w:style>
  <w:style w:type="paragraph" w:styleId="Heading4">
    <w:name w:val="heading 4"/>
    <w:basedOn w:val="HeadingBase"/>
    <w:next w:val="BodyText"/>
    <w:link w:val="Heading4Char"/>
    <w:qFormat/>
    <w:rsid w:val="00D475D5"/>
    <w:pPr>
      <w:spacing w:before="160" w:after="120"/>
      <w:outlineLvl w:val="3"/>
    </w:pPr>
    <w:rPr>
      <w:sz w:val="22"/>
    </w:rPr>
  </w:style>
  <w:style w:type="paragraph" w:styleId="Heading5">
    <w:name w:val="heading 5"/>
    <w:basedOn w:val="HeadingBase"/>
    <w:next w:val="Normal"/>
    <w:link w:val="Heading5Char"/>
    <w:qFormat/>
    <w:rsid w:val="00D475D5"/>
    <w:pPr>
      <w:spacing w:before="80"/>
      <w:outlineLvl w:val="4"/>
    </w:pPr>
    <w:rPr>
      <w:color w:val="918585"/>
      <w:sz w:val="20"/>
    </w:rPr>
  </w:style>
  <w:style w:type="paragraph" w:styleId="Heading6">
    <w:name w:val="heading 6"/>
    <w:basedOn w:val="HeadingBase"/>
    <w:next w:val="Normal"/>
    <w:link w:val="Heading6Char"/>
    <w:qFormat/>
    <w:rsid w:val="00D475D5"/>
    <w:pPr>
      <w:spacing w:before="60"/>
      <w:outlineLvl w:val="5"/>
    </w:pPr>
    <w:rPr>
      <w:color w:val="918585"/>
      <w:sz w:val="20"/>
    </w:rPr>
  </w:style>
  <w:style w:type="paragraph" w:styleId="Heading7">
    <w:name w:val="heading 7"/>
    <w:basedOn w:val="Normal"/>
    <w:next w:val="Normal"/>
    <w:link w:val="Heading7Char"/>
    <w:qFormat/>
    <w:rsid w:val="00D475D5"/>
    <w:pPr>
      <w:ind w:left="720"/>
      <w:outlineLvl w:val="6"/>
    </w:pPr>
    <w:rPr>
      <w:i/>
    </w:rPr>
  </w:style>
  <w:style w:type="paragraph" w:styleId="Heading8">
    <w:name w:val="heading 8"/>
    <w:basedOn w:val="Normal"/>
    <w:next w:val="Normal"/>
    <w:link w:val="Heading8Char"/>
    <w:qFormat/>
    <w:rsid w:val="00D475D5"/>
    <w:pPr>
      <w:ind w:left="720"/>
      <w:outlineLvl w:val="7"/>
    </w:pPr>
    <w:rPr>
      <w:i/>
    </w:rPr>
  </w:style>
  <w:style w:type="paragraph" w:styleId="Heading9">
    <w:name w:val="heading 9"/>
    <w:basedOn w:val="Normal"/>
    <w:next w:val="Normal"/>
    <w:link w:val="Heading9Char"/>
    <w:qFormat/>
    <w:rsid w:val="00D475D5"/>
    <w:pPr>
      <w:ind w:left="720"/>
      <w:outlineLvl w:val="8"/>
    </w:pPr>
    <w:rPr>
      <w:i/>
    </w:rPr>
  </w:style>
  <w:style w:type="character" w:default="1" w:styleId="DefaultParagraphFont">
    <w:name w:val="Default Paragraph Font"/>
    <w:uiPriority w:val="1"/>
    <w:unhideWhenUsed/>
    <w:rsid w:val="00D47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5D5"/>
  </w:style>
  <w:style w:type="character" w:customStyle="1" w:styleId="Heading1Char">
    <w:name w:val="Heading 1 Char"/>
    <w:basedOn w:val="DefaultParagraphFont"/>
    <w:link w:val="Heading1"/>
    <w:rsid w:val="00D475D5"/>
    <w:rPr>
      <w:rFonts w:ascii="Times New Roman" w:eastAsia="Times New Roman" w:hAnsi="Times New Roman" w:cs="Times New Roman"/>
      <w:b/>
      <w:sz w:val="32"/>
      <w:szCs w:val="20"/>
      <w:lang w:eastAsia="en-US"/>
    </w:rPr>
  </w:style>
  <w:style w:type="paragraph" w:styleId="BodyText">
    <w:name w:val="Body Text"/>
    <w:basedOn w:val="Normal"/>
    <w:link w:val="BodyTextChar"/>
    <w:rsid w:val="00D475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75D5"/>
    <w:rPr>
      <w:rFonts w:ascii="Times New Roman" w:eastAsia="Times New Roman" w:hAnsi="Times New Roman" w:cs="Times New Roman"/>
      <w:sz w:val="24"/>
      <w:lang w:eastAsia="en-US"/>
    </w:rPr>
  </w:style>
  <w:style w:type="paragraph" w:styleId="Footer">
    <w:name w:val="footer"/>
    <w:basedOn w:val="Normal"/>
    <w:link w:val="FooterChar"/>
    <w:rsid w:val="00D47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5D5"/>
    <w:rPr>
      <w:rFonts w:ascii="Times New Roman" w:eastAsia="Times New Roman" w:hAnsi="Times New Roman" w:cs="Times New Roman"/>
      <w:sz w:val="16"/>
      <w:lang w:eastAsia="en-US"/>
    </w:rPr>
  </w:style>
  <w:style w:type="paragraph" w:styleId="ListBullet">
    <w:name w:val="List Bullet"/>
    <w:basedOn w:val="List"/>
    <w:rsid w:val="00D475D5"/>
    <w:pPr>
      <w:numPr>
        <w:numId w:val="14"/>
      </w:numPr>
      <w:tabs>
        <w:tab w:val="clear" w:pos="340"/>
      </w:tabs>
      <w:spacing w:before="40" w:after="40"/>
    </w:pPr>
  </w:style>
  <w:style w:type="character" w:customStyle="1" w:styleId="SpecialBold">
    <w:name w:val="Special Bold"/>
    <w:basedOn w:val="DefaultParagraphFont"/>
    <w:rsid w:val="00D475D5"/>
    <w:rPr>
      <w:b/>
      <w:spacing w:val="0"/>
    </w:rPr>
  </w:style>
  <w:style w:type="paragraph" w:styleId="ListBullet2">
    <w:name w:val="List Bullet 2"/>
    <w:basedOn w:val="List2"/>
    <w:rsid w:val="00D475D5"/>
    <w:pPr>
      <w:numPr>
        <w:numId w:val="15"/>
      </w:numPr>
      <w:tabs>
        <w:tab w:val="clear" w:pos="680"/>
      </w:tabs>
    </w:pPr>
  </w:style>
  <w:style w:type="paragraph" w:customStyle="1" w:styleId="SuperHeading">
    <w:name w:val="SuperHeading"/>
    <w:basedOn w:val="Normal"/>
    <w:rsid w:val="00D475D5"/>
    <w:pPr>
      <w:spacing w:before="240" w:after="120"/>
      <w:outlineLvl w:val="0"/>
    </w:pPr>
    <w:rPr>
      <w:rFonts w:ascii="Times New Roman" w:hAnsi="Times New Roman"/>
      <w:b/>
      <w:sz w:val="28"/>
    </w:rPr>
  </w:style>
  <w:style w:type="paragraph" w:customStyle="1" w:styleId="AllowPageBreak">
    <w:name w:val="AllowPageBreak"/>
    <w:rsid w:val="00D475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75D5"/>
    <w:pPr>
      <w:numPr>
        <w:numId w:val="3"/>
      </w:numPr>
      <w:tabs>
        <w:tab w:val="clear" w:pos="1021"/>
      </w:tabs>
      <w:ind w:left="1037" w:hanging="357"/>
    </w:pPr>
  </w:style>
  <w:style w:type="character" w:customStyle="1" w:styleId="Heading2Char">
    <w:name w:val="Heading 2 Char"/>
    <w:basedOn w:val="DefaultParagraphFont"/>
    <w:link w:val="Heading2"/>
    <w:rsid w:val="00D47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5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5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5D5"/>
    <w:rPr>
      <w:rFonts w:ascii="Courier New" w:eastAsia="Times New Roman" w:hAnsi="Courier New" w:cs="Times New Roman"/>
      <w:i/>
      <w:szCs w:val="20"/>
      <w:lang w:eastAsia="en-US"/>
    </w:rPr>
  </w:style>
  <w:style w:type="paragraph" w:customStyle="1" w:styleId="HeadingBase">
    <w:name w:val="Heading Base"/>
    <w:rsid w:val="00D47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5D5"/>
    <w:pPr>
      <w:tabs>
        <w:tab w:val="right" w:leader="dot" w:pos="9072"/>
      </w:tabs>
      <w:ind w:left="567"/>
    </w:pPr>
    <w:rPr>
      <w:szCs w:val="22"/>
    </w:rPr>
  </w:style>
  <w:style w:type="paragraph" w:customStyle="1" w:styleId="TOCBase">
    <w:name w:val="TOC Base"/>
    <w:rsid w:val="00D47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5D5"/>
    <w:pPr>
      <w:tabs>
        <w:tab w:val="right" w:leader="dot" w:pos="9072"/>
      </w:tabs>
      <w:spacing w:before="40" w:after="40"/>
      <w:ind w:left="284"/>
    </w:pPr>
    <w:rPr>
      <w:rFonts w:ascii="Times New Roman" w:hAnsi="Times New Roman"/>
    </w:rPr>
  </w:style>
  <w:style w:type="paragraph" w:styleId="TOC1">
    <w:name w:val="toc 1"/>
    <w:basedOn w:val="TOCBase"/>
    <w:next w:val="Normal"/>
    <w:rsid w:val="00D475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75D5"/>
    <w:pPr>
      <w:spacing w:before="5040"/>
      <w:jc w:val="center"/>
    </w:pPr>
    <w:rPr>
      <w:sz w:val="48"/>
      <w:szCs w:val="72"/>
      <w:lang w:val="en-US"/>
    </w:rPr>
  </w:style>
  <w:style w:type="character" w:customStyle="1" w:styleId="TitleChar">
    <w:name w:val="Title Char"/>
    <w:basedOn w:val="DefaultParagraphFont"/>
    <w:link w:val="Title"/>
    <w:rsid w:val="00D47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5D5"/>
    <w:pPr>
      <w:tabs>
        <w:tab w:val="left" w:pos="3600"/>
        <w:tab w:val="left" w:pos="3958"/>
      </w:tabs>
    </w:pPr>
  </w:style>
  <w:style w:type="paragraph" w:styleId="List">
    <w:name w:val="List"/>
    <w:basedOn w:val="BodyText"/>
    <w:next w:val="BodyText"/>
    <w:rsid w:val="00D475D5"/>
    <w:pPr>
      <w:tabs>
        <w:tab w:val="left" w:pos="340"/>
      </w:tabs>
      <w:spacing w:before="60" w:after="60"/>
      <w:ind w:left="340" w:hanging="340"/>
    </w:pPr>
  </w:style>
  <w:style w:type="paragraph" w:customStyle="1" w:styleId="Note">
    <w:name w:val="Note"/>
    <w:basedOn w:val="BodyText"/>
    <w:rsid w:val="00D47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5D5"/>
    <w:pPr>
      <w:framePr w:wrap="auto" w:hAnchor="text" w:y="6049"/>
    </w:pPr>
    <w:rPr>
      <w:color w:val="000000"/>
      <w:sz w:val="40"/>
    </w:rPr>
  </w:style>
  <w:style w:type="paragraph" w:customStyle="1" w:styleId="TOCTitle">
    <w:name w:val="TOCTitle"/>
    <w:basedOn w:val="Heading1"/>
    <w:rsid w:val="00D475D5"/>
    <w:pPr>
      <w:spacing w:after="240"/>
      <w:jc w:val="center"/>
      <w:outlineLvl w:val="9"/>
    </w:pPr>
    <w:rPr>
      <w:caps/>
    </w:rPr>
  </w:style>
  <w:style w:type="paragraph" w:customStyle="1" w:styleId="Version">
    <w:name w:val="Version"/>
    <w:rsid w:val="00D47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5D5"/>
    <w:pPr>
      <w:keepNext w:val="0"/>
      <w:tabs>
        <w:tab w:val="right" w:pos="4176"/>
      </w:tabs>
      <w:ind w:left="198" w:hanging="198"/>
    </w:pPr>
    <w:rPr>
      <w:rFonts w:ascii="Garamond" w:hAnsi="Garamond"/>
    </w:rPr>
  </w:style>
  <w:style w:type="paragraph" w:styleId="IndexHeading">
    <w:name w:val="index heading"/>
    <w:basedOn w:val="Normal"/>
    <w:next w:val="Index1"/>
    <w:semiHidden/>
    <w:rsid w:val="00D475D5"/>
    <w:pPr>
      <w:spacing w:before="120" w:after="120"/>
    </w:pPr>
    <w:rPr>
      <w:rFonts w:ascii="Arial" w:hAnsi="Arial"/>
      <w:b/>
      <w:color w:val="918585"/>
      <w:sz w:val="24"/>
    </w:rPr>
  </w:style>
  <w:style w:type="paragraph" w:styleId="Header">
    <w:name w:val="header"/>
    <w:basedOn w:val="Normal"/>
    <w:link w:val="HeaderChar"/>
    <w:rsid w:val="00D47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5D5"/>
    <w:rPr>
      <w:rFonts w:ascii="Times New Roman" w:eastAsia="Times New Roman" w:hAnsi="Times New Roman" w:cs="Times New Roman"/>
      <w:sz w:val="16"/>
      <w:szCs w:val="20"/>
      <w:lang w:val="en-GB" w:eastAsia="en-US"/>
    </w:rPr>
  </w:style>
  <w:style w:type="paragraph" w:customStyle="1" w:styleId="Chapter">
    <w:name w:val="Chapter"/>
    <w:basedOn w:val="Normal"/>
    <w:rsid w:val="00D475D5"/>
    <w:pPr>
      <w:spacing w:before="240"/>
    </w:pPr>
    <w:rPr>
      <w:rFonts w:ascii="Times New Roman" w:hAnsi="Times New Roman"/>
      <w:smallCaps/>
      <w:spacing w:val="80"/>
      <w:sz w:val="28"/>
    </w:rPr>
  </w:style>
  <w:style w:type="paragraph" w:customStyle="1" w:styleId="InChapter">
    <w:name w:val="InChapter"/>
    <w:basedOn w:val="Heading3"/>
    <w:rsid w:val="00D475D5"/>
    <w:pPr>
      <w:spacing w:after="240"/>
      <w:outlineLvl w:val="9"/>
    </w:pPr>
    <w:rPr>
      <w:noProof/>
    </w:rPr>
  </w:style>
  <w:style w:type="paragraph" w:styleId="Index2">
    <w:name w:val="index 2"/>
    <w:basedOn w:val="Normal"/>
    <w:next w:val="Normal"/>
    <w:semiHidden/>
    <w:rsid w:val="00D475D5"/>
    <w:pPr>
      <w:tabs>
        <w:tab w:val="right" w:pos="4176"/>
      </w:tabs>
      <w:ind w:left="568" w:hanging="284"/>
    </w:pPr>
    <w:rPr>
      <w:rFonts w:ascii="Garamond" w:hAnsi="Garamond"/>
    </w:rPr>
  </w:style>
  <w:style w:type="paragraph" w:customStyle="1" w:styleId="Byline">
    <w:name w:val="Byline"/>
    <w:rsid w:val="00D47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5D5"/>
    <w:pPr>
      <w:tabs>
        <w:tab w:val="clear" w:pos="3600"/>
        <w:tab w:val="clear" w:pos="3958"/>
      </w:tabs>
      <w:jc w:val="right"/>
    </w:pPr>
  </w:style>
  <w:style w:type="character" w:styleId="Emphasis">
    <w:name w:val="Emphasis"/>
    <w:basedOn w:val="DefaultParagraphFont"/>
    <w:qFormat/>
    <w:rsid w:val="00D475D5"/>
    <w:rPr>
      <w:i/>
    </w:rPr>
  </w:style>
  <w:style w:type="paragraph" w:styleId="Caption">
    <w:name w:val="caption"/>
    <w:basedOn w:val="BodyText"/>
    <w:next w:val="Normal"/>
    <w:qFormat/>
    <w:rsid w:val="00D475D5"/>
    <w:pPr>
      <w:framePr w:w="2268" w:hSpace="181" w:vSpace="181" w:wrap="around" w:vAnchor="text" w:hAnchor="page" w:x="1135" w:y="285" w:anchorLock="1"/>
    </w:pPr>
    <w:rPr>
      <w:i/>
    </w:rPr>
  </w:style>
  <w:style w:type="paragraph" w:customStyle="1" w:styleId="MiniTOCTitle">
    <w:name w:val="MiniTOCTitle"/>
    <w:basedOn w:val="Heading4"/>
    <w:rsid w:val="00D475D5"/>
    <w:pPr>
      <w:spacing w:before="240"/>
      <w:outlineLvl w:val="9"/>
    </w:pPr>
    <w:rPr>
      <w:noProof/>
      <w:sz w:val="24"/>
    </w:rPr>
  </w:style>
  <w:style w:type="paragraph" w:customStyle="1" w:styleId="MiniTOCItem">
    <w:name w:val="MiniTOCItem"/>
    <w:basedOn w:val="ListBullet"/>
    <w:rsid w:val="00D475D5"/>
    <w:pPr>
      <w:numPr>
        <w:numId w:val="0"/>
      </w:numPr>
      <w:tabs>
        <w:tab w:val="right" w:leader="dot" w:pos="6521"/>
      </w:tabs>
      <w:spacing w:before="0" w:after="0"/>
    </w:pPr>
  </w:style>
  <w:style w:type="paragraph" w:customStyle="1" w:styleId="TOFTitle">
    <w:name w:val="TOFTitle"/>
    <w:basedOn w:val="TOCTitle"/>
    <w:rsid w:val="00D475D5"/>
  </w:style>
  <w:style w:type="paragraph" w:styleId="TableofFigures">
    <w:name w:val="table of figures"/>
    <w:basedOn w:val="Normal"/>
    <w:next w:val="Normal"/>
    <w:semiHidden/>
    <w:rsid w:val="00D475D5"/>
    <w:pPr>
      <w:tabs>
        <w:tab w:val="right" w:leader="dot" w:pos="9072"/>
      </w:tabs>
      <w:ind w:left="970" w:hanging="403"/>
    </w:pPr>
    <w:rPr>
      <w:rFonts w:ascii="Times New Roman" w:hAnsi="Times New Roman"/>
      <w:b/>
    </w:rPr>
  </w:style>
  <w:style w:type="paragraph" w:styleId="ListNumber">
    <w:name w:val="List Number"/>
    <w:basedOn w:val="List"/>
    <w:rsid w:val="00D475D5"/>
    <w:pPr>
      <w:numPr>
        <w:numId w:val="12"/>
      </w:numPr>
    </w:pPr>
  </w:style>
  <w:style w:type="character" w:customStyle="1" w:styleId="WingdingSymbols">
    <w:name w:val="Wingding Symbols"/>
    <w:rsid w:val="00D475D5"/>
    <w:rPr>
      <w:rFonts w:ascii="Wingdings" w:hAnsi="Wingdings"/>
    </w:rPr>
  </w:style>
  <w:style w:type="paragraph" w:customStyle="1" w:styleId="TableHeading">
    <w:name w:val="Table Heading"/>
    <w:basedOn w:val="HeadingBase"/>
    <w:rsid w:val="00D475D5"/>
    <w:pPr>
      <w:keepLines/>
      <w:pBdr>
        <w:bottom w:val="single" w:sz="6" w:space="1" w:color="918585"/>
      </w:pBdr>
      <w:spacing w:before="240"/>
    </w:pPr>
  </w:style>
  <w:style w:type="character" w:customStyle="1" w:styleId="HotSpot">
    <w:name w:val="HotSpot"/>
    <w:rsid w:val="00D475D5"/>
    <w:rPr>
      <w:color w:val="0033CC"/>
      <w:u w:val="none"/>
    </w:rPr>
  </w:style>
  <w:style w:type="paragraph" w:customStyle="1" w:styleId="BodyTextRight">
    <w:name w:val="Body Text Right"/>
    <w:basedOn w:val="BodyText"/>
    <w:rsid w:val="00D475D5"/>
    <w:pPr>
      <w:spacing w:before="0" w:after="0"/>
      <w:jc w:val="right"/>
    </w:pPr>
  </w:style>
  <w:style w:type="paragraph" w:styleId="Index3">
    <w:name w:val="index 3"/>
    <w:basedOn w:val="ListNumber2"/>
    <w:next w:val="Normal"/>
    <w:semiHidden/>
    <w:rsid w:val="00D475D5"/>
    <w:pPr>
      <w:numPr>
        <w:numId w:val="0"/>
      </w:numPr>
      <w:tabs>
        <w:tab w:val="right" w:leader="dot" w:pos="4176"/>
      </w:tabs>
    </w:pPr>
  </w:style>
  <w:style w:type="paragraph" w:styleId="ListNumber2">
    <w:name w:val="List Number 2"/>
    <w:basedOn w:val="List2"/>
    <w:rsid w:val="00D475D5"/>
    <w:pPr>
      <w:numPr>
        <w:numId w:val="11"/>
      </w:numPr>
      <w:tabs>
        <w:tab w:val="clear" w:pos="1060"/>
      </w:tabs>
    </w:pPr>
  </w:style>
  <w:style w:type="paragraph" w:customStyle="1" w:styleId="MarginNote">
    <w:name w:val="Margin Note"/>
    <w:basedOn w:val="BodyText"/>
    <w:rsid w:val="00D47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5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5D5"/>
    <w:rPr>
      <w:sz w:val="32"/>
    </w:rPr>
  </w:style>
  <w:style w:type="paragraph" w:customStyle="1" w:styleId="HeadingProcedure">
    <w:name w:val="Heading Procedure"/>
    <w:basedOn w:val="HeadingBase"/>
    <w:next w:val="Normal"/>
    <w:rsid w:val="00D475D5"/>
    <w:pPr>
      <w:tabs>
        <w:tab w:val="left" w:pos="0"/>
      </w:tabs>
      <w:spacing w:before="120" w:after="60"/>
    </w:pPr>
    <w:rPr>
      <w:i/>
      <w:color w:val="918585"/>
      <w:sz w:val="22"/>
    </w:rPr>
  </w:style>
  <w:style w:type="paragraph" w:customStyle="1" w:styleId="TableBodyText">
    <w:name w:val="Table Body Text"/>
    <w:basedOn w:val="BodyText"/>
    <w:rsid w:val="00D475D5"/>
    <w:pPr>
      <w:spacing w:before="60" w:after="60"/>
    </w:pPr>
  </w:style>
  <w:style w:type="paragraph" w:styleId="ListContinue">
    <w:name w:val="List Continue"/>
    <w:basedOn w:val="List"/>
    <w:rsid w:val="00D475D5"/>
    <w:pPr>
      <w:ind w:firstLine="0"/>
    </w:pPr>
  </w:style>
  <w:style w:type="paragraph" w:customStyle="1" w:styleId="ListNote">
    <w:name w:val="List Note"/>
    <w:basedOn w:val="List"/>
    <w:rsid w:val="00D475D5"/>
    <w:pPr>
      <w:pBdr>
        <w:top w:val="single" w:sz="6" w:space="2" w:color="918585"/>
        <w:bottom w:val="single" w:sz="6" w:space="2" w:color="918585"/>
      </w:pBdr>
      <w:tabs>
        <w:tab w:val="left" w:pos="1021"/>
      </w:tabs>
      <w:ind w:firstLine="0"/>
    </w:pPr>
  </w:style>
  <w:style w:type="paragraph" w:customStyle="1" w:styleId="Warning">
    <w:name w:val="Warning"/>
    <w:basedOn w:val="BodyText"/>
    <w:rsid w:val="00D475D5"/>
    <w:pPr>
      <w:shd w:val="clear" w:color="auto" w:fill="D9D9D9"/>
      <w:tabs>
        <w:tab w:val="left" w:pos="992"/>
      </w:tabs>
      <w:ind w:left="119" w:right="119"/>
    </w:pPr>
    <w:rPr>
      <w:sz w:val="20"/>
    </w:rPr>
  </w:style>
  <w:style w:type="paragraph" w:customStyle="1" w:styleId="MarginIcons">
    <w:name w:val="Margin Icons"/>
    <w:basedOn w:val="BodyText"/>
    <w:rsid w:val="00D47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5D5"/>
    <w:rPr>
      <w:rFonts w:ascii="Courier New" w:hAnsi="Courier New"/>
    </w:rPr>
  </w:style>
  <w:style w:type="paragraph" w:customStyle="1" w:styleId="NoteBullet">
    <w:name w:val="Note Bullet"/>
    <w:basedOn w:val="Note"/>
    <w:rsid w:val="00D475D5"/>
    <w:pPr>
      <w:tabs>
        <w:tab w:val="clear" w:pos="680"/>
      </w:tabs>
      <w:spacing w:before="60" w:after="60"/>
    </w:pPr>
  </w:style>
  <w:style w:type="paragraph" w:customStyle="1" w:styleId="SubHeading2">
    <w:name w:val="SubHeading2"/>
    <w:basedOn w:val="HeadingBase"/>
    <w:rsid w:val="00D475D5"/>
    <w:pPr>
      <w:spacing w:before="240" w:after="60"/>
    </w:pPr>
    <w:rPr>
      <w:sz w:val="20"/>
    </w:rPr>
  </w:style>
  <w:style w:type="paragraph" w:customStyle="1" w:styleId="SubHeading1">
    <w:name w:val="SubHeading1"/>
    <w:basedOn w:val="HeadingBase"/>
    <w:rsid w:val="00D475D5"/>
    <w:pPr>
      <w:spacing w:before="240" w:after="60"/>
    </w:pPr>
    <w:rPr>
      <w:color w:val="918585"/>
      <w:sz w:val="22"/>
    </w:rPr>
  </w:style>
  <w:style w:type="paragraph" w:customStyle="1" w:styleId="SideHeading">
    <w:name w:val="Side Heading"/>
    <w:basedOn w:val="HeadingBase"/>
    <w:rsid w:val="00D47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5D5"/>
    <w:pPr>
      <w:numPr>
        <w:numId w:val="13"/>
      </w:numPr>
    </w:pPr>
  </w:style>
  <w:style w:type="paragraph" w:styleId="PlainText">
    <w:name w:val="Plain Text"/>
    <w:basedOn w:val="Normal"/>
    <w:link w:val="PlainTextChar"/>
    <w:rsid w:val="00D475D5"/>
    <w:rPr>
      <w:sz w:val="20"/>
    </w:rPr>
  </w:style>
  <w:style w:type="character" w:customStyle="1" w:styleId="PlainTextChar">
    <w:name w:val="Plain Text Char"/>
    <w:basedOn w:val="DefaultParagraphFont"/>
    <w:link w:val="PlainText"/>
    <w:rsid w:val="00D475D5"/>
    <w:rPr>
      <w:rFonts w:ascii="Courier New" w:eastAsia="Times New Roman" w:hAnsi="Courier New" w:cs="Times New Roman"/>
      <w:sz w:val="20"/>
      <w:szCs w:val="20"/>
      <w:lang w:eastAsia="en-US"/>
    </w:rPr>
  </w:style>
  <w:style w:type="character" w:customStyle="1" w:styleId="MenuOption">
    <w:name w:val="Menu Option"/>
    <w:basedOn w:val="DefaultParagraphFont"/>
    <w:rsid w:val="00D475D5"/>
    <w:rPr>
      <w:b/>
      <w:smallCaps/>
    </w:rPr>
  </w:style>
  <w:style w:type="paragraph" w:customStyle="1" w:styleId="TableListNumber">
    <w:name w:val="Table List Number"/>
    <w:basedOn w:val="ListNumber"/>
    <w:rsid w:val="00D475D5"/>
    <w:pPr>
      <w:numPr>
        <w:numId w:val="0"/>
      </w:numPr>
    </w:pPr>
  </w:style>
  <w:style w:type="paragraph" w:styleId="TOC4">
    <w:name w:val="toc 4"/>
    <w:basedOn w:val="TOCBase"/>
    <w:next w:val="Normal"/>
    <w:semiHidden/>
    <w:rsid w:val="00D475D5"/>
    <w:pPr>
      <w:tabs>
        <w:tab w:val="right" w:leader="dot" w:pos="9071"/>
      </w:tabs>
      <w:ind w:left="1701"/>
    </w:pPr>
  </w:style>
  <w:style w:type="paragraph" w:customStyle="1" w:styleId="ListAlpha">
    <w:name w:val="List Alpha"/>
    <w:basedOn w:val="List"/>
    <w:rsid w:val="00D475D5"/>
    <w:pPr>
      <w:numPr>
        <w:numId w:val="10"/>
      </w:numPr>
    </w:pPr>
  </w:style>
  <w:style w:type="paragraph" w:customStyle="1" w:styleId="ListAlpha2">
    <w:name w:val="List Alpha 2"/>
    <w:basedOn w:val="List2"/>
    <w:rsid w:val="00D475D5"/>
    <w:pPr>
      <w:numPr>
        <w:numId w:val="9"/>
      </w:numPr>
    </w:pPr>
  </w:style>
  <w:style w:type="paragraph" w:styleId="List2">
    <w:name w:val="List 2"/>
    <w:basedOn w:val="BodyText"/>
    <w:rsid w:val="00D475D5"/>
    <w:pPr>
      <w:tabs>
        <w:tab w:val="left" w:pos="680"/>
      </w:tabs>
      <w:spacing w:before="60" w:after="60"/>
      <w:ind w:left="680" w:hanging="340"/>
    </w:pPr>
  </w:style>
  <w:style w:type="paragraph" w:styleId="List3">
    <w:name w:val="List 3"/>
    <w:basedOn w:val="BodyText"/>
    <w:rsid w:val="00D475D5"/>
    <w:pPr>
      <w:tabs>
        <w:tab w:val="left" w:pos="1021"/>
      </w:tabs>
      <w:spacing w:before="60" w:after="60"/>
      <w:ind w:left="1020" w:hanging="340"/>
    </w:pPr>
  </w:style>
  <w:style w:type="paragraph" w:styleId="List4">
    <w:name w:val="List 4"/>
    <w:basedOn w:val="BodyText"/>
    <w:rsid w:val="00D475D5"/>
    <w:pPr>
      <w:tabs>
        <w:tab w:val="left" w:pos="1361"/>
      </w:tabs>
      <w:spacing w:before="60" w:after="60"/>
      <w:ind w:left="1361" w:hanging="340"/>
    </w:pPr>
  </w:style>
  <w:style w:type="paragraph" w:styleId="List5">
    <w:name w:val="List 5"/>
    <w:basedOn w:val="BodyText"/>
    <w:rsid w:val="00D475D5"/>
    <w:pPr>
      <w:tabs>
        <w:tab w:val="left" w:pos="1701"/>
      </w:tabs>
      <w:spacing w:before="60" w:after="60"/>
      <w:ind w:left="1701" w:hanging="340"/>
    </w:pPr>
  </w:style>
  <w:style w:type="paragraph" w:styleId="ListBullet4">
    <w:name w:val="List Bullet 4"/>
    <w:basedOn w:val="List4"/>
    <w:rsid w:val="00D475D5"/>
    <w:pPr>
      <w:numPr>
        <w:numId w:val="4"/>
      </w:numPr>
    </w:pPr>
  </w:style>
  <w:style w:type="paragraph" w:styleId="ListBullet5">
    <w:name w:val="List Bullet 5"/>
    <w:basedOn w:val="List5"/>
    <w:rsid w:val="00D475D5"/>
    <w:pPr>
      <w:numPr>
        <w:numId w:val="5"/>
      </w:numPr>
    </w:pPr>
  </w:style>
  <w:style w:type="paragraph" w:styleId="ListContinue2">
    <w:name w:val="List Continue 2"/>
    <w:basedOn w:val="List2"/>
    <w:rsid w:val="00D475D5"/>
    <w:pPr>
      <w:ind w:firstLine="0"/>
    </w:pPr>
  </w:style>
  <w:style w:type="paragraph" w:styleId="ListContinue3">
    <w:name w:val="List Continue 3"/>
    <w:basedOn w:val="List3"/>
    <w:rsid w:val="00D475D5"/>
    <w:pPr>
      <w:ind w:left="1021" w:firstLine="0"/>
    </w:pPr>
  </w:style>
  <w:style w:type="paragraph" w:styleId="ListContinue4">
    <w:name w:val="List Continue 4"/>
    <w:basedOn w:val="List4"/>
    <w:rsid w:val="00D475D5"/>
    <w:pPr>
      <w:ind w:firstLine="0"/>
    </w:pPr>
  </w:style>
  <w:style w:type="paragraph" w:styleId="ListContinue5">
    <w:name w:val="List Continue 5"/>
    <w:basedOn w:val="List5"/>
    <w:rsid w:val="00D475D5"/>
    <w:pPr>
      <w:ind w:firstLine="0"/>
    </w:pPr>
  </w:style>
  <w:style w:type="paragraph" w:styleId="ListNumber3">
    <w:name w:val="List Number 3"/>
    <w:basedOn w:val="List3"/>
    <w:rsid w:val="00D475D5"/>
    <w:pPr>
      <w:numPr>
        <w:numId w:val="6"/>
      </w:numPr>
    </w:pPr>
  </w:style>
  <w:style w:type="paragraph" w:styleId="ListNumber4">
    <w:name w:val="List Number 4"/>
    <w:basedOn w:val="List4"/>
    <w:rsid w:val="00D475D5"/>
    <w:pPr>
      <w:numPr>
        <w:numId w:val="7"/>
      </w:numPr>
    </w:pPr>
  </w:style>
  <w:style w:type="paragraph" w:styleId="ListNumber5">
    <w:name w:val="List Number 5"/>
    <w:basedOn w:val="List5"/>
    <w:rsid w:val="00D475D5"/>
    <w:pPr>
      <w:numPr>
        <w:numId w:val="8"/>
      </w:numPr>
    </w:pPr>
  </w:style>
  <w:style w:type="paragraph" w:styleId="BlockText">
    <w:name w:val="Block Text"/>
    <w:basedOn w:val="Normal"/>
    <w:rsid w:val="00D475D5"/>
    <w:pPr>
      <w:spacing w:after="120"/>
      <w:ind w:left="1440" w:right="1440"/>
    </w:pPr>
  </w:style>
  <w:style w:type="character" w:customStyle="1" w:styleId="Subscript">
    <w:name w:val="Subscript"/>
    <w:basedOn w:val="DefaultParagraphFont"/>
    <w:rsid w:val="00D475D5"/>
    <w:rPr>
      <w:sz w:val="16"/>
      <w:vertAlign w:val="subscript"/>
    </w:rPr>
  </w:style>
  <w:style w:type="character" w:customStyle="1" w:styleId="Superscript">
    <w:name w:val="Superscript"/>
    <w:basedOn w:val="DefaultParagraphFont"/>
    <w:rsid w:val="00D475D5"/>
    <w:rPr>
      <w:sz w:val="16"/>
      <w:vertAlign w:val="superscript"/>
    </w:rPr>
  </w:style>
  <w:style w:type="character" w:customStyle="1" w:styleId="Symbols">
    <w:name w:val="Symbols"/>
    <w:basedOn w:val="DefaultParagraphFont"/>
    <w:rsid w:val="00D475D5"/>
    <w:rPr>
      <w:rFonts w:ascii="Symbol" w:hAnsi="Symbol"/>
    </w:rPr>
  </w:style>
  <w:style w:type="character" w:customStyle="1" w:styleId="MenuOptions">
    <w:name w:val="Menu Options"/>
    <w:basedOn w:val="DefaultParagraphFont"/>
    <w:rsid w:val="00D475D5"/>
    <w:rPr>
      <w:rFonts w:ascii="Arial Narrow" w:hAnsi="Arial Narrow"/>
      <w:smallCaps/>
    </w:rPr>
  </w:style>
  <w:style w:type="character" w:customStyle="1" w:styleId="Buttons">
    <w:name w:val="Buttons"/>
    <w:basedOn w:val="DefaultParagraphFont"/>
    <w:rsid w:val="00D475D5"/>
    <w:rPr>
      <w:b/>
    </w:rPr>
  </w:style>
  <w:style w:type="character" w:customStyle="1" w:styleId="Underlined">
    <w:name w:val="Underlined"/>
    <w:basedOn w:val="DefaultParagraphFont"/>
    <w:rsid w:val="00D475D5"/>
    <w:rPr>
      <w:u w:val="single"/>
    </w:rPr>
  </w:style>
  <w:style w:type="paragraph" w:customStyle="1" w:styleId="TableBodyTextRight">
    <w:name w:val="Table Body Text Right"/>
    <w:basedOn w:val="TableBodyText"/>
    <w:rsid w:val="00D475D5"/>
    <w:pPr>
      <w:widowControl w:val="0"/>
      <w:autoSpaceDE w:val="0"/>
      <w:autoSpaceDN w:val="0"/>
      <w:adjustRightInd w:val="0"/>
      <w:jc w:val="right"/>
    </w:pPr>
    <w:rPr>
      <w:rFonts w:cs="Arial"/>
      <w:szCs w:val="18"/>
    </w:rPr>
  </w:style>
  <w:style w:type="paragraph" w:customStyle="1" w:styleId="CopyrightText">
    <w:name w:val="Copyright Text"/>
    <w:basedOn w:val="BodyText"/>
    <w:rsid w:val="00D475D5"/>
    <w:rPr>
      <w:sz w:val="18"/>
    </w:rPr>
  </w:style>
  <w:style w:type="paragraph" w:customStyle="1" w:styleId="BodySmallRight">
    <w:name w:val="Body Small Right"/>
    <w:basedOn w:val="BodyTextRight"/>
    <w:rsid w:val="00D475D5"/>
    <w:rPr>
      <w:sz w:val="18"/>
      <w:szCs w:val="18"/>
    </w:rPr>
  </w:style>
  <w:style w:type="paragraph" w:customStyle="1" w:styleId="MarginEdition">
    <w:name w:val="Margin Edition"/>
    <w:basedOn w:val="MarginNote"/>
    <w:rsid w:val="00D475D5"/>
    <w:pPr>
      <w:spacing w:before="0" w:after="0"/>
    </w:pPr>
    <w:rPr>
      <w:rFonts w:ascii="Times New Roman" w:hAnsi="Times New Roman"/>
      <w:color w:val="999999"/>
    </w:rPr>
  </w:style>
  <w:style w:type="paragraph" w:customStyle="1" w:styleId="Spacer">
    <w:name w:val="Spacer"/>
    <w:basedOn w:val="Normal"/>
    <w:rsid w:val="00D475D5"/>
    <w:rPr>
      <w:sz w:val="2"/>
      <w:szCs w:val="2"/>
    </w:rPr>
  </w:style>
  <w:style w:type="character" w:customStyle="1" w:styleId="Small">
    <w:name w:val="Small"/>
    <w:basedOn w:val="DefaultParagraphFont"/>
    <w:rsid w:val="00D475D5"/>
    <w:rPr>
      <w:sz w:val="16"/>
    </w:rPr>
  </w:style>
  <w:style w:type="paragraph" w:customStyle="1" w:styleId="WideTable">
    <w:name w:val="Wide Table"/>
    <w:basedOn w:val="Normal"/>
    <w:rsid w:val="00D475D5"/>
    <w:pPr>
      <w:ind w:left="-1418"/>
    </w:pPr>
    <w:rPr>
      <w:sz w:val="2"/>
      <w:szCs w:val="2"/>
    </w:rPr>
  </w:style>
  <w:style w:type="character" w:styleId="PageNumber">
    <w:name w:val="page number"/>
    <w:basedOn w:val="DefaultParagraphFont"/>
    <w:rsid w:val="00D475D5"/>
  </w:style>
  <w:style w:type="paragraph" w:styleId="Quote">
    <w:name w:val="Quote"/>
    <w:basedOn w:val="Heading1"/>
    <w:link w:val="QuoteChar"/>
    <w:qFormat/>
    <w:rsid w:val="00D475D5"/>
    <w:rPr>
      <w:b w:val="0"/>
      <w:sz w:val="72"/>
      <w:szCs w:val="72"/>
      <w:lang w:val="en-NZ"/>
    </w:rPr>
  </w:style>
  <w:style w:type="character" w:customStyle="1" w:styleId="QuoteChar">
    <w:name w:val="Quote Char"/>
    <w:basedOn w:val="DefaultParagraphFont"/>
    <w:link w:val="Quote"/>
    <w:rsid w:val="00D47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5D5"/>
    <w:pPr>
      <w:pageBreakBefore/>
    </w:pPr>
  </w:style>
  <w:style w:type="paragraph" w:customStyle="1" w:styleId="Border">
    <w:name w:val="Border"/>
    <w:basedOn w:val="Normal"/>
    <w:qFormat/>
    <w:rsid w:val="00D47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5D5"/>
    <w:rPr>
      <w:b/>
      <w:bCs/>
      <w:i/>
      <w:iCs/>
      <w:color w:val="auto"/>
    </w:rPr>
  </w:style>
  <w:style w:type="paragraph" w:styleId="IntenseQuote">
    <w:name w:val="Intense Quote"/>
    <w:basedOn w:val="Normal"/>
    <w:next w:val="Normal"/>
    <w:link w:val="IntenseQuoteChar"/>
    <w:uiPriority w:val="30"/>
    <w:qFormat/>
    <w:rsid w:val="00D47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5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5D5"/>
    <w:rPr>
      <w:smallCaps/>
      <w:color w:val="auto"/>
      <w:u w:val="single"/>
    </w:rPr>
  </w:style>
  <w:style w:type="character" w:styleId="IntenseReference">
    <w:name w:val="Intense Reference"/>
    <w:basedOn w:val="DefaultParagraphFont"/>
    <w:uiPriority w:val="32"/>
    <w:qFormat/>
    <w:rsid w:val="00D475D5"/>
    <w:rPr>
      <w:b/>
      <w:bCs/>
      <w:smallCaps/>
      <w:color w:val="auto"/>
      <w:spacing w:val="5"/>
      <w:u w:val="single"/>
    </w:rPr>
  </w:style>
  <w:style w:type="paragraph" w:customStyle="1" w:styleId="2ColumnHeading">
    <w:name w:val="2Column Heading"/>
    <w:basedOn w:val="BodyText"/>
    <w:qFormat/>
    <w:rsid w:val="00D475D5"/>
    <w:pPr>
      <w:spacing w:after="60"/>
      <w:ind w:left="-2268"/>
    </w:pPr>
    <w:rPr>
      <w:b/>
    </w:rPr>
  </w:style>
  <w:style w:type="paragraph" w:customStyle="1" w:styleId="Heading1TOC">
    <w:name w:val="Heading1 TOC"/>
    <w:basedOn w:val="Normal"/>
    <w:qFormat/>
    <w:rsid w:val="00D475D5"/>
    <w:pPr>
      <w:spacing w:before="240" w:after="120"/>
    </w:pPr>
    <w:rPr>
      <w:rFonts w:ascii="Times New Roman" w:hAnsi="Times New Roman"/>
      <w:b/>
      <w:sz w:val="32"/>
    </w:rPr>
  </w:style>
  <w:style w:type="paragraph" w:customStyle="1" w:styleId="Heading2TOC">
    <w:name w:val="Heading2 TOC"/>
    <w:basedOn w:val="Normal"/>
    <w:qFormat/>
    <w:rsid w:val="00D475D5"/>
    <w:pPr>
      <w:spacing w:before="240" w:after="60"/>
    </w:pPr>
    <w:rPr>
      <w:rFonts w:ascii="Times New Roman" w:hAnsi="Times New Roman"/>
      <w:b/>
      <w:sz w:val="28"/>
    </w:rPr>
  </w:style>
  <w:style w:type="character" w:customStyle="1" w:styleId="Underline">
    <w:name w:val="Underline"/>
    <w:basedOn w:val="DefaultParagraphFont"/>
    <w:qFormat/>
    <w:rsid w:val="00D475D5"/>
    <w:rPr>
      <w:u w:val="single"/>
    </w:rPr>
  </w:style>
  <w:style w:type="character" w:customStyle="1" w:styleId="BoldandItalics">
    <w:name w:val="Bold and Italics"/>
    <w:qFormat/>
    <w:rsid w:val="00D475D5"/>
    <w:rPr>
      <w:b/>
      <w:i/>
      <w:u w:val="none"/>
    </w:rPr>
  </w:style>
  <w:style w:type="paragraph" w:styleId="BalloonText">
    <w:name w:val="Balloon Text"/>
    <w:basedOn w:val="Normal"/>
    <w:link w:val="BalloonTextChar"/>
    <w:rsid w:val="00D475D5"/>
    <w:rPr>
      <w:rFonts w:ascii="Tahoma" w:hAnsi="Tahoma" w:cs="Tahoma"/>
      <w:sz w:val="16"/>
      <w:szCs w:val="16"/>
    </w:rPr>
  </w:style>
  <w:style w:type="character" w:customStyle="1" w:styleId="BalloonTextChar">
    <w:name w:val="Balloon Text Char"/>
    <w:basedOn w:val="DefaultParagraphFont"/>
    <w:link w:val="BalloonText"/>
    <w:rsid w:val="00D475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5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75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5D5"/>
    <w:rPr>
      <w:b/>
      <w:color w:val="660033"/>
      <w:spacing w:val="0"/>
    </w:rPr>
  </w:style>
  <w:style w:type="paragraph" w:customStyle="1" w:styleId="Nameditemlist">
    <w:name w:val="Named item list"/>
    <w:basedOn w:val="BodyText"/>
    <w:qFormat/>
    <w:rsid w:val="00D475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2923</Words>
  <Characters>18847</Characters>
  <Application>Microsoft Office Word</Application>
  <DocSecurity>0</DocSecurity>
  <Lines>808</Lines>
  <Paragraphs>391</Paragraphs>
  <ScaleCrop>false</ScaleCrop>
  <Company>Author-it Software Corporation Ltd.</Company>
  <LinksUpToDate>false</LinksUpToDate>
  <CharactersWithSpaces>21541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UEGNSG118B Select and commission equipment to meet pressure and temperature control specifications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2012-10-10T02:16:00Z</dcterms:created>
  <dcterms:modified xsi:type="dcterms:W3CDTF">2012-10-10T02:16:00Z</dcterms:modified>
</cp:coreProperties>
</file>