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4AB" w:rsidP="000824AB">
      <w:pPr>
        <w:pStyle w:val="Title"/>
      </w:pPr>
      <w:r>
        <w:fldChar w:fldCharType="begin"/>
      </w:r>
      <w:r>
        <w:instrText xml:space="preserve"> TITLE   \* MERGEFORMAT </w:instrText>
      </w:r>
      <w:r>
        <w:fldChar w:fldCharType="separate"/>
      </w:r>
      <w:r>
        <w:t>UEGNSG113B Manage a utilities industry OHS management system</w:t>
      </w:r>
      <w:r>
        <w:fldChar w:fldCharType="end"/>
      </w:r>
    </w:p>
    <w:p w:rsidR="000824AB" w:rsidP="000824AB">
      <w:pPr>
        <w:pStyle w:val="Version"/>
        <w:sectPr w:rsidSect="00F02B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BAB" w:rsidP="00F02BAB">
      <w:pPr>
        <w:pStyle w:val="SuperHeading"/>
      </w:pPr>
      <w:r w:rsidRPr="00F02BAB">
        <w:t>UEGNSG113B Manage a utilities industry OHS management system</w:t>
      </w:r>
    </w:p>
    <w:p w:rsidR="00000000" w:rsidRPr="00F02BAB" w:rsidP="00F02BAB">
      <w:pPr>
        <w:pStyle w:val="Heading1"/>
      </w:pPr>
      <w:bookmarkStart w:id="1" w:name="O_400213"/>
      <w:bookmarkEnd w:id="1"/>
      <w:r w:rsidRPr="00F02BAB">
        <w:t>Modification History</w:t>
      </w:r>
    </w:p>
    <w:p w:rsidR="00000000" w:rsidRPr="00F02BAB" w:rsidP="00F02BAB">
      <w:pPr>
        <w:pStyle w:val="BodyText"/>
      </w:pPr>
      <w:r w:rsidRPr="00F02BAB">
        <w:t>Not applicable.</w:t>
      </w:r>
    </w:p>
    <w:p w:rsidR="00000000" w:rsidRPr="00F02BAB" w:rsidP="00F02BAB">
      <w:pPr>
        <w:pStyle w:val="AllowPageBreak"/>
      </w:pPr>
    </w:p>
    <w:p w:rsidR="00000000" w:rsidRPr="00F02BAB" w:rsidP="00F02BAB">
      <w:pPr>
        <w:pStyle w:val="Heading1"/>
      </w:pPr>
      <w:bookmarkStart w:id="2" w:name="O_400211"/>
      <w:bookmarkEnd w:id="2"/>
      <w:r w:rsidRPr="00F02BAB">
        <w:t>Unit Descriptor</w:t>
      </w:r>
    </w:p>
    <w:tbl>
      <w:tblPr>
        <w:tblW w:w="0" w:type="auto"/>
        <w:tblLayout w:type="fixed"/>
        <w:tblCellMar>
          <w:left w:w="62" w:type="dxa"/>
          <w:right w:w="62" w:type="dxa"/>
        </w:tblCellMar>
        <w:tblLook w:val="0000"/>
      </w:tblPr>
      <w:tblGrid>
        <w:gridCol w:w="2700"/>
        <w:gridCol w:w="5760"/>
      </w:tblGrid>
      <w:tr w:rsidTr="000824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1) Scope:</w:t>
            </w:r>
          </w:p>
        </w:tc>
      </w:tr>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2BA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1.1) Descriptor</w:t>
            </w:r>
          </w:p>
        </w:tc>
      </w:tr>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The competency standard is to be applied to establish, maintain and manage systematic approaches to OHS in the utilities industry. It will be applied in a management context in terms of responsibility to ensure that the workplace is, as far as practicable,</w:t>
            </w:r>
            <w:r w:rsidRPr="00F02BAB">
              <w:t xml:space="preserve"> safe and without risk to employees, clients and other present visitors.</w:t>
            </w:r>
          </w:p>
        </w:tc>
      </w:tr>
    </w:tbl>
    <w:p w:rsidR="00000000" w:rsidRPr="00F02BAB" w:rsidP="00F02BAB">
      <w:pPr>
        <w:pStyle w:val="BodyText"/>
      </w:pPr>
    </w:p>
    <w:p w:rsidR="00000000" w:rsidRPr="00F02BAB" w:rsidP="00F02BAB">
      <w:pPr>
        <w:pStyle w:val="AllowPageBreak"/>
      </w:pPr>
    </w:p>
    <w:p w:rsidR="00000000" w:rsidRPr="00F02BAB" w:rsidP="00F02BAB">
      <w:pPr>
        <w:pStyle w:val="Heading1"/>
      </w:pPr>
      <w:bookmarkStart w:id="3" w:name="O_400200"/>
      <w:bookmarkEnd w:id="3"/>
      <w:r w:rsidRPr="00F02BAB">
        <w:t>Application of the Unit</w:t>
      </w:r>
    </w:p>
    <w:tbl>
      <w:tblPr>
        <w:tblW w:w="0" w:type="auto"/>
        <w:tblLayout w:type="fixed"/>
        <w:tblCellMar>
          <w:left w:w="62" w:type="dxa"/>
          <w:right w:w="62" w:type="dxa"/>
        </w:tblCellMar>
        <w:tblLook w:val="0000"/>
      </w:tblPr>
      <w:tblGrid>
        <w:gridCol w:w="2672"/>
        <w:gridCol w:w="5699"/>
      </w:tblGrid>
      <w:tr w:rsidTr="000824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2)</w:t>
            </w:r>
          </w:p>
        </w:tc>
      </w:tr>
      <w:tr w:rsidTr="000824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This competency standard shall apply to any basic and safe work site where Gas Industry operations occur. It could also apply, where applicable to other workplaces in the electricity supply industry (transmission and distribution and generation), the elect</w:t>
            </w:r>
            <w:r w:rsidRPr="00F02BAB">
              <w:t>rotechnology industry and the water industry, subject to all Occupational Health and Safety and duty of care requirements being met for the workplace.</w:t>
            </w:r>
          </w:p>
        </w:tc>
      </w:tr>
    </w:tbl>
    <w:p w:rsidR="00000000" w:rsidRPr="00F02BAB" w:rsidP="00F02BAB">
      <w:pPr>
        <w:pStyle w:val="BodyText"/>
      </w:pPr>
    </w:p>
    <w:p w:rsidR="00000000" w:rsidRPr="00F02BAB" w:rsidP="00F02BAB">
      <w:pPr>
        <w:pStyle w:val="AllowPageBreak"/>
      </w:pPr>
    </w:p>
    <w:p w:rsidR="00000000" w:rsidRPr="00F02BAB" w:rsidP="00F02BAB">
      <w:pPr>
        <w:pStyle w:val="Heading1"/>
      </w:pPr>
      <w:bookmarkStart w:id="4" w:name="O_400207"/>
      <w:bookmarkEnd w:id="4"/>
      <w:r w:rsidRPr="00F02BAB">
        <w:t>Licensing/Regulatory Information</w:t>
      </w:r>
    </w:p>
    <w:tbl>
      <w:tblPr>
        <w:tblW w:w="0" w:type="auto"/>
        <w:tblLayout w:type="fixed"/>
        <w:tblCellMar>
          <w:left w:w="62" w:type="dxa"/>
          <w:right w:w="62" w:type="dxa"/>
        </w:tblCellMar>
        <w:tblLook w:val="0000"/>
      </w:tblPr>
      <w:tblGrid>
        <w:gridCol w:w="2700"/>
        <w:gridCol w:w="5760"/>
      </w:tblGrid>
      <w:tr w:rsidTr="000824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 xml:space="preserve">3) </w:t>
            </w:r>
          </w:p>
        </w:tc>
      </w:tr>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The skills and knowledge described in this unit are not subject to licence regulation other than those directly related to Occupational Health and Safety, gas/electricity/water industry safety and compliance, industrial relations, environmental protection,</w:t>
            </w:r>
            <w:r w:rsidRPr="00F02BAB">
              <w:t xml:space="preserve"> </w:t>
            </w:r>
            <w:r w:rsidRPr="00F02BAB">
              <w:t>telecommunications, anti discrimination and training. Commonwealth, State/Territory or Local Government legislation and regulations may exist that limit the age at which a person can operate certain equipment.</w:t>
            </w:r>
          </w:p>
        </w:tc>
      </w:tr>
    </w:tbl>
    <w:p w:rsidR="00000000" w:rsidRPr="00F02BAB" w:rsidP="00F02BAB">
      <w:pPr>
        <w:pStyle w:val="BodyText"/>
      </w:pPr>
    </w:p>
    <w:p w:rsidR="00000000" w:rsidRPr="00F02BAB" w:rsidP="00F02BAB">
      <w:pPr>
        <w:pStyle w:val="AllowPageBreak"/>
      </w:pPr>
    </w:p>
    <w:p w:rsidR="00000000" w:rsidRPr="00F02BAB" w:rsidP="00F02BAB">
      <w:pPr>
        <w:pStyle w:val="Heading1"/>
      </w:pPr>
      <w:bookmarkStart w:id="5" w:name="O_400208"/>
      <w:bookmarkEnd w:id="5"/>
      <w:r w:rsidRPr="00F02BAB">
        <w:t>Pre-Requisites</w:t>
      </w:r>
    </w:p>
    <w:tbl>
      <w:tblPr>
        <w:tblW w:w="0" w:type="auto"/>
        <w:tblLayout w:type="fixed"/>
        <w:tblCellMar>
          <w:left w:w="62" w:type="dxa"/>
          <w:right w:w="62" w:type="dxa"/>
        </w:tblCellMar>
        <w:tblLook w:val="0000"/>
      </w:tblPr>
      <w:tblGrid>
        <w:gridCol w:w="2700"/>
        <w:gridCol w:w="1800"/>
        <w:gridCol w:w="3960"/>
      </w:tblGrid>
      <w:tr w:rsidTr="000824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 xml:space="preserve">4) </w:t>
            </w:r>
          </w:p>
        </w:tc>
      </w:tr>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4.1)</w:t>
            </w:r>
          </w:p>
        </w:tc>
      </w:tr>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Granting of competency in this unit shall be made only after competency in the following unit(s) has/have been confirmed:</w:t>
            </w:r>
          </w:p>
        </w:tc>
      </w:tr>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Nil</w:t>
            </w:r>
          </w:p>
        </w:tc>
        <w:tc>
          <w:tcPr>
            <w:tcW w:w="3960" w:type="dxa"/>
            <w:tcBorders>
              <w:top w:val="nil"/>
              <w:left w:val="nil"/>
              <w:bottom w:val="nil"/>
              <w:right w:val="nil"/>
            </w:tcBorders>
            <w:tcMar>
              <w:top w:w="0" w:type="dxa"/>
              <w:left w:w="62" w:type="dxa"/>
              <w:bottom w:w="0" w:type="dxa"/>
              <w:right w:w="62" w:type="dxa"/>
            </w:tcMar>
          </w:tcPr>
          <w:p w:rsidR="00000000" w:rsidRPr="00F02BAB" w:rsidP="00F02BAB">
            <w:pPr>
              <w:pStyle w:val="BodyText"/>
            </w:pPr>
          </w:p>
        </w:tc>
      </w:tr>
    </w:tbl>
    <w:p w:rsidR="00000000" w:rsidRPr="00F02BAB" w:rsidP="00F02BA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 xml:space="preserve">4.2) </w:t>
            </w:r>
          </w:p>
          <w:p w:rsidR="00000000" w:rsidP="00F02BAB">
            <w:pPr>
              <w:pStyle w:val="BodyText"/>
              <w:rPr>
                <w:lang w:val="en-NZ"/>
              </w:rPr>
            </w:pPr>
            <w:r w:rsidRPr="00F02BAB">
              <w:t>Participants are best equipped to achieve this unit if they have reading, writing and numeracy skills indicated by the following scales. Description of each scale is given in Volume 2, Part 3 ‘Literacy and Numeracy’</w:t>
            </w:r>
          </w:p>
        </w:tc>
      </w:tr>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Reading</w:t>
            </w:r>
          </w:p>
        </w:tc>
        <w:tc>
          <w:tcPr>
            <w:tcW w:w="81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5</w:t>
            </w:r>
          </w:p>
        </w:tc>
        <w:tc>
          <w:tcPr>
            <w:tcW w:w="99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Writing</w:t>
            </w: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5</w:t>
            </w:r>
          </w:p>
        </w:tc>
        <w:tc>
          <w:tcPr>
            <w:tcW w:w="12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Numeracy</w:t>
            </w:r>
          </w:p>
        </w:tc>
        <w:tc>
          <w:tcPr>
            <w:tcW w:w="72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5</w:t>
            </w:r>
          </w:p>
        </w:tc>
      </w:tr>
    </w:tbl>
    <w:p w:rsidR="00000000" w:rsidRPr="00F02BAB" w:rsidP="00F02BAB">
      <w:pPr>
        <w:pStyle w:val="BodyText"/>
      </w:pPr>
    </w:p>
    <w:p w:rsidR="00000000" w:rsidRPr="00F02BAB" w:rsidP="00F02BAB">
      <w:pPr>
        <w:pStyle w:val="AllowPageBreak"/>
      </w:pPr>
    </w:p>
    <w:p w:rsidR="00000000" w:rsidRPr="00F02BAB" w:rsidP="00F02BAB">
      <w:pPr>
        <w:pStyle w:val="Heading1"/>
      </w:pPr>
      <w:bookmarkStart w:id="6" w:name="O_400204"/>
      <w:bookmarkEnd w:id="6"/>
      <w:r w:rsidRPr="00F02BAB">
        <w:t>Employability Skills Information</w:t>
      </w:r>
    </w:p>
    <w:tbl>
      <w:tblPr>
        <w:tblW w:w="0" w:type="auto"/>
        <w:tblLayout w:type="fixed"/>
        <w:tblCellMar>
          <w:left w:w="62" w:type="dxa"/>
          <w:right w:w="62" w:type="dxa"/>
        </w:tblCellMar>
        <w:tblLook w:val="0000"/>
      </w:tblPr>
      <w:tblGrid>
        <w:gridCol w:w="2700"/>
        <w:gridCol w:w="5760"/>
      </w:tblGrid>
      <w:tr w:rsidTr="000824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 xml:space="preserve">5) </w:t>
            </w:r>
          </w:p>
        </w:tc>
      </w:tr>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This unit contains Employability Skills</w:t>
            </w:r>
          </w:p>
        </w:tc>
      </w:tr>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02BAB">
              <w:t>requirements.</w:t>
            </w:r>
          </w:p>
        </w:tc>
      </w:tr>
    </w:tbl>
    <w:p w:rsidR="00000000" w:rsidRPr="00F02BAB" w:rsidP="00F02BAB">
      <w:pPr>
        <w:pStyle w:val="BodyText"/>
      </w:pPr>
    </w:p>
    <w:p w:rsidR="00000000" w:rsidRPr="00F02BAB" w:rsidP="00F02BAB">
      <w:pPr>
        <w:pStyle w:val="AllowPageBreak"/>
      </w:pPr>
    </w:p>
    <w:p w:rsidR="00000000" w:rsidRPr="00F02BAB" w:rsidP="00F02BAB">
      <w:pPr>
        <w:pStyle w:val="Heading1"/>
      </w:pPr>
      <w:bookmarkStart w:id="7" w:name="O_400203"/>
      <w:bookmarkEnd w:id="7"/>
      <w:r w:rsidRPr="00F02BAB">
        <w:t>Elements and Performance Criteria Pre-Content</w:t>
      </w:r>
    </w:p>
    <w:tbl>
      <w:tblPr>
        <w:tblW w:w="0" w:type="auto"/>
        <w:tblLayout w:type="fixed"/>
        <w:tblCellMar>
          <w:left w:w="62" w:type="dxa"/>
          <w:right w:w="62" w:type="dxa"/>
        </w:tblCellMar>
        <w:tblLook w:val="0000"/>
      </w:tblPr>
      <w:tblGrid>
        <w:gridCol w:w="2700"/>
        <w:gridCol w:w="5760"/>
      </w:tblGrid>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6)</w:t>
            </w:r>
            <w:r w:rsidRPr="00F02BA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Performance Criteria describe the required performance needed to demonstrate achievement of the element</w:t>
            </w:r>
            <w:r w:rsidRPr="00F02BAB">
              <w:t>. Assessment of performance is to be consistent with the Evidence Guide.</w:t>
            </w:r>
          </w:p>
        </w:tc>
      </w:tr>
    </w:tbl>
    <w:p w:rsidR="00000000" w:rsidRPr="00F02BAB" w:rsidP="00F02BAB">
      <w:pPr>
        <w:pStyle w:val="BodyText"/>
      </w:pPr>
    </w:p>
    <w:p w:rsidR="00000000" w:rsidRPr="00F02BAB" w:rsidP="00F02BAB">
      <w:pPr>
        <w:pStyle w:val="AllowPageBreak"/>
      </w:pPr>
    </w:p>
    <w:p w:rsidR="00000000" w:rsidRPr="00F02BAB" w:rsidP="00F02BAB">
      <w:pPr>
        <w:pStyle w:val="Heading1"/>
      </w:pPr>
      <w:bookmarkStart w:id="8" w:name="O_400202"/>
      <w:bookmarkEnd w:id="8"/>
      <w:r w:rsidRPr="00F02BA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824A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PERFORMANCE CRITERIA</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1</w:t>
            </w:r>
          </w:p>
        </w:tc>
        <w:tc>
          <w:tcPr>
            <w:tcW w:w="2296"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Establish and maintain participative arrangements for the management of OHS</w:t>
            </w: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1.1</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Purpose of the OHS management system is established after data is analysed and expected outcomes of the work are confirmed with the appropriate personnel</w:t>
            </w:r>
          </w:p>
        </w:tc>
      </w:tr>
      <w:tr w:rsidTr="000824AB">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1.2</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Legislative requirements and established procedures on policies and spe</w:t>
            </w:r>
            <w:r w:rsidRPr="00F02BAB">
              <w:t>cifications for the OHS management system are obtained or established with the appropriate personnel</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1.3</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Work roles and tasks are allocated according to requirements and individual's competencies</w:t>
            </w:r>
          </w:p>
        </w:tc>
      </w:tr>
      <w:tr w:rsidTr="000824AB">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1.4</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Work is prioritised and sequenced for the most eff</w:t>
            </w:r>
            <w:r w:rsidRPr="00F02BAB">
              <w:t>icient outcome, completed within an acceptable timeframe to a quality standard and in accordance with established procedures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1.5</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Appropriate participative processes with employees and their representatives are established and maintained in accordance with relevant industry standards consistent with enterprise procedures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1.6</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Issues raised through participation and consultation are</w:t>
            </w:r>
            <w:r w:rsidRPr="00F02BAB">
              <w:t xml:space="preserve"> dealt with and resolved promptly and effectively in accordance with procedures for issues resolution</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1.7</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Information is provided to employees about the outcome of participation and consultation in a manner accessible to employees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w:t>
            </w:r>
          </w:p>
        </w:tc>
        <w:tc>
          <w:tcPr>
            <w:tcW w:w="2296"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 xml:space="preserve">Establish and maintain procedures for identifying hazards, assessing and </w:t>
            </w: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2.1</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OHS management system(s) decisions are made on the basis of safety and effective outcomes according to requirements and established procedures</w:t>
            </w:r>
          </w:p>
        </w:tc>
      </w:tr>
      <w:tr w:rsidTr="000824AB">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controlling risks as well as deal</w:t>
            </w:r>
            <w:r w:rsidRPr="00F02BAB">
              <w:t>ing with hazardous events</w:t>
            </w: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2.2</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Essential Knowledge and Associated Skills are applied to analyse specific data and compare it with compliance specifications to ensure completion of the project within an agreed timeframe according to requirements</w:t>
            </w:r>
          </w:p>
        </w:tc>
      </w:tr>
      <w:tr w:rsidTr="000824AB">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2.3</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 xml:space="preserve">Work </w:t>
            </w:r>
            <w:r w:rsidRPr="00F02BAB">
              <w:t>teams are arranged to ensure planned goals are met according to established procedures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2.4</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Solutions to non-routine problems are identified and actioned, using acquired Essential Knowledge and Associated Skills, according to requirements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2.5</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Quality of work is monitored against personal performance agreement and established organisational and professional standards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2.6</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Strategic plans are developed incorporating organisation initiatives as per established procedures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2.7</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Workplace procedures are developed for hazard identification, assessment and control of risks as well as dealing with hazardous events</w:t>
            </w:r>
          </w:p>
        </w:tc>
      </w:tr>
      <w:tr w:rsidTr="000824AB">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2.8</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Identification of all hazards is addressed at the planning, design and evaluation stages of any changes in the wor</w:t>
            </w:r>
            <w:r w:rsidRPr="00F02BAB">
              <w:t>kplace to ensure that new hazards are not created by the proposed changes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2.9</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Procedures for selection and implementation of risk control measures are developed and maintained in accordance with the hierarchy of control</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2.10</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Inadequacies in existing control measures are identified in accordance with the hierarchy of control and resources enabling implementation of new measures are provided promptly</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w:t>
            </w:r>
          </w:p>
        </w:tc>
        <w:tc>
          <w:tcPr>
            <w:tcW w:w="2296"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Maintain an OHS induction and training program, maintain a systems for OHS r</w:t>
            </w:r>
            <w:r w:rsidRPr="00F02BAB">
              <w:t>ecords and evaluate</w:t>
            </w: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3.1</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Final inspections of the OHS management systems are undertaken to ensure they comply with all requirements and include all specifications and documentations needed to complete the project</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the OHS system including policies, procedu</w:t>
            </w:r>
            <w:r w:rsidRPr="00F02BAB">
              <w:t>res and programs</w:t>
            </w: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3.2</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Appropriate personnel are notified of completion and reports and completion documents are finalised</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3.3</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 xml:space="preserve">Reports and completion documents are submitted to relevant personnel for approval and where applicable, statutory or regulatory </w:t>
            </w:r>
            <w:r w:rsidRPr="00F02BAB">
              <w:t>approval</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3.4</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Approved copies of the OHS management systems documents are issued and records are updated in accordance with established procedures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3.5</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OHS training needs are identified and an OHS induction and training program developed to fulfil employee's OHS training needs as a part of the enterprise general training program</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3.6</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Training management system(s) are maintained so that individual employ</w:t>
            </w:r>
            <w:r w:rsidRPr="00F02BAB">
              <w:t>ee's OHS training needs are easily identified, training attendance monitored and non attendance followed up</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3.7</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Monitoring systems for keeping OHS records to meet regulatory requirements are maintained according to OHS legislative arrangements including</w:t>
            </w:r>
            <w:r w:rsidRPr="00F02BAB">
              <w:t xml:space="preserve"> identification of patterns of occupational injury and disease within area of managerial responsibility</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3.8</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OHS system including policies, procedures and programs is assessed according to organisational aims with respect to OHS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3.9</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R</w:t>
            </w:r>
            <w:r w:rsidRPr="00F02BAB">
              <w:t>ecommendations and improvements to the OHS system are developed, documented and implemented to ensure effectiveness according to established procedures</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3.10</w:t>
            </w:r>
          </w:p>
        </w:tc>
        <w:tc>
          <w:tcPr>
            <w:tcW w:w="48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Compliance with OHS legislative requirements and established procedures is assessed to ensure th</w:t>
            </w:r>
            <w:r w:rsidRPr="00F02BAB">
              <w:t>at legal OHS standards are maintained as a minimum</w:t>
            </w:r>
          </w:p>
        </w:tc>
      </w:tr>
      <w:tr w:rsidTr="000824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3.11</w:t>
            </w:r>
          </w:p>
        </w:tc>
        <w:tc>
          <w:tcPr>
            <w:tcW w:w="48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Appropriate personnel are notified on the outcomes of the evaluation(s) and recommendations and completion documents are finalised/commissioned according to established procedures</w:t>
            </w:r>
          </w:p>
        </w:tc>
      </w:tr>
    </w:tbl>
    <w:p w:rsidR="00000000" w:rsidRPr="00F02BAB" w:rsidP="00F02BAB">
      <w:pPr>
        <w:pStyle w:val="BodyText"/>
      </w:pPr>
    </w:p>
    <w:p w:rsidR="00000000" w:rsidRPr="00F02BAB" w:rsidP="00F02BAB">
      <w:pPr>
        <w:pStyle w:val="AllowPageBreak"/>
      </w:pPr>
    </w:p>
    <w:p w:rsidR="00000000" w:rsidRPr="00F02BAB" w:rsidP="00F02BAB">
      <w:pPr>
        <w:pStyle w:val="Heading1"/>
      </w:pPr>
      <w:bookmarkStart w:id="9" w:name="O_400210"/>
      <w:bookmarkEnd w:id="9"/>
      <w:r w:rsidRPr="00F02BAB">
        <w:t>Required Skills and Knowledge</w:t>
      </w:r>
    </w:p>
    <w:tbl>
      <w:tblPr>
        <w:tblW w:w="0" w:type="auto"/>
        <w:tblLayout w:type="fixed"/>
        <w:tblCellMar>
          <w:left w:w="62" w:type="dxa"/>
          <w:right w:w="62" w:type="dxa"/>
        </w:tblCellMar>
        <w:tblLook w:val="0000"/>
      </w:tblPr>
      <w:tblGrid>
        <w:gridCol w:w="8460"/>
      </w:tblGrid>
      <w:tr w:rsidTr="000824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REQUIRED SKILLS AND KNOWLEDGE</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8)</w:t>
            </w:r>
            <w:r w:rsidRPr="00F02BAB">
              <w:t xml:space="preserve"> This describes the essential skills and knowledge and their level, required for this unit.</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Evidence shall show that knowledge has been acquired for managing a utilities industry OHS management system.</w:t>
            </w:r>
          </w:p>
        </w:tc>
      </w:tr>
      <w:tr w:rsidTr="000824AB">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All knowledge and skills detailed in this unit should be contextualised to current industry practices and technologies.</w:t>
            </w:r>
          </w:p>
        </w:tc>
      </w:tr>
    </w:tbl>
    <w:p w:rsidR="00000000" w:rsidRPr="00F02BAB" w:rsidP="00F02BAB">
      <w:pPr>
        <w:pStyle w:val="BodyText"/>
      </w:pPr>
    </w:p>
    <w:tbl>
      <w:tblPr>
        <w:tblW w:w="0" w:type="auto"/>
        <w:tblLayout w:type="fixed"/>
        <w:tblCellMar>
          <w:left w:w="62" w:type="dxa"/>
          <w:right w:w="62" w:type="dxa"/>
        </w:tblCellMar>
        <w:tblLook w:val="0000"/>
      </w:tblPr>
      <w:tblGrid>
        <w:gridCol w:w="1440"/>
        <w:gridCol w:w="990"/>
        <w:gridCol w:w="6030"/>
      </w:tblGrid>
      <w:tr w:rsidTr="000824AB">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KS01-G113B</w:t>
            </w:r>
          </w:p>
        </w:tc>
        <w:tc>
          <w:tcPr>
            <w:tcW w:w="7020" w:type="dxa"/>
            <w:gridSpan w:val="2"/>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OH&amp;S managem</w:t>
            </w:r>
            <w:r w:rsidRPr="00F02BAB">
              <w:rPr>
                <w:rStyle w:val="SpecialBold"/>
              </w:rPr>
              <w:t>ent systems</w:t>
            </w:r>
          </w:p>
        </w:tc>
      </w:tr>
      <w:tr w:rsidTr="000824AB">
        <w:tblPrEx>
          <w:tblW w:w="0" w:type="auto"/>
          <w:tblLayout w:type="fixed"/>
          <w:tblCellMar>
            <w:left w:w="62" w:type="dxa"/>
            <w:right w:w="62" w:type="dxa"/>
          </w:tblCellMar>
          <w:tblLook w:val="0000"/>
        </w:tblPrEx>
        <w:trPr>
          <w:trHeight w:val="60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G 5.1.2</w:t>
            </w:r>
          </w:p>
        </w:tc>
        <w:tc>
          <w:tcPr>
            <w:tcW w:w="603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Apply problem solving, decision making and conflict resolution techniques</w:t>
            </w:r>
          </w:p>
          <w:p w:rsidR="00000000" w:rsidRPr="00F02BAB" w:rsidP="00F02BAB">
            <w:pPr>
              <w:pStyle w:val="BodyText"/>
            </w:pPr>
            <w:r w:rsidRPr="00F02BAB">
              <w:t>Evidence shall show an understanding and application of problem solving, decision making and conflict resolution techniques in a Gas Industry environment, indicated by the following:</w:t>
            </w:r>
          </w:p>
          <w:p w:rsidR="00000000" w:rsidRPr="00F02BAB" w:rsidP="00F02BAB">
            <w:pPr>
              <w:pStyle w:val="ListBullet"/>
            </w:pPr>
            <w:r w:rsidRPr="00F02BAB">
              <w:t>problem solving and decision making techniques</w:t>
            </w:r>
          </w:p>
          <w:p w:rsidR="00000000" w:rsidRPr="00F02BAB" w:rsidP="00F02BAB">
            <w:pPr>
              <w:pStyle w:val="ListBullet2"/>
            </w:pPr>
            <w:r w:rsidRPr="00F02BAB">
              <w:t>the decision making envi</w:t>
            </w:r>
            <w:r w:rsidRPr="00F02BAB">
              <w:t>ronment</w:t>
            </w:r>
          </w:p>
          <w:p w:rsidR="00000000" w:rsidRPr="00F02BAB" w:rsidP="00F02BAB">
            <w:pPr>
              <w:pStyle w:val="ListBullet2"/>
            </w:pPr>
            <w:r w:rsidRPr="00F02BAB">
              <w:t>group decision making</w:t>
            </w:r>
          </w:p>
          <w:p w:rsidR="00000000" w:rsidRPr="00F02BAB" w:rsidP="00F02BAB">
            <w:pPr>
              <w:pStyle w:val="ListBullet2"/>
            </w:pPr>
            <w:r w:rsidRPr="00F02BAB">
              <w:t>guidelines for making decisions</w:t>
            </w:r>
          </w:p>
          <w:p w:rsidR="00000000" w:rsidRPr="00F02BAB" w:rsidP="00F02BAB">
            <w:pPr>
              <w:pStyle w:val="ListBullet2"/>
            </w:pPr>
            <w:r w:rsidRPr="00F02BAB">
              <w:t>decision making aids and support systems</w:t>
            </w:r>
          </w:p>
          <w:p w:rsidR="00000000" w:rsidRPr="00F02BAB" w:rsidP="00F02BAB">
            <w:pPr>
              <w:pStyle w:val="ListBullet2"/>
            </w:pPr>
            <w:r w:rsidRPr="00F02BAB">
              <w:t>negotiation with internal and external stakeholders</w:t>
            </w:r>
          </w:p>
          <w:p w:rsidR="00000000" w:rsidRPr="00F02BAB" w:rsidP="00F02BAB">
            <w:pPr>
              <w:pStyle w:val="ListBullet2"/>
            </w:pPr>
            <w:r w:rsidRPr="00F02BAB">
              <w:t>the nature of negotiation</w:t>
            </w:r>
          </w:p>
          <w:p w:rsidR="00000000" w:rsidRPr="00F02BAB" w:rsidP="00F02BAB">
            <w:pPr>
              <w:pStyle w:val="ListBullet2"/>
            </w:pPr>
            <w:r w:rsidRPr="00F02BAB">
              <w:t>strategy and tactics of bargaining</w:t>
            </w:r>
          </w:p>
          <w:p w:rsidR="00000000" w:rsidRPr="00F02BAB" w:rsidP="00F02BAB">
            <w:pPr>
              <w:pStyle w:val="ListBullet2"/>
            </w:pPr>
            <w:r w:rsidRPr="00F02BAB">
              <w:t>pre-negotiation essentials</w:t>
            </w:r>
          </w:p>
          <w:p w:rsidR="00000000" w:rsidRPr="00F02BAB" w:rsidP="00F02BAB">
            <w:pPr>
              <w:pStyle w:val="ListBullet2"/>
            </w:pPr>
            <w:r w:rsidRPr="00F02BAB">
              <w:t>communication in negotiation</w:t>
            </w:r>
          </w:p>
          <w:p w:rsidR="00000000" w:rsidRPr="00F02BAB" w:rsidP="00F02BAB">
            <w:pPr>
              <w:pStyle w:val="ListBullet"/>
            </w:pPr>
            <w:r w:rsidRPr="00F02BAB">
              <w:t>resolve conflict with internal or external stakeholders</w:t>
            </w:r>
          </w:p>
          <w:p w:rsidR="00000000" w:rsidRPr="00F02BAB" w:rsidP="00F02BAB">
            <w:pPr>
              <w:pStyle w:val="ListBullet2"/>
            </w:pPr>
            <w:r w:rsidRPr="00F02BAB">
              <w:t>dealing with negotiation breakdowns</w:t>
            </w:r>
          </w:p>
          <w:p w:rsidR="00000000" w:rsidRPr="00F02BAB" w:rsidP="00F02BAB">
            <w:pPr>
              <w:pStyle w:val="ListBullet2"/>
            </w:pPr>
            <w:r w:rsidRPr="00F02BAB">
              <w:t>social context of negotiation</w:t>
            </w:r>
          </w:p>
          <w:p w:rsidR="00000000" w:rsidRPr="00F02BAB" w:rsidP="00F02BAB">
            <w:pPr>
              <w:pStyle w:val="ListBullet2"/>
            </w:pPr>
            <w:r w:rsidRPr="00F02BAB">
              <w:t>power in negotiation</w:t>
            </w:r>
          </w:p>
          <w:p w:rsidR="00000000" w:rsidP="00F02BAB">
            <w:pPr>
              <w:pStyle w:val="ListBullet2"/>
              <w:rPr>
                <w:lang w:val="en-NZ"/>
              </w:rPr>
            </w:pPr>
            <w:r w:rsidRPr="00F02BAB">
              <w:t>ethics in negotiation.</w:t>
            </w:r>
          </w:p>
        </w:tc>
      </w:tr>
      <w:tr w:rsidTr="000824A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G 5.1.4</w:t>
            </w:r>
          </w:p>
        </w:tc>
        <w:tc>
          <w:tcPr>
            <w:tcW w:w="603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Management techniques for utilities industry supervision</w:t>
            </w:r>
          </w:p>
          <w:p w:rsidR="00000000" w:rsidRPr="00F02BAB" w:rsidP="00F02BAB">
            <w:pPr>
              <w:pStyle w:val="BodyText"/>
            </w:pPr>
            <w:r w:rsidRPr="00F02BAB">
              <w:t>Evidence shall show an understanding and application of management techniques required of Gas Industry operators in a supervisory capacity, indicated by the following:</w:t>
            </w:r>
          </w:p>
          <w:p w:rsidR="00000000" w:rsidRPr="00F02BAB" w:rsidP="00F02BAB">
            <w:pPr>
              <w:pStyle w:val="ListBullet"/>
            </w:pPr>
            <w:r w:rsidRPr="00F02BAB">
              <w:t>industrial awards and employee</w:t>
            </w:r>
            <w:r w:rsidRPr="00F02BAB">
              <w:t xml:space="preserve"> entitlements</w:t>
            </w:r>
          </w:p>
          <w:p w:rsidR="00000000" w:rsidRPr="00F02BAB" w:rsidP="00F02BAB">
            <w:pPr>
              <w:pStyle w:val="ListBullet2"/>
            </w:pPr>
            <w:r w:rsidRPr="00F02BAB">
              <w:t>industrial conflict</w:t>
            </w:r>
          </w:p>
          <w:p w:rsidR="00000000" w:rsidRPr="00F02BAB" w:rsidP="00F02BAB">
            <w:pPr>
              <w:pStyle w:val="ListBullet2"/>
            </w:pPr>
            <w:r w:rsidRPr="00F02BAB">
              <w:t>industrial relations issues</w:t>
            </w:r>
          </w:p>
          <w:p w:rsidR="00000000" w:rsidRPr="00F02BAB" w:rsidP="00F02BAB">
            <w:pPr>
              <w:pStyle w:val="ListBullet2"/>
            </w:pPr>
            <w:r w:rsidRPr="00F02BAB">
              <w:t>understanding industrial awards and employee entitlements</w:t>
            </w:r>
          </w:p>
          <w:p w:rsidR="00000000" w:rsidRPr="00F02BAB" w:rsidP="00F02BAB">
            <w:pPr>
              <w:pStyle w:val="ListBullet2"/>
            </w:pPr>
            <w:r w:rsidRPr="00F02BAB">
              <w:t>individual and collective bargaining and agreements</w:t>
            </w:r>
          </w:p>
          <w:p w:rsidR="00000000" w:rsidRPr="00F02BAB" w:rsidP="00F02BAB">
            <w:pPr>
              <w:pStyle w:val="ListBullet"/>
            </w:pPr>
            <w:r w:rsidRPr="00F02BAB">
              <w:t>characteristics of ethnic and cultural groups</w:t>
            </w:r>
          </w:p>
          <w:p w:rsidR="00000000" w:rsidRPr="00F02BAB" w:rsidP="00F02BAB">
            <w:pPr>
              <w:pStyle w:val="ListBullet"/>
            </w:pPr>
            <w:r w:rsidRPr="00F02BAB">
              <w:t>Applicable environmental requirements</w:t>
            </w:r>
          </w:p>
          <w:p w:rsidR="00000000" w:rsidRPr="00F02BAB" w:rsidP="00F02BAB">
            <w:pPr>
              <w:pStyle w:val="ListBullet"/>
            </w:pPr>
            <w:r w:rsidRPr="00F02BAB">
              <w:t>relevant organisational standard operating procedures, site specific safety legislation and requirements</w:t>
            </w:r>
          </w:p>
          <w:p w:rsidR="00000000" w:rsidRPr="00F02BAB" w:rsidP="00F02BAB">
            <w:pPr>
              <w:pStyle w:val="ListBullet"/>
            </w:pPr>
            <w:r w:rsidRPr="00F02BAB">
              <w:t>correct waste management procedures</w:t>
            </w:r>
          </w:p>
          <w:p w:rsidR="00000000" w:rsidRPr="00F02BAB" w:rsidP="00F02BAB">
            <w:pPr>
              <w:pStyle w:val="ListBullet"/>
            </w:pPr>
            <w:r w:rsidRPr="00F02BAB">
              <w:t xml:space="preserve">application of OHS management in relation to other organisational management </w:t>
            </w:r>
            <w:r w:rsidRPr="00F02BAB">
              <w:t>systems.</w:t>
            </w:r>
          </w:p>
          <w:p w:rsidR="00000000" w:rsidP="00F02BAB">
            <w:pPr>
              <w:pStyle w:val="ListBullet"/>
              <w:rPr>
                <w:lang w:val="en-NZ"/>
              </w:rPr>
            </w:pPr>
            <w:r w:rsidRPr="00F02BAB">
              <w:t>Related organisational policies and procedures such as business planning, training, purchasing.</w:t>
            </w:r>
          </w:p>
        </w:tc>
      </w:tr>
      <w:tr w:rsidTr="000824A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G 6.1.4</w:t>
            </w:r>
          </w:p>
        </w:tc>
        <w:tc>
          <w:tcPr>
            <w:tcW w:w="603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Communication for utilities industry supervisors</w:t>
            </w:r>
          </w:p>
          <w:p w:rsidR="00000000" w:rsidRPr="00F02BAB" w:rsidP="00F02BAB">
            <w:pPr>
              <w:pStyle w:val="BodyText"/>
            </w:pPr>
            <w:r w:rsidRPr="00F02BAB">
              <w:t>Evidence</w:t>
            </w:r>
            <w:r w:rsidRPr="00F02BAB">
              <w:t xml:space="preserve"> shall show an understanding and utilisation of technology for communication  in a Gas Industry environment, indicated by the following:</w:t>
            </w:r>
          </w:p>
          <w:p w:rsidR="00000000" w:rsidRPr="00F02BAB" w:rsidP="00F02BAB">
            <w:pPr>
              <w:pStyle w:val="ListBullet"/>
            </w:pPr>
            <w:r w:rsidRPr="00F02BAB">
              <w:t>effective communication for Gas Industry managers and supervisors</w:t>
            </w:r>
          </w:p>
          <w:p w:rsidR="00000000" w:rsidRPr="00F02BAB" w:rsidP="00F02BAB">
            <w:pPr>
              <w:pStyle w:val="ListBullet2"/>
            </w:pPr>
            <w:r w:rsidRPr="00F02BAB">
              <w:t>motives for communication</w:t>
            </w:r>
          </w:p>
          <w:p w:rsidR="00000000" w:rsidRPr="00F02BAB" w:rsidP="00F02BAB">
            <w:pPr>
              <w:pStyle w:val="ListBullet2"/>
            </w:pPr>
            <w:r w:rsidRPr="00F02BAB">
              <w:t>communication networks: who communicates with whom</w:t>
            </w:r>
          </w:p>
          <w:p w:rsidR="00000000" w:rsidRPr="00F02BAB" w:rsidP="00F02BAB">
            <w:pPr>
              <w:pStyle w:val="ListBullet2"/>
            </w:pPr>
            <w:r w:rsidRPr="00F02BAB">
              <w:t>verbal and non-verbal communication</w:t>
            </w:r>
          </w:p>
          <w:p w:rsidR="00000000" w:rsidRPr="00F02BAB" w:rsidP="00F02BAB">
            <w:pPr>
              <w:pStyle w:val="ListBullet2"/>
            </w:pPr>
            <w:r w:rsidRPr="00F02BAB">
              <w:t xml:space="preserve">choosing the medium and the flow of a message </w:t>
            </w:r>
          </w:p>
          <w:p w:rsidR="00000000" w:rsidRPr="00F02BAB" w:rsidP="00F02BAB">
            <w:pPr>
              <w:pStyle w:val="ListBullet2"/>
            </w:pPr>
            <w:r w:rsidRPr="00F02BAB">
              <w:t>blocks to effective communication</w:t>
            </w:r>
          </w:p>
          <w:p w:rsidR="00000000" w:rsidRPr="00F02BAB" w:rsidP="00F02BAB">
            <w:pPr>
              <w:pStyle w:val="ListBullet"/>
            </w:pPr>
            <w:r w:rsidRPr="00F02BAB">
              <w:t>analyse and interpret recorded data, review and report</w:t>
            </w:r>
          </w:p>
          <w:p w:rsidR="00000000" w:rsidRPr="00F02BAB" w:rsidP="00F02BAB">
            <w:pPr>
              <w:pStyle w:val="ListBullet"/>
            </w:pPr>
            <w:r w:rsidRPr="00F02BAB">
              <w:t>use information technology for c</w:t>
            </w:r>
            <w:r w:rsidRPr="00F02BAB">
              <w:t>ommunication</w:t>
            </w:r>
          </w:p>
          <w:p w:rsidR="00000000" w:rsidRPr="00F02BAB" w:rsidP="00F02BAB">
            <w:pPr>
              <w:pStyle w:val="ListBullet2"/>
            </w:pPr>
            <w:r w:rsidRPr="00F02BAB">
              <w:t>understanding how to use information technology</w:t>
            </w:r>
          </w:p>
          <w:p w:rsidR="00000000" w:rsidRPr="00F02BAB" w:rsidP="00F02BAB">
            <w:pPr>
              <w:pStyle w:val="ListBullet2"/>
            </w:pPr>
            <w:r w:rsidRPr="00F02BAB">
              <w:t>effective use of email, internet and other communication mediums.</w:t>
            </w:r>
          </w:p>
        </w:tc>
      </w:tr>
    </w:tbl>
    <w:p w:rsidR="000824AB" w:rsidP="00F02BAB">
      <w:pPr>
        <w:pStyle w:val="BodyText"/>
      </w:pPr>
    </w:p>
    <w:p w:rsidR="000824AB" w:rsidP="00F02BAB">
      <w:pPr>
        <w:pStyle w:val="BodyText"/>
      </w:pPr>
    </w:p>
    <w:p w:rsidR="00000000" w:rsidRPr="00F02BAB" w:rsidP="00F02BAB">
      <w:pPr>
        <w:pStyle w:val="Heading1"/>
      </w:pPr>
      <w:bookmarkStart w:id="10" w:name="O_400205"/>
      <w:bookmarkEnd w:id="10"/>
      <w:r w:rsidRPr="00F02BAB">
        <w:t>Evidence Guide</w:t>
      </w:r>
    </w:p>
    <w:tbl>
      <w:tblPr>
        <w:tblW w:w="0" w:type="auto"/>
        <w:tblLayout w:type="fixed"/>
        <w:tblCellMar>
          <w:left w:w="62" w:type="dxa"/>
          <w:right w:w="62" w:type="dxa"/>
        </w:tblCellMar>
        <w:tblLook w:val="0000"/>
      </w:tblPr>
      <w:tblGrid>
        <w:gridCol w:w="8460"/>
      </w:tblGrid>
      <w:tr w:rsidTr="000824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EVIDENCE GUIDE</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9)</w:t>
            </w:r>
            <w:r w:rsidRPr="00F02BAB">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F02BAB" w:rsidP="00F02BAB">
      <w:pPr>
        <w:pStyle w:val="BodyText"/>
      </w:pPr>
    </w:p>
    <w:tbl>
      <w:tblPr>
        <w:tblW w:w="0" w:type="auto"/>
        <w:tblLayout w:type="fixed"/>
        <w:tblCellMar>
          <w:left w:w="62" w:type="dxa"/>
          <w:right w:w="62" w:type="dxa"/>
        </w:tblCellMar>
        <w:tblLook w:val="0000"/>
      </w:tblPr>
      <w:tblGrid>
        <w:gridCol w:w="1890"/>
        <w:gridCol w:w="6570"/>
      </w:tblGrid>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9.1)</w:t>
            </w:r>
          </w:p>
          <w:p w:rsidR="00000000" w:rsidP="00F02BAB">
            <w:pPr>
              <w:pStyle w:val="BodyText"/>
              <w:rPr>
                <w:lang w:val="en-NZ"/>
              </w:rPr>
            </w:pP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Longitudinal competency development approaches to assessment, such as Profiling, require data to be reliably gathered in a form that can be consistently interpreted over time. This approach is best utilised in Apprenticeship programs and reduces assessment</w:t>
            </w:r>
            <w:r w:rsidRPr="00F02BA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02BAB">
              <w:t>tency in a realistically simulated work environment. It is recognised that, in some circumstances, assessment in part or full can occur outside the workplace. However, it must be in accord with industry and regulatory policy in this regard.</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Methods chose</w:t>
            </w:r>
            <w:r w:rsidRPr="00F02BAB">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F02BAB">
              <w:t>required and the critical nature of the competencies being assessed.</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The critical safety nature of working with electricity, electrical equipment, gas or any other hazardous substance/material carries risk in deeming a person competent. Hence, sources of</w:t>
            </w:r>
            <w:r w:rsidRPr="00F02BAB">
              <w:t xml:space="preserve"> evidence need to be ‘rich’ in nature so as to minimise error in judgment.</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Activities associated with normal every day work have a bearing on the decision as to how much and how detailed the data gathered will contribute to its ‘richness’. Some skills ar</w:t>
            </w:r>
            <w:r w:rsidRPr="00F02BAB">
              <w:t>e more critical to safety and operational requirements while the same skills may be more or less frequently practised. These points are raised for the assessors to consider when choosing an assessment method and developing assessment instruments. Sample as</w:t>
            </w:r>
            <w:r w:rsidRPr="00F02BAB">
              <w:t>sessment instruments are included in the Assessment Guidelines of this Training Package.</w:t>
            </w:r>
          </w:p>
        </w:tc>
      </w:tr>
    </w:tbl>
    <w:p w:rsidR="00000000" w:rsidRPr="00F02BAB" w:rsidP="00F02BAB">
      <w:pPr>
        <w:pStyle w:val="BodyText"/>
      </w:pPr>
    </w:p>
    <w:tbl>
      <w:tblPr>
        <w:tblW w:w="0" w:type="auto"/>
        <w:tblLayout w:type="fixed"/>
        <w:tblCellMar>
          <w:left w:w="62" w:type="dxa"/>
          <w:right w:w="62" w:type="dxa"/>
        </w:tblCellMar>
        <w:tblLook w:val="0000"/>
      </w:tblPr>
      <w:tblGrid>
        <w:gridCol w:w="1800"/>
        <w:gridCol w:w="6660"/>
      </w:tblGrid>
      <w:tr w:rsidTr="000824A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Critical aspects of evidence required to demonstrate competency in this unit</w:t>
            </w:r>
          </w:p>
        </w:tc>
        <w:tc>
          <w:tcPr>
            <w:tcW w:w="66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9.2)</w:t>
            </w:r>
          </w:p>
          <w:p w:rsidR="00000000" w:rsidP="00F02BAB">
            <w:pPr>
              <w:pStyle w:val="BodyText"/>
              <w:rPr>
                <w:lang w:val="en-NZ"/>
              </w:rPr>
            </w:pPr>
          </w:p>
        </w:tc>
      </w:tr>
      <w:tr w:rsidTr="000824A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Before the critical aspects of evidence are considered all prerequisites shall be met.</w:t>
            </w:r>
          </w:p>
        </w:tc>
      </w:tr>
      <w:tr w:rsidTr="000824A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Evidence for competence in this unit shall be considered holistically. Each element and associated Performance Criteria shall be demonstrated on at least two occasions</w:t>
            </w:r>
            <w:r w:rsidRPr="00F02BAB">
              <w:t xml:space="preserve"> in accordance with the ‘Assessment Guidelines — UEG11’. Evidence shall also comprise: </w:t>
            </w:r>
          </w:p>
        </w:tc>
      </w:tr>
      <w:tr w:rsidTr="000824A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F02BAB">
            <w:pPr>
              <w:pStyle w:val="ListBullet"/>
              <w:rPr>
                <w:lang w:val="en-NZ"/>
              </w:rPr>
            </w:pPr>
            <w:r w:rsidRPr="00F02BAB">
              <w:t>A representative body of Performance Criteria demonstrated within the timeframes typically expected of the discipline, work function and industrial environment. In p</w:t>
            </w:r>
            <w:r w:rsidRPr="00F02BAB">
              <w:t>articular this shall incorporate evidence that shows a candidate is able to:</w:t>
            </w:r>
          </w:p>
        </w:tc>
      </w:tr>
      <w:tr w:rsidTr="000824A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F02BAB">
            <w:pPr>
              <w:pStyle w:val="ListBullet2"/>
              <w:rPr>
                <w:lang w:val="en-NZ"/>
              </w:rPr>
            </w:pPr>
            <w:r w:rsidRPr="00F02BAB">
              <w:t>Implement Occupational Health and Safety workplace procedures and practices including the use of risk control measures as specified in the Performance Criteria and range</w:t>
            </w:r>
          </w:p>
        </w:tc>
      </w:tr>
      <w:tr w:rsidTr="000824A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F02BAB">
            <w:pPr>
              <w:pStyle w:val="ListBullet2"/>
              <w:rPr>
                <w:lang w:val="en-NZ"/>
              </w:rPr>
            </w:pPr>
            <w:r w:rsidRPr="00F02BAB">
              <w:t>Apply sustainable energy principles and practices as specified in the Performance Criteria and range</w:t>
            </w:r>
          </w:p>
        </w:tc>
      </w:tr>
      <w:tr w:rsidTr="000824A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F02BAB">
            <w:pPr>
              <w:pStyle w:val="ListBullet2"/>
              <w:rPr>
                <w:lang w:val="en-NZ"/>
              </w:rPr>
            </w:pPr>
            <w:r w:rsidRPr="00F02BAB">
              <w:t>Demonstrate an understanding of the essential knowledge and associated skills as described in this unit to such an extent that the learner’s performance</w:t>
            </w:r>
            <w:r w:rsidRPr="00F02BAB">
              <w:t xml:space="preserve"> outcome is reported in accordance with the preferred approach; namely a percentile graded result, where required by the regulated environment</w:t>
            </w:r>
          </w:p>
        </w:tc>
      </w:tr>
      <w:tr w:rsidTr="000824A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F02BAB">
            <w:pPr>
              <w:pStyle w:val="ListBullet2"/>
              <w:rPr>
                <w:lang w:val="en-NZ"/>
              </w:rPr>
            </w:pPr>
            <w:r w:rsidRPr="00F02BAB">
              <w:t>Demonstrate an appropriate level of employability skills</w:t>
            </w:r>
          </w:p>
        </w:tc>
      </w:tr>
      <w:tr w:rsidTr="000824AB">
        <w:tblPrEx>
          <w:tblW w:w="0" w:type="auto"/>
          <w:tblLayout w:type="fixed"/>
          <w:tblCellMar>
            <w:left w:w="62" w:type="dxa"/>
            <w:right w:w="62" w:type="dxa"/>
          </w:tblCellMar>
          <w:tblLook w:val="0000"/>
        </w:tblPrEx>
        <w:trPr>
          <w:trHeight w:val="602"/>
        </w:trPr>
        <w:tc>
          <w:tcPr>
            <w:tcW w:w="18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F02BAB">
            <w:pPr>
              <w:pStyle w:val="ListBullet2"/>
              <w:rPr>
                <w:lang w:val="en-NZ"/>
              </w:rPr>
            </w:pPr>
            <w:r w:rsidRPr="00F02BAB">
              <w:t>Conduct work observing the relevant Anti discrimin</w:t>
            </w:r>
            <w:r w:rsidRPr="00F02BAB">
              <w:t>ation legislation, regulations, polices and workplace procedures;</w:t>
            </w:r>
          </w:p>
        </w:tc>
      </w:tr>
      <w:tr w:rsidTr="000824A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660" w:type="dxa"/>
            <w:tcBorders>
              <w:top w:val="nil"/>
              <w:left w:val="nil"/>
              <w:bottom w:val="nil"/>
              <w:right w:val="nil"/>
            </w:tcBorders>
            <w:tcMar>
              <w:top w:w="0" w:type="dxa"/>
              <w:left w:w="62" w:type="dxa"/>
              <w:bottom w:w="0" w:type="dxa"/>
              <w:right w:w="62" w:type="dxa"/>
            </w:tcMar>
          </w:tcPr>
          <w:p w:rsidR="00000000" w:rsidP="00F02BAB">
            <w:pPr>
              <w:pStyle w:val="ListBullet"/>
              <w:rPr>
                <w:lang w:val="en-NZ"/>
              </w:rPr>
            </w:pPr>
            <w:r w:rsidRPr="00F02BAB">
              <w:t>Demonstrate performance across a representative range of contexts from the prescribed items below:</w:t>
            </w:r>
          </w:p>
        </w:tc>
      </w:tr>
      <w:tr w:rsidTr="000824A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Note: Competence may be demonstrated working individua</w:t>
            </w:r>
            <w:r w:rsidRPr="00F02BAB">
              <w:t>lly or under the guidance of or as a member of a team, with specialist OHS staff, managers or consultants</w:t>
            </w:r>
          </w:p>
        </w:tc>
      </w:tr>
    </w:tbl>
    <w:p w:rsidR="00000000" w:rsidRPr="00F02BAB" w:rsidP="00F02BAB">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0824AB">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02BAB">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BAB">
            <w:pPr>
              <w:pStyle w:val="BodyText"/>
              <w:rPr>
                <w:lang w:val="en-NZ"/>
              </w:rPr>
            </w:pPr>
            <w:r w:rsidRPr="00F02BAB">
              <w:rPr>
                <w:rStyle w:val="SpecialBold"/>
              </w:rPr>
              <w:t>Range of tools/equipment/procedures/workplace</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02BAB">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BAB" w:rsidP="00F02BAB">
            <w:pPr>
              <w:pStyle w:val="BodyText"/>
            </w:pPr>
            <w:r w:rsidRPr="00F02BAB">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BAB" w:rsidP="00F02BAB">
            <w:pPr>
              <w:pStyle w:val="BodyText"/>
            </w:pPr>
            <w:r w:rsidRPr="00F02BAB">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BAB">
            <w:pPr>
              <w:pStyle w:val="BodyText"/>
              <w:rPr>
                <w:lang w:val="en-NZ"/>
              </w:rPr>
            </w:pPr>
            <w:r w:rsidRPr="00F02BAB">
              <w:rPr>
                <w:rStyle w:val="SpecialBold"/>
              </w:rPr>
              <w:t>Item List</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BAB">
            <w:pPr>
              <w:pStyle w:val="BodyText"/>
              <w:rPr>
                <w:lang w:val="en-NZ"/>
              </w:rPr>
            </w:pPr>
            <w:r w:rsidRPr="00F02BAB">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BAB">
            <w:pPr>
              <w:pStyle w:val="BodyText"/>
              <w:rPr>
                <w:lang w:val="en-NZ"/>
              </w:rPr>
            </w:pPr>
            <w:r w:rsidRPr="00F02BA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BAB" w:rsidP="00F02BAB">
            <w:pPr>
              <w:pStyle w:val="BodyText"/>
            </w:pPr>
            <w:r w:rsidRPr="00F02BAB">
              <w:t>Communicate and consult with work groups</w:t>
            </w:r>
          </w:p>
          <w:p w:rsidR="00000000" w:rsidRPr="00F02BAB" w:rsidP="00F02BAB">
            <w:pPr>
              <w:pStyle w:val="BodyText"/>
            </w:pPr>
            <w:r w:rsidRPr="00F02BAB">
              <w:t>Develop, implement and maintain the organisational OHS policies and procedures</w:t>
            </w:r>
          </w:p>
          <w:p w:rsidR="00000000" w:rsidRPr="00F02BAB" w:rsidP="00F02BAB">
            <w:pPr>
              <w:pStyle w:val="BodyText"/>
            </w:pPr>
            <w:r w:rsidRPr="00F02BAB">
              <w:t xml:space="preserve">Manage a systematic approach to OHS </w:t>
            </w:r>
          </w:p>
          <w:p w:rsidR="00000000" w:rsidRPr="00F02BAB" w:rsidP="00F02BAB">
            <w:pPr>
              <w:pStyle w:val="BodyText"/>
            </w:pPr>
            <w:r w:rsidRPr="00F02BAB">
              <w:t>Understand the relevance to OHS management to other organisational systems, policies and procedures</w:t>
            </w:r>
          </w:p>
          <w:p w:rsidR="00000000" w:rsidP="00F02BAB">
            <w:pPr>
              <w:pStyle w:val="BodyText"/>
              <w:rPr>
                <w:lang w:val="en-NZ"/>
              </w:rPr>
            </w:pPr>
            <w:r w:rsidRPr="00F02BAB">
              <w:t>Understand the impact of the characteristics and composition of the workforce on OHS systems</w:t>
            </w:r>
          </w:p>
        </w:tc>
      </w:tr>
      <w:tr w:rsidTr="000824AB">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BAB">
            <w:pPr>
              <w:pStyle w:val="BodyText"/>
              <w:rPr>
                <w:lang w:val="en-NZ"/>
              </w:rPr>
            </w:pPr>
            <w:r w:rsidRPr="00F02BAB">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BAB">
            <w:pPr>
              <w:pStyle w:val="BodyText"/>
              <w:rPr>
                <w:lang w:val="en-NZ"/>
              </w:rPr>
            </w:pPr>
            <w:r w:rsidRPr="00F02BA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BAB" w:rsidP="00F02BAB">
            <w:pPr>
              <w:pStyle w:val="BodyText"/>
            </w:pPr>
            <w:r w:rsidRPr="00F02BAB">
              <w:t>Understand principles and practice of OHS management including hierarchy of control measures, risk management, OHS training and incident and accident inv</w:t>
            </w:r>
            <w:r w:rsidRPr="00F02BAB">
              <w:t>estigation</w:t>
            </w:r>
          </w:p>
          <w:p w:rsidR="00000000" w:rsidRPr="00F02BAB" w:rsidP="00F02BAB">
            <w:pPr>
              <w:pStyle w:val="BodyText"/>
            </w:pPr>
            <w:r w:rsidRPr="00F02BAB">
              <w:t>Identify hazards, analyse and manage risks in the workplace and design and implement appropriate OHS management systems</w:t>
            </w:r>
          </w:p>
          <w:p w:rsidR="00000000" w:rsidRPr="00F02BAB" w:rsidP="00F02BAB">
            <w:pPr>
              <w:pStyle w:val="BodyText"/>
            </w:pPr>
            <w:r w:rsidRPr="00F02BAB">
              <w:t xml:space="preserve">Analyse relevant workplace data and deliver information sessions </w:t>
            </w:r>
          </w:p>
          <w:p w:rsidR="00000000" w:rsidRPr="00F02BAB" w:rsidP="00F02BAB">
            <w:pPr>
              <w:pStyle w:val="BodyText"/>
            </w:pPr>
            <w:r w:rsidRPr="00F02BAB">
              <w:t>Understand and be able to apply relevant state and territor</w:t>
            </w:r>
            <w:r w:rsidRPr="00F02BAB">
              <w:t xml:space="preserve">y legislation, regulations, advisory codes and standards </w:t>
            </w:r>
          </w:p>
          <w:p w:rsidR="00000000" w:rsidRPr="00F02BAB" w:rsidP="00F02BAB">
            <w:pPr>
              <w:pStyle w:val="BodyText"/>
            </w:pPr>
            <w:r w:rsidRPr="00F02BAB">
              <w:t xml:space="preserve">Develop reports to manage OHS </w:t>
            </w:r>
          </w:p>
          <w:p w:rsidR="00000000" w:rsidRPr="00F02BAB" w:rsidP="00F02BAB">
            <w:pPr>
              <w:pStyle w:val="BodyText"/>
            </w:pPr>
            <w:r w:rsidRPr="00F02BAB">
              <w:t>Identify when expert advice is needed, to obtain that advice and to act on it appropriately</w:t>
            </w:r>
          </w:p>
          <w:p w:rsidR="00000000" w:rsidP="00F02BAB">
            <w:pPr>
              <w:pStyle w:val="BodyText"/>
              <w:rPr>
                <w:lang w:val="en-NZ"/>
              </w:rPr>
            </w:pPr>
            <w:r w:rsidRPr="00F02BAB">
              <w:t>Asse</w:t>
            </w:r>
            <w:r w:rsidRPr="00F02BAB">
              <w:t>ss resources needed to establish and maintain OHS systems including a range of control measures</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BAB">
            <w:pPr>
              <w:pStyle w:val="BodyText"/>
              <w:rPr>
                <w:lang w:val="en-NZ"/>
              </w:rPr>
            </w:pPr>
            <w:r w:rsidRPr="00F02BAB">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BAB">
            <w:pPr>
              <w:pStyle w:val="BodyText"/>
              <w:rPr>
                <w:lang w:val="en-NZ"/>
              </w:rPr>
            </w:pPr>
            <w:r w:rsidRPr="00F02BAB">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BAB" w:rsidP="00F02BAB">
            <w:pPr>
              <w:pStyle w:val="BodyText"/>
            </w:pPr>
            <w:r w:rsidRPr="00F02BAB">
              <w:t>Deal with an unplanned event by drawing on essential knowledge and associated skills to provide appropriate solutions incorporated in</w:t>
            </w:r>
            <w:r w:rsidRPr="00F02BAB">
              <w:t xml:space="preserve"> the holistic assessment with the above listed items </w:t>
            </w:r>
          </w:p>
        </w:tc>
      </w:tr>
    </w:tbl>
    <w:p w:rsidR="00000000" w:rsidRPr="00F02BAB" w:rsidP="00F02BAB">
      <w:pPr>
        <w:pStyle w:val="BodyText"/>
      </w:pPr>
    </w:p>
    <w:tbl>
      <w:tblPr>
        <w:tblW w:w="0" w:type="auto"/>
        <w:tblLayout w:type="fixed"/>
        <w:tblCellMar>
          <w:left w:w="62" w:type="dxa"/>
          <w:right w:w="62" w:type="dxa"/>
        </w:tblCellMar>
        <w:tblLook w:val="0000"/>
      </w:tblPr>
      <w:tblGrid>
        <w:gridCol w:w="1890"/>
        <w:gridCol w:w="6570"/>
      </w:tblGrid>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9.3)</w:t>
            </w:r>
          </w:p>
          <w:p w:rsidR="00000000" w:rsidP="00F02BAB">
            <w:pPr>
              <w:pStyle w:val="BodyText"/>
              <w:rPr>
                <w:lang w:val="en-NZ"/>
              </w:rPr>
            </w:pP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 xml:space="preserve">This unit should be assessed as it relates to normal work practice using procedures, information and resources typical of a workplace. This </w:t>
            </w:r>
            <w:r w:rsidRPr="00F02BAB">
              <w:t>should include:</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ListBullet"/>
              <w:rPr>
                <w:lang w:val="en-NZ"/>
              </w:rPr>
            </w:pPr>
            <w:r w:rsidRPr="00F02BAB">
              <w:t>OHS policy and work procedures and instructions.</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ListBullet"/>
              <w:rPr>
                <w:lang w:val="en-NZ"/>
              </w:rPr>
            </w:pPr>
            <w:r w:rsidRPr="00F02BAB">
              <w:t>Suitable work environment, facilities, equipment and materials to undertake actual work as prescribed by this Unit.</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ListBullet"/>
              <w:rPr>
                <w:lang w:val="en-NZ"/>
              </w:rPr>
            </w:pPr>
            <w:r w:rsidRPr="00F02BAB">
              <w:t>Appropriate environmental regulation and work practices.</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ListBullet"/>
              <w:rPr>
                <w:lang w:val="en-NZ"/>
              </w:rPr>
            </w:pPr>
            <w:r w:rsidRPr="00F02BAB">
              <w:t>Appropriate organisational requirements.</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ListBullet"/>
              <w:rPr>
                <w:lang w:val="en-NZ"/>
              </w:rPr>
            </w:pPr>
            <w:r w:rsidRPr="00F02BAB">
              <w:t>Appropriate work environment, equipment and tools.</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In addition to the resources listed above, in Context of and specific resources for assessment, evidence should show demonstrated competency in managing a util</w:t>
            </w:r>
            <w:r w:rsidRPr="00F02BAB">
              <w:t>ities industry OHS management system.</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Assessment of this competency must also be undertaken in either an actual workplace or under a simulated work environment. Assessment must also integrate the employability skills.</w:t>
            </w:r>
          </w:p>
        </w:tc>
      </w:tr>
    </w:tbl>
    <w:p w:rsidR="00000000" w:rsidRPr="00F02BAB" w:rsidP="00F02BAB">
      <w:pPr>
        <w:pStyle w:val="BodyText"/>
      </w:pPr>
    </w:p>
    <w:tbl>
      <w:tblPr>
        <w:tblW w:w="0" w:type="auto"/>
        <w:tblLayout w:type="fixed"/>
        <w:tblCellMar>
          <w:left w:w="62" w:type="dxa"/>
          <w:right w:w="62" w:type="dxa"/>
        </w:tblCellMar>
        <w:tblLook w:val="0000"/>
      </w:tblPr>
      <w:tblGrid>
        <w:gridCol w:w="1890"/>
        <w:gridCol w:w="6570"/>
      </w:tblGrid>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9.4)</w:t>
            </w:r>
          </w:p>
        </w:tc>
      </w:tr>
      <w:tr w:rsidTr="000824AB">
        <w:tblPrEx>
          <w:tblW w:w="0" w:type="auto"/>
          <w:tblLayout w:type="fixed"/>
          <w:tblCellMar>
            <w:left w:w="62" w:type="dxa"/>
            <w:right w:w="62" w:type="dxa"/>
          </w:tblCellMar>
          <w:tblLook w:val="0000"/>
        </w:tblPrEx>
        <w:trPr>
          <w:trHeight w:val="73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This Unit shall be assessed by methods given in Volume 1, Part 3 ‘Assessment Guidelines’.</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 xml:space="preserve">Note: Competent performance with inherent safe working practices is expected in the Industry to which this Unit applies. This requires that the specified Essential </w:t>
            </w:r>
            <w:r w:rsidRPr="00F02BAB">
              <w:t>Knowledge and Associated Skills are assessed in a structured environment which is primarily intended for learning/assessment and incorporates all necessary equipment and facilities for learners to develop and demonstrate the Essential Knowledge and Associa</w:t>
            </w:r>
            <w:r w:rsidRPr="00F02BAB">
              <w:t>ted Skills described in this unit.</w:t>
            </w:r>
          </w:p>
        </w:tc>
      </w:tr>
    </w:tbl>
    <w:p w:rsidR="00000000" w:rsidRPr="00F02BAB" w:rsidP="00F02BAB">
      <w:pPr>
        <w:pStyle w:val="BodyText"/>
      </w:pPr>
    </w:p>
    <w:tbl>
      <w:tblPr>
        <w:tblW w:w="0" w:type="auto"/>
        <w:tblLayout w:type="fixed"/>
        <w:tblCellMar>
          <w:left w:w="62" w:type="dxa"/>
          <w:right w:w="62" w:type="dxa"/>
        </w:tblCellMar>
        <w:tblLook w:val="0000"/>
      </w:tblPr>
      <w:tblGrid>
        <w:gridCol w:w="1890"/>
        <w:gridCol w:w="1620"/>
        <w:gridCol w:w="4950"/>
      </w:tblGrid>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9.5)</w:t>
            </w:r>
          </w:p>
        </w:tc>
      </w:tr>
      <w:tr w:rsidTr="000824AB">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 xml:space="preserve">There are no recommended concurrent assessments with this unit, however in some cases efficiencies may be gained in terms of learning and assessment </w:t>
            </w:r>
            <w:r w:rsidRPr="00F02BAB">
              <w:t>effort being concurrently managed with allied Units where listed.</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UEGNSG115B</w:t>
            </w:r>
          </w:p>
        </w:tc>
        <w:tc>
          <w:tcPr>
            <w:tcW w:w="495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Manage gas system projects</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UEGNSG116B</w:t>
            </w:r>
          </w:p>
        </w:tc>
        <w:tc>
          <w:tcPr>
            <w:tcW w:w="495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Manage gas system physical resources</w:t>
            </w:r>
          </w:p>
        </w:tc>
      </w:tr>
      <w:tr w:rsidTr="000824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UEGNSG141A</w:t>
            </w:r>
          </w:p>
        </w:tc>
        <w:tc>
          <w:tcPr>
            <w:tcW w:w="495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Manage environmental performance</w:t>
            </w:r>
          </w:p>
        </w:tc>
      </w:tr>
    </w:tbl>
    <w:p w:rsidR="000824AB" w:rsidP="00F02BAB">
      <w:pPr>
        <w:pStyle w:val="BodyText"/>
      </w:pPr>
    </w:p>
    <w:p w:rsidR="000824AB" w:rsidP="00F02BAB">
      <w:pPr>
        <w:pStyle w:val="BodyText"/>
      </w:pPr>
    </w:p>
    <w:p w:rsidR="00000000" w:rsidRPr="00F02BAB" w:rsidP="00F02BAB">
      <w:pPr>
        <w:pStyle w:val="Heading1"/>
      </w:pPr>
      <w:bookmarkStart w:id="11" w:name="O_400209"/>
      <w:bookmarkEnd w:id="11"/>
      <w:r w:rsidRPr="00F02BAB">
        <w:t>Range Statement</w:t>
      </w:r>
    </w:p>
    <w:tbl>
      <w:tblPr>
        <w:tblW w:w="0" w:type="auto"/>
        <w:tblLayout w:type="fixed"/>
        <w:tblCellMar>
          <w:left w:w="62" w:type="dxa"/>
          <w:right w:w="62" w:type="dxa"/>
        </w:tblCellMar>
        <w:tblLook w:val="0000"/>
      </w:tblPr>
      <w:tblGrid>
        <w:gridCol w:w="8460"/>
      </w:tblGrid>
      <w:tr w:rsidTr="000824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RANGE STATEMENT</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10)</w:t>
            </w:r>
            <w:r w:rsidRPr="00F02BAB">
              <w:t xml:space="preserve"> This relates to the competency standard unit as a whole providing the range of contexts and conditions to which the Performance Criteria apply. It allows for different work environments and situations that will affect performance.</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This Unit shall be demonstrated in relation to managing a utilities industry OHS management system to be performed in a utilities industry work environment. The following constants and variables included in the element/Performance Criteria in this unit are</w:t>
            </w:r>
            <w:r w:rsidRPr="00F02BAB">
              <w:t xml:space="preserve"> fully described in the Definitions Section.</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OHS legislative arrangements</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Hazard (5)</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Organisational procedure for managing risks including an OHS framework</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Work instructions</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Designated personnel for OHS</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OHS issues</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Contributions to OHS</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Participative</w:t>
            </w:r>
            <w:r w:rsidRPr="00F02BAB">
              <w:t xml:space="preserve"> arrangements</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Assessing/controlling risks</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OHS information to co-workers including training</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OHS safety records</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t>Workplace hazard reports</w:t>
            </w:r>
          </w:p>
        </w:tc>
      </w:tr>
      <w:tr w:rsidTr="000824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OHS management system</w:t>
            </w:r>
          </w:p>
        </w:tc>
      </w:tr>
    </w:tbl>
    <w:p w:rsidR="00000000" w:rsidRPr="00F02BAB" w:rsidP="00F02BAB">
      <w:pPr>
        <w:pStyle w:val="BodyText"/>
      </w:pPr>
    </w:p>
    <w:p w:rsidR="00000000" w:rsidRPr="00F02BAB" w:rsidP="00F02BAB">
      <w:pPr>
        <w:pStyle w:val="AllowPageBreak"/>
      </w:pPr>
    </w:p>
    <w:p w:rsidR="00000000" w:rsidRPr="00F02BAB" w:rsidP="00F02BAB">
      <w:pPr>
        <w:pStyle w:val="Heading1"/>
      </w:pPr>
      <w:bookmarkStart w:id="12" w:name="O_400212"/>
      <w:bookmarkEnd w:id="12"/>
      <w:r w:rsidRPr="00F02BAB">
        <w:t>Unit Sector(s)</w:t>
      </w:r>
    </w:p>
    <w:p w:rsidR="00000000" w:rsidRPr="00F02BAB" w:rsidP="00F02BAB">
      <w:pPr>
        <w:pStyle w:val="BodyText"/>
      </w:pPr>
      <w:r w:rsidRPr="00F02BAB">
        <w:t>Not applicable.</w:t>
      </w:r>
    </w:p>
    <w:p w:rsidR="00000000" w:rsidRPr="00F02BAB" w:rsidP="00F02BAB">
      <w:pPr>
        <w:pStyle w:val="AllowPageBreak"/>
      </w:pPr>
    </w:p>
    <w:p w:rsidR="00000000" w:rsidRPr="00F02BAB" w:rsidP="00F02BAB">
      <w:pPr>
        <w:pStyle w:val="Heading1"/>
      </w:pPr>
      <w:bookmarkStart w:id="13" w:name="O_400201"/>
      <w:bookmarkEnd w:id="13"/>
      <w:r w:rsidRPr="00F02BAB">
        <w:t>Competency Field</w:t>
      </w:r>
    </w:p>
    <w:tbl>
      <w:tblPr>
        <w:tblW w:w="0" w:type="auto"/>
        <w:tblLayout w:type="fixed"/>
        <w:tblCellMar>
          <w:left w:w="62" w:type="dxa"/>
          <w:right w:w="62" w:type="dxa"/>
        </w:tblCellMar>
        <w:tblLook w:val="0000"/>
      </w:tblPr>
      <w:tblGrid>
        <w:gridCol w:w="2700"/>
        <w:gridCol w:w="5760"/>
      </w:tblGrid>
      <w:tr w:rsidTr="000824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2BAB">
            <w:pPr>
              <w:pStyle w:val="BodyText"/>
              <w:rPr>
                <w:lang w:val="en-NZ"/>
              </w:rPr>
            </w:pPr>
            <w:r w:rsidRPr="00F02BAB">
              <w:rPr>
                <w:rStyle w:val="SpecialBold"/>
              </w:rPr>
              <w:t xml:space="preserve">11) </w:t>
            </w:r>
          </w:p>
        </w:tc>
      </w:tr>
      <w:tr w:rsidTr="000824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2BAB" w:rsidP="00F02BAB">
            <w:pPr>
              <w:pStyle w:val="BodyText"/>
            </w:pPr>
            <w:r w:rsidRPr="00F02BAB">
              <w:t>Cross discipline.</w:t>
            </w:r>
          </w:p>
        </w:tc>
      </w:tr>
    </w:tbl>
    <w:p w:rsidR="00000000" w:rsidRPr="00F02BAB" w:rsidP="00F02BAB">
      <w:pPr>
        <w:pStyle w:val="BodyText"/>
      </w:pPr>
    </w:p>
    <w:p w:rsidR="00000000" w:rsidRPr="00F02BAB" w:rsidP="00F02BAB"/>
    <w:sectPr w:rsidSect="00F02B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4AB" w:rsidP="00082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AB" w:rsidP="00F02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824AB" w:rsidP="00F02B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824AB" w:rsidP="00F02B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4AB" w:rsidP="000824A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AB" w:rsidP="00F02BAB">
    <w:pPr>
      <w:pStyle w:val="Header"/>
      <w:framePr w:wrap="around"/>
    </w:pPr>
    <w:r>
      <w:fldChar w:fldCharType="begin"/>
    </w:r>
    <w:r>
      <w:instrText xml:space="preserve"> TITLE   \* MERGEFORMAT </w:instrText>
    </w:r>
    <w:r>
      <w:fldChar w:fldCharType="separate"/>
    </w:r>
    <w:r>
      <w:t>UEGNSG113B Manage a utilities industry OHS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24AB" w:rsidP="00F02B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C6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708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80A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B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2BAB"/>
    <w:pPr>
      <w:spacing w:before="360" w:after="60"/>
      <w:outlineLvl w:val="0"/>
    </w:pPr>
    <w:rPr>
      <w:sz w:val="32"/>
    </w:rPr>
  </w:style>
  <w:style w:type="paragraph" w:styleId="Heading2">
    <w:name w:val="heading 2"/>
    <w:basedOn w:val="HeadingBase"/>
    <w:next w:val="BodyText"/>
    <w:link w:val="Heading2Char"/>
    <w:qFormat/>
    <w:rsid w:val="00F02BAB"/>
    <w:pPr>
      <w:keepLines/>
      <w:spacing w:before="240" w:after="120"/>
      <w:outlineLvl w:val="1"/>
    </w:pPr>
    <w:rPr>
      <w:sz w:val="28"/>
      <w:szCs w:val="40"/>
    </w:rPr>
  </w:style>
  <w:style w:type="paragraph" w:styleId="Heading3">
    <w:name w:val="heading 3"/>
    <w:basedOn w:val="HeadingBase"/>
    <w:next w:val="BodyText"/>
    <w:link w:val="Heading3Char"/>
    <w:qFormat/>
    <w:rsid w:val="00F02BAB"/>
    <w:pPr>
      <w:spacing w:before="180" w:after="120"/>
      <w:outlineLvl w:val="2"/>
    </w:pPr>
    <w:rPr>
      <w:spacing w:val="-10"/>
      <w:kern w:val="32"/>
    </w:rPr>
  </w:style>
  <w:style w:type="paragraph" w:styleId="Heading4">
    <w:name w:val="heading 4"/>
    <w:basedOn w:val="HeadingBase"/>
    <w:next w:val="BodyText"/>
    <w:link w:val="Heading4Char"/>
    <w:qFormat/>
    <w:rsid w:val="00F02BAB"/>
    <w:pPr>
      <w:spacing w:before="160" w:after="120"/>
      <w:outlineLvl w:val="3"/>
    </w:pPr>
    <w:rPr>
      <w:sz w:val="22"/>
    </w:rPr>
  </w:style>
  <w:style w:type="paragraph" w:styleId="Heading5">
    <w:name w:val="heading 5"/>
    <w:basedOn w:val="HeadingBase"/>
    <w:next w:val="Normal"/>
    <w:link w:val="Heading5Char"/>
    <w:qFormat/>
    <w:rsid w:val="00F02BAB"/>
    <w:pPr>
      <w:spacing w:before="80"/>
      <w:outlineLvl w:val="4"/>
    </w:pPr>
    <w:rPr>
      <w:color w:val="918585"/>
      <w:sz w:val="20"/>
    </w:rPr>
  </w:style>
  <w:style w:type="paragraph" w:styleId="Heading6">
    <w:name w:val="heading 6"/>
    <w:basedOn w:val="HeadingBase"/>
    <w:next w:val="Normal"/>
    <w:link w:val="Heading6Char"/>
    <w:qFormat/>
    <w:rsid w:val="00F02BAB"/>
    <w:pPr>
      <w:spacing w:before="60"/>
      <w:outlineLvl w:val="5"/>
    </w:pPr>
    <w:rPr>
      <w:color w:val="918585"/>
      <w:sz w:val="20"/>
    </w:rPr>
  </w:style>
  <w:style w:type="paragraph" w:styleId="Heading7">
    <w:name w:val="heading 7"/>
    <w:basedOn w:val="Normal"/>
    <w:next w:val="Normal"/>
    <w:link w:val="Heading7Char"/>
    <w:qFormat/>
    <w:rsid w:val="00F02BAB"/>
    <w:pPr>
      <w:ind w:left="720"/>
      <w:outlineLvl w:val="6"/>
    </w:pPr>
    <w:rPr>
      <w:i/>
    </w:rPr>
  </w:style>
  <w:style w:type="paragraph" w:styleId="Heading8">
    <w:name w:val="heading 8"/>
    <w:basedOn w:val="Normal"/>
    <w:next w:val="Normal"/>
    <w:link w:val="Heading8Char"/>
    <w:qFormat/>
    <w:rsid w:val="00F02BAB"/>
    <w:pPr>
      <w:ind w:left="720"/>
      <w:outlineLvl w:val="7"/>
    </w:pPr>
    <w:rPr>
      <w:i/>
    </w:rPr>
  </w:style>
  <w:style w:type="paragraph" w:styleId="Heading9">
    <w:name w:val="heading 9"/>
    <w:basedOn w:val="Normal"/>
    <w:next w:val="Normal"/>
    <w:link w:val="Heading9Char"/>
    <w:qFormat/>
    <w:rsid w:val="00F02BAB"/>
    <w:pPr>
      <w:ind w:left="720"/>
      <w:outlineLvl w:val="8"/>
    </w:pPr>
    <w:rPr>
      <w:i/>
    </w:rPr>
  </w:style>
  <w:style w:type="character" w:default="1" w:styleId="DefaultParagraphFont">
    <w:name w:val="Default Paragraph Font"/>
    <w:uiPriority w:val="1"/>
    <w:unhideWhenUsed/>
    <w:rsid w:val="00F02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BAB"/>
  </w:style>
  <w:style w:type="character" w:customStyle="1" w:styleId="Heading1Char">
    <w:name w:val="Heading 1 Char"/>
    <w:link w:val="Heading1"/>
    <w:rsid w:val="00F02BAB"/>
    <w:rPr>
      <w:rFonts w:ascii="Times New Roman" w:eastAsia="Times New Roman" w:hAnsi="Times New Roman" w:cs="Times New Roman"/>
      <w:b/>
      <w:sz w:val="32"/>
      <w:szCs w:val="20"/>
      <w:lang w:eastAsia="en-US"/>
    </w:rPr>
  </w:style>
  <w:style w:type="paragraph" w:styleId="BodyText">
    <w:name w:val="Body Text"/>
    <w:basedOn w:val="Normal"/>
    <w:link w:val="BodyTextChar"/>
    <w:rsid w:val="00F02BAB"/>
    <w:pPr>
      <w:spacing w:before="120" w:after="120"/>
      <w:contextualSpacing/>
    </w:pPr>
    <w:rPr>
      <w:rFonts w:ascii="Times New Roman" w:hAnsi="Times New Roman"/>
      <w:sz w:val="24"/>
      <w:szCs w:val="22"/>
    </w:rPr>
  </w:style>
  <w:style w:type="character" w:customStyle="1" w:styleId="BodyTextChar">
    <w:name w:val="Body Text Char"/>
    <w:link w:val="BodyText"/>
    <w:rsid w:val="00F02BAB"/>
    <w:rPr>
      <w:rFonts w:ascii="Times New Roman" w:eastAsia="Times New Roman" w:hAnsi="Times New Roman" w:cs="Times New Roman"/>
      <w:sz w:val="24"/>
      <w:lang w:val="en-US" w:eastAsia="en-US"/>
    </w:rPr>
  </w:style>
  <w:style w:type="paragraph" w:styleId="Footer">
    <w:name w:val="footer"/>
    <w:basedOn w:val="Normal"/>
    <w:link w:val="FooterChar"/>
    <w:rsid w:val="00F02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2BAB"/>
    <w:rPr>
      <w:rFonts w:ascii="Times New Roman" w:eastAsia="Times New Roman" w:hAnsi="Times New Roman" w:cs="Times New Roman"/>
      <w:sz w:val="16"/>
      <w:lang w:val="en-US" w:eastAsia="en-US"/>
    </w:rPr>
  </w:style>
  <w:style w:type="paragraph" w:styleId="ListBullet">
    <w:name w:val="List Bullet"/>
    <w:basedOn w:val="List"/>
    <w:rsid w:val="00F02BAB"/>
    <w:pPr>
      <w:numPr>
        <w:numId w:val="13"/>
      </w:numPr>
      <w:tabs>
        <w:tab w:val="clear" w:pos="340"/>
      </w:tabs>
      <w:spacing w:before="40" w:after="40"/>
    </w:pPr>
  </w:style>
  <w:style w:type="character" w:customStyle="1" w:styleId="SpecialBold">
    <w:name w:val="Special Bold"/>
    <w:rsid w:val="00F02BAB"/>
    <w:rPr>
      <w:b/>
      <w:spacing w:val="0"/>
    </w:rPr>
  </w:style>
  <w:style w:type="paragraph" w:styleId="ListBullet2">
    <w:name w:val="List Bullet 2"/>
    <w:basedOn w:val="List2"/>
    <w:rsid w:val="00F02BAB"/>
    <w:pPr>
      <w:numPr>
        <w:numId w:val="14"/>
      </w:numPr>
      <w:tabs>
        <w:tab w:val="clear" w:pos="680"/>
      </w:tabs>
    </w:pPr>
  </w:style>
  <w:style w:type="paragraph" w:styleId="Header">
    <w:name w:val="header"/>
    <w:basedOn w:val="Normal"/>
    <w:link w:val="HeaderChar"/>
    <w:rsid w:val="00F02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2B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2BAB"/>
    <w:pPr>
      <w:spacing w:before="240" w:after="120"/>
      <w:outlineLvl w:val="0"/>
    </w:pPr>
    <w:rPr>
      <w:rFonts w:ascii="Times New Roman" w:hAnsi="Times New Roman"/>
      <w:b/>
      <w:sz w:val="28"/>
    </w:rPr>
  </w:style>
  <w:style w:type="paragraph" w:customStyle="1" w:styleId="AllowPageBreak">
    <w:name w:val="AllowPageBreak"/>
    <w:rsid w:val="00F02B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02BAB"/>
    <w:rPr>
      <w:rFonts w:ascii="Times New Roman" w:eastAsia="Times New Roman" w:hAnsi="Times New Roman" w:cs="Times New Roman"/>
      <w:b/>
      <w:sz w:val="28"/>
      <w:szCs w:val="40"/>
      <w:lang w:eastAsia="en-US"/>
    </w:rPr>
  </w:style>
  <w:style w:type="character" w:customStyle="1" w:styleId="Heading3Char">
    <w:name w:val="Heading 3 Char"/>
    <w:link w:val="Heading3"/>
    <w:rsid w:val="00F02B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2BAB"/>
    <w:rPr>
      <w:rFonts w:ascii="Times New Roman" w:eastAsia="Times New Roman" w:hAnsi="Times New Roman" w:cs="Times New Roman"/>
      <w:b/>
      <w:szCs w:val="20"/>
      <w:lang w:eastAsia="en-US"/>
    </w:rPr>
  </w:style>
  <w:style w:type="character" w:customStyle="1" w:styleId="Heading5Char">
    <w:name w:val="Heading 5 Char"/>
    <w:link w:val="Heading5"/>
    <w:rsid w:val="00F02B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2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B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2B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2BAB"/>
    <w:rPr>
      <w:rFonts w:ascii="Courier New" w:eastAsia="Times New Roman" w:hAnsi="Courier New" w:cs="Times New Roman"/>
      <w:i/>
      <w:szCs w:val="20"/>
      <w:lang w:val="en-US" w:eastAsia="en-US"/>
    </w:rPr>
  </w:style>
  <w:style w:type="paragraph" w:customStyle="1" w:styleId="HeadingBase">
    <w:name w:val="Heading Base"/>
    <w:rsid w:val="00F02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BAB"/>
    <w:pPr>
      <w:tabs>
        <w:tab w:val="right" w:leader="dot" w:pos="9072"/>
      </w:tabs>
      <w:ind w:left="567"/>
    </w:pPr>
    <w:rPr>
      <w:szCs w:val="22"/>
    </w:rPr>
  </w:style>
  <w:style w:type="paragraph" w:customStyle="1" w:styleId="TOCBase">
    <w:name w:val="TOC Base"/>
    <w:rsid w:val="00F02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BAB"/>
    <w:pPr>
      <w:tabs>
        <w:tab w:val="right" w:leader="dot" w:pos="9072"/>
      </w:tabs>
      <w:spacing w:before="40" w:after="40"/>
      <w:ind w:left="284"/>
    </w:pPr>
    <w:rPr>
      <w:rFonts w:ascii="Times New Roman" w:hAnsi="Times New Roman"/>
    </w:rPr>
  </w:style>
  <w:style w:type="paragraph" w:styleId="TOC1">
    <w:name w:val="toc 1"/>
    <w:basedOn w:val="TOCBase"/>
    <w:next w:val="Normal"/>
    <w:rsid w:val="00F02B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BAB"/>
    <w:pPr>
      <w:spacing w:before="5040"/>
      <w:jc w:val="center"/>
    </w:pPr>
    <w:rPr>
      <w:sz w:val="48"/>
      <w:szCs w:val="72"/>
      <w:lang w:val="en-US"/>
    </w:rPr>
  </w:style>
  <w:style w:type="character" w:customStyle="1" w:styleId="TitleChar">
    <w:name w:val="Title Char"/>
    <w:link w:val="Title"/>
    <w:rsid w:val="00F02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BAB"/>
    <w:pPr>
      <w:tabs>
        <w:tab w:val="left" w:pos="3600"/>
        <w:tab w:val="left" w:pos="3958"/>
      </w:tabs>
    </w:pPr>
  </w:style>
  <w:style w:type="paragraph" w:styleId="List">
    <w:name w:val="List"/>
    <w:basedOn w:val="BodyText"/>
    <w:next w:val="BodyText"/>
    <w:rsid w:val="00F02BAB"/>
    <w:pPr>
      <w:tabs>
        <w:tab w:val="left" w:pos="340"/>
      </w:tabs>
      <w:spacing w:before="60" w:after="60"/>
      <w:ind w:left="340" w:hanging="340"/>
    </w:pPr>
  </w:style>
  <w:style w:type="paragraph" w:customStyle="1" w:styleId="Note">
    <w:name w:val="Note"/>
    <w:basedOn w:val="BodyText"/>
    <w:rsid w:val="00F02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BAB"/>
    <w:pPr>
      <w:framePr w:wrap="auto" w:hAnchor="text" w:y="6049"/>
    </w:pPr>
    <w:rPr>
      <w:color w:val="000000"/>
      <w:sz w:val="40"/>
    </w:rPr>
  </w:style>
  <w:style w:type="paragraph" w:customStyle="1" w:styleId="TOCTitle">
    <w:name w:val="TOCTitle"/>
    <w:basedOn w:val="Heading1"/>
    <w:rsid w:val="00F02BAB"/>
    <w:pPr>
      <w:spacing w:after="240"/>
      <w:jc w:val="center"/>
      <w:outlineLvl w:val="9"/>
    </w:pPr>
    <w:rPr>
      <w:caps/>
    </w:rPr>
  </w:style>
  <w:style w:type="paragraph" w:customStyle="1" w:styleId="Version">
    <w:name w:val="Version"/>
    <w:rsid w:val="00F02B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BAB"/>
    <w:pPr>
      <w:keepNext w:val="0"/>
      <w:tabs>
        <w:tab w:val="right" w:pos="4176"/>
      </w:tabs>
      <w:ind w:left="198" w:hanging="198"/>
    </w:pPr>
    <w:rPr>
      <w:rFonts w:ascii="Garamond" w:hAnsi="Garamond"/>
    </w:rPr>
  </w:style>
  <w:style w:type="paragraph" w:styleId="IndexHeading">
    <w:name w:val="index heading"/>
    <w:basedOn w:val="Normal"/>
    <w:next w:val="Index1"/>
    <w:semiHidden/>
    <w:rsid w:val="00F02BAB"/>
    <w:pPr>
      <w:spacing w:before="120" w:after="120"/>
    </w:pPr>
    <w:rPr>
      <w:rFonts w:ascii="Arial" w:hAnsi="Arial"/>
      <w:b/>
      <w:color w:val="918585"/>
      <w:sz w:val="24"/>
    </w:rPr>
  </w:style>
  <w:style w:type="paragraph" w:customStyle="1" w:styleId="Chapter">
    <w:name w:val="Chapter"/>
    <w:basedOn w:val="Normal"/>
    <w:rsid w:val="00F02BAB"/>
    <w:pPr>
      <w:spacing w:before="240"/>
    </w:pPr>
    <w:rPr>
      <w:rFonts w:ascii="Times New Roman" w:hAnsi="Times New Roman"/>
      <w:smallCaps/>
      <w:spacing w:val="80"/>
      <w:sz w:val="28"/>
    </w:rPr>
  </w:style>
  <w:style w:type="paragraph" w:customStyle="1" w:styleId="InChapter">
    <w:name w:val="InChapter"/>
    <w:basedOn w:val="Heading3"/>
    <w:rsid w:val="00F02BAB"/>
    <w:pPr>
      <w:spacing w:after="240"/>
      <w:outlineLvl w:val="9"/>
    </w:pPr>
    <w:rPr>
      <w:noProof/>
    </w:rPr>
  </w:style>
  <w:style w:type="paragraph" w:styleId="Index2">
    <w:name w:val="index 2"/>
    <w:basedOn w:val="Normal"/>
    <w:next w:val="Normal"/>
    <w:semiHidden/>
    <w:rsid w:val="00F02BAB"/>
    <w:pPr>
      <w:tabs>
        <w:tab w:val="right" w:pos="4176"/>
      </w:tabs>
      <w:ind w:left="568" w:hanging="284"/>
    </w:pPr>
    <w:rPr>
      <w:rFonts w:ascii="Garamond" w:hAnsi="Garamond"/>
    </w:rPr>
  </w:style>
  <w:style w:type="paragraph" w:customStyle="1" w:styleId="Byline">
    <w:name w:val="Byline"/>
    <w:rsid w:val="00F02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BAB"/>
    <w:pPr>
      <w:tabs>
        <w:tab w:val="clear" w:pos="3600"/>
        <w:tab w:val="clear" w:pos="3958"/>
      </w:tabs>
      <w:jc w:val="right"/>
    </w:pPr>
  </w:style>
  <w:style w:type="character" w:styleId="Emphasis">
    <w:name w:val="Emphasis"/>
    <w:qFormat/>
    <w:rsid w:val="00F02BAB"/>
    <w:rPr>
      <w:i/>
    </w:rPr>
  </w:style>
  <w:style w:type="paragraph" w:styleId="Caption">
    <w:name w:val="caption"/>
    <w:basedOn w:val="BodyText"/>
    <w:next w:val="Normal"/>
    <w:qFormat/>
    <w:rsid w:val="00F02BAB"/>
    <w:pPr>
      <w:framePr w:w="2268" w:hSpace="181" w:vSpace="181" w:wrap="around" w:vAnchor="text" w:hAnchor="page" w:x="1135" w:y="285" w:anchorLock="1"/>
    </w:pPr>
    <w:rPr>
      <w:i/>
    </w:rPr>
  </w:style>
  <w:style w:type="paragraph" w:customStyle="1" w:styleId="MiniTOCTitle">
    <w:name w:val="MiniTOCTitle"/>
    <w:basedOn w:val="Heading4"/>
    <w:rsid w:val="00F02BAB"/>
    <w:pPr>
      <w:spacing w:before="240"/>
      <w:outlineLvl w:val="9"/>
    </w:pPr>
    <w:rPr>
      <w:noProof/>
      <w:sz w:val="24"/>
    </w:rPr>
  </w:style>
  <w:style w:type="paragraph" w:customStyle="1" w:styleId="MiniTOCItem">
    <w:name w:val="MiniTOCItem"/>
    <w:basedOn w:val="ListBullet"/>
    <w:rsid w:val="00F02BAB"/>
    <w:pPr>
      <w:numPr>
        <w:numId w:val="0"/>
      </w:numPr>
      <w:tabs>
        <w:tab w:val="right" w:leader="dot" w:pos="6521"/>
      </w:tabs>
      <w:spacing w:before="0" w:after="0"/>
    </w:pPr>
  </w:style>
  <w:style w:type="paragraph" w:customStyle="1" w:styleId="TOFTitle">
    <w:name w:val="TOFTitle"/>
    <w:basedOn w:val="TOCTitle"/>
    <w:rsid w:val="00F02BAB"/>
  </w:style>
  <w:style w:type="paragraph" w:styleId="TableofFigures">
    <w:name w:val="table of figures"/>
    <w:basedOn w:val="Normal"/>
    <w:next w:val="Normal"/>
    <w:semiHidden/>
    <w:rsid w:val="00F02BAB"/>
    <w:pPr>
      <w:tabs>
        <w:tab w:val="right" w:leader="dot" w:pos="9072"/>
      </w:tabs>
      <w:ind w:left="970" w:hanging="403"/>
    </w:pPr>
    <w:rPr>
      <w:rFonts w:ascii="Times New Roman" w:hAnsi="Times New Roman"/>
      <w:b/>
    </w:rPr>
  </w:style>
  <w:style w:type="paragraph" w:styleId="ListNumber">
    <w:name w:val="List Number"/>
    <w:basedOn w:val="List"/>
    <w:rsid w:val="00F02BAB"/>
    <w:pPr>
      <w:numPr>
        <w:numId w:val="11"/>
      </w:numPr>
    </w:pPr>
  </w:style>
  <w:style w:type="character" w:customStyle="1" w:styleId="WingdingSymbols">
    <w:name w:val="Wingding Symbols"/>
    <w:rsid w:val="00F02BAB"/>
    <w:rPr>
      <w:rFonts w:ascii="Wingdings" w:hAnsi="Wingdings"/>
    </w:rPr>
  </w:style>
  <w:style w:type="paragraph" w:customStyle="1" w:styleId="TableHeading">
    <w:name w:val="Table Heading"/>
    <w:basedOn w:val="HeadingBase"/>
    <w:rsid w:val="00F02BAB"/>
    <w:pPr>
      <w:keepLines/>
      <w:pBdr>
        <w:bottom w:val="single" w:sz="6" w:space="1" w:color="918585"/>
      </w:pBdr>
      <w:spacing w:before="240"/>
    </w:pPr>
  </w:style>
  <w:style w:type="character" w:customStyle="1" w:styleId="HotSpot">
    <w:name w:val="HotSpot"/>
    <w:rsid w:val="00F02BAB"/>
    <w:rPr>
      <w:color w:val="0033CC"/>
      <w:u w:val="none"/>
    </w:rPr>
  </w:style>
  <w:style w:type="paragraph" w:customStyle="1" w:styleId="BodyTextRight">
    <w:name w:val="Body Text Right"/>
    <w:basedOn w:val="BodyText"/>
    <w:rsid w:val="00F02BAB"/>
    <w:pPr>
      <w:spacing w:before="0" w:after="0"/>
      <w:jc w:val="right"/>
    </w:pPr>
  </w:style>
  <w:style w:type="paragraph" w:styleId="Index3">
    <w:name w:val="index 3"/>
    <w:basedOn w:val="ListNumber2"/>
    <w:next w:val="Normal"/>
    <w:semiHidden/>
    <w:rsid w:val="00F02BAB"/>
    <w:pPr>
      <w:numPr>
        <w:numId w:val="0"/>
      </w:numPr>
      <w:tabs>
        <w:tab w:val="right" w:leader="dot" w:pos="4176"/>
      </w:tabs>
    </w:pPr>
  </w:style>
  <w:style w:type="paragraph" w:styleId="ListNumber2">
    <w:name w:val="List Number 2"/>
    <w:basedOn w:val="List2"/>
    <w:rsid w:val="00F02BAB"/>
    <w:pPr>
      <w:numPr>
        <w:numId w:val="10"/>
      </w:numPr>
      <w:tabs>
        <w:tab w:val="clear" w:pos="1060"/>
      </w:tabs>
    </w:pPr>
  </w:style>
  <w:style w:type="paragraph" w:customStyle="1" w:styleId="MarginNote">
    <w:name w:val="Margin Note"/>
    <w:basedOn w:val="BodyText"/>
    <w:rsid w:val="00F02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2B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2BAB"/>
    <w:rPr>
      <w:sz w:val="32"/>
    </w:rPr>
  </w:style>
  <w:style w:type="paragraph" w:customStyle="1" w:styleId="HeadingProcedure">
    <w:name w:val="Heading Procedure"/>
    <w:basedOn w:val="HeadingBase"/>
    <w:next w:val="Normal"/>
    <w:rsid w:val="00F02BAB"/>
    <w:pPr>
      <w:tabs>
        <w:tab w:val="left" w:pos="0"/>
      </w:tabs>
      <w:spacing w:before="120" w:after="60"/>
    </w:pPr>
    <w:rPr>
      <w:i/>
      <w:color w:val="918585"/>
      <w:sz w:val="22"/>
    </w:rPr>
  </w:style>
  <w:style w:type="paragraph" w:customStyle="1" w:styleId="TableBodyText">
    <w:name w:val="Table Body Text"/>
    <w:basedOn w:val="BodyText"/>
    <w:rsid w:val="00F02BAB"/>
    <w:pPr>
      <w:spacing w:before="60" w:after="60"/>
    </w:pPr>
  </w:style>
  <w:style w:type="paragraph" w:styleId="ListContinue">
    <w:name w:val="List Continue"/>
    <w:basedOn w:val="List"/>
    <w:rsid w:val="00F02BAB"/>
    <w:pPr>
      <w:ind w:firstLine="0"/>
    </w:pPr>
  </w:style>
  <w:style w:type="paragraph" w:customStyle="1" w:styleId="ListNote">
    <w:name w:val="List Note"/>
    <w:basedOn w:val="List"/>
    <w:rsid w:val="00F02BAB"/>
    <w:pPr>
      <w:pBdr>
        <w:top w:val="single" w:sz="6" w:space="2" w:color="918585"/>
        <w:bottom w:val="single" w:sz="6" w:space="2" w:color="918585"/>
      </w:pBdr>
      <w:tabs>
        <w:tab w:val="left" w:pos="1021"/>
      </w:tabs>
      <w:ind w:firstLine="0"/>
    </w:pPr>
  </w:style>
  <w:style w:type="paragraph" w:customStyle="1" w:styleId="Warning">
    <w:name w:val="Warning"/>
    <w:basedOn w:val="BodyText"/>
    <w:rsid w:val="00F02BAB"/>
    <w:pPr>
      <w:shd w:val="clear" w:color="auto" w:fill="D9D9D9"/>
      <w:tabs>
        <w:tab w:val="left" w:pos="992"/>
      </w:tabs>
      <w:ind w:left="119" w:right="119"/>
    </w:pPr>
    <w:rPr>
      <w:sz w:val="20"/>
    </w:rPr>
  </w:style>
  <w:style w:type="paragraph" w:customStyle="1" w:styleId="MarginIcons">
    <w:name w:val="Margin Icons"/>
    <w:basedOn w:val="BodyText"/>
    <w:rsid w:val="00F02B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2BAB"/>
    <w:rPr>
      <w:rFonts w:ascii="Courier New" w:hAnsi="Courier New"/>
    </w:rPr>
  </w:style>
  <w:style w:type="paragraph" w:customStyle="1" w:styleId="NoteBullet">
    <w:name w:val="Note Bullet"/>
    <w:basedOn w:val="Note"/>
    <w:rsid w:val="00F02BAB"/>
    <w:pPr>
      <w:tabs>
        <w:tab w:val="clear" w:pos="680"/>
      </w:tabs>
      <w:spacing w:before="60" w:after="60"/>
    </w:pPr>
  </w:style>
  <w:style w:type="paragraph" w:customStyle="1" w:styleId="SubHeading2">
    <w:name w:val="SubHeading2"/>
    <w:basedOn w:val="HeadingBase"/>
    <w:rsid w:val="00F02BAB"/>
    <w:pPr>
      <w:spacing w:before="240" w:after="60"/>
    </w:pPr>
    <w:rPr>
      <w:sz w:val="20"/>
    </w:rPr>
  </w:style>
  <w:style w:type="paragraph" w:customStyle="1" w:styleId="SubHeading1">
    <w:name w:val="SubHeading1"/>
    <w:basedOn w:val="HeadingBase"/>
    <w:rsid w:val="00F02BAB"/>
    <w:pPr>
      <w:spacing w:before="240" w:after="60"/>
    </w:pPr>
    <w:rPr>
      <w:color w:val="918585"/>
      <w:sz w:val="22"/>
    </w:rPr>
  </w:style>
  <w:style w:type="paragraph" w:customStyle="1" w:styleId="SideHeading">
    <w:name w:val="Side Heading"/>
    <w:basedOn w:val="HeadingBase"/>
    <w:rsid w:val="00F02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BAB"/>
    <w:pPr>
      <w:numPr>
        <w:numId w:val="12"/>
      </w:numPr>
    </w:pPr>
  </w:style>
  <w:style w:type="paragraph" w:styleId="PlainText">
    <w:name w:val="Plain Text"/>
    <w:basedOn w:val="Normal"/>
    <w:link w:val="PlainTextChar"/>
    <w:rsid w:val="00F02BAB"/>
    <w:rPr>
      <w:sz w:val="20"/>
    </w:rPr>
  </w:style>
  <w:style w:type="character" w:customStyle="1" w:styleId="PlainTextChar">
    <w:name w:val="Plain Text Char"/>
    <w:basedOn w:val="DefaultParagraphFont"/>
    <w:link w:val="PlainText"/>
    <w:rsid w:val="00F02BAB"/>
    <w:rPr>
      <w:rFonts w:ascii="Courier New" w:eastAsia="Times New Roman" w:hAnsi="Courier New" w:cs="Times New Roman"/>
      <w:sz w:val="20"/>
      <w:szCs w:val="20"/>
      <w:lang w:val="en-US" w:eastAsia="en-US"/>
    </w:rPr>
  </w:style>
  <w:style w:type="character" w:customStyle="1" w:styleId="MenuOption">
    <w:name w:val="Menu Option"/>
    <w:rsid w:val="00F02BAB"/>
    <w:rPr>
      <w:b/>
      <w:smallCaps/>
    </w:rPr>
  </w:style>
  <w:style w:type="paragraph" w:customStyle="1" w:styleId="TableListNumber">
    <w:name w:val="Table List Number"/>
    <w:basedOn w:val="ListNumber"/>
    <w:rsid w:val="00F02BAB"/>
    <w:pPr>
      <w:numPr>
        <w:numId w:val="0"/>
      </w:numPr>
    </w:pPr>
  </w:style>
  <w:style w:type="paragraph" w:styleId="TOC4">
    <w:name w:val="toc 4"/>
    <w:basedOn w:val="TOCBase"/>
    <w:next w:val="Normal"/>
    <w:semiHidden/>
    <w:rsid w:val="00F02BAB"/>
    <w:pPr>
      <w:tabs>
        <w:tab w:val="right" w:leader="dot" w:pos="9071"/>
      </w:tabs>
      <w:ind w:left="1701"/>
    </w:pPr>
  </w:style>
  <w:style w:type="paragraph" w:customStyle="1" w:styleId="ListAlpha">
    <w:name w:val="List Alpha"/>
    <w:basedOn w:val="List"/>
    <w:rsid w:val="00F02BAB"/>
    <w:pPr>
      <w:numPr>
        <w:numId w:val="9"/>
      </w:numPr>
    </w:pPr>
  </w:style>
  <w:style w:type="paragraph" w:customStyle="1" w:styleId="ListAlpha2">
    <w:name w:val="List Alpha 2"/>
    <w:basedOn w:val="List2"/>
    <w:rsid w:val="00F02BAB"/>
    <w:pPr>
      <w:numPr>
        <w:numId w:val="8"/>
      </w:numPr>
    </w:pPr>
  </w:style>
  <w:style w:type="paragraph" w:styleId="List2">
    <w:name w:val="List 2"/>
    <w:basedOn w:val="BodyText"/>
    <w:rsid w:val="00F02BAB"/>
    <w:pPr>
      <w:tabs>
        <w:tab w:val="left" w:pos="680"/>
      </w:tabs>
      <w:spacing w:before="60" w:after="60"/>
      <w:ind w:left="680" w:hanging="340"/>
    </w:pPr>
  </w:style>
  <w:style w:type="paragraph" w:styleId="List3">
    <w:name w:val="List 3"/>
    <w:basedOn w:val="BodyText"/>
    <w:rsid w:val="00F02BAB"/>
    <w:pPr>
      <w:tabs>
        <w:tab w:val="left" w:pos="1021"/>
      </w:tabs>
      <w:spacing w:before="60" w:after="60"/>
      <w:ind w:left="1020" w:hanging="340"/>
    </w:pPr>
  </w:style>
  <w:style w:type="paragraph" w:styleId="List4">
    <w:name w:val="List 4"/>
    <w:basedOn w:val="BodyText"/>
    <w:rsid w:val="00F02BAB"/>
    <w:pPr>
      <w:tabs>
        <w:tab w:val="left" w:pos="1361"/>
      </w:tabs>
      <w:spacing w:before="60" w:after="60"/>
      <w:ind w:left="1361" w:hanging="340"/>
    </w:pPr>
  </w:style>
  <w:style w:type="paragraph" w:styleId="List5">
    <w:name w:val="List 5"/>
    <w:basedOn w:val="BodyText"/>
    <w:rsid w:val="00F02BAB"/>
    <w:pPr>
      <w:tabs>
        <w:tab w:val="left" w:pos="1701"/>
      </w:tabs>
      <w:spacing w:before="60" w:after="60"/>
      <w:ind w:left="1701" w:hanging="340"/>
    </w:pPr>
  </w:style>
  <w:style w:type="paragraph" w:styleId="ListBullet3">
    <w:name w:val="List Bullet 3"/>
    <w:basedOn w:val="List3"/>
    <w:rsid w:val="00F02BAB"/>
    <w:pPr>
      <w:numPr>
        <w:numId w:val="15"/>
      </w:numPr>
      <w:tabs>
        <w:tab w:val="clear" w:pos="1021"/>
      </w:tabs>
      <w:ind w:left="1037" w:hanging="357"/>
    </w:pPr>
  </w:style>
  <w:style w:type="paragraph" w:styleId="ListBullet4">
    <w:name w:val="List Bullet 4"/>
    <w:basedOn w:val="List4"/>
    <w:rsid w:val="00F02BAB"/>
    <w:pPr>
      <w:numPr>
        <w:numId w:val="3"/>
      </w:numPr>
    </w:pPr>
  </w:style>
  <w:style w:type="paragraph" w:styleId="ListBullet5">
    <w:name w:val="List Bullet 5"/>
    <w:basedOn w:val="List5"/>
    <w:rsid w:val="00F02BAB"/>
    <w:pPr>
      <w:numPr>
        <w:numId w:val="4"/>
      </w:numPr>
    </w:pPr>
  </w:style>
  <w:style w:type="paragraph" w:styleId="ListContinue2">
    <w:name w:val="List Continue 2"/>
    <w:basedOn w:val="List2"/>
    <w:rsid w:val="00F02BAB"/>
    <w:pPr>
      <w:ind w:firstLine="0"/>
    </w:pPr>
  </w:style>
  <w:style w:type="paragraph" w:styleId="ListContinue3">
    <w:name w:val="List Continue 3"/>
    <w:basedOn w:val="List3"/>
    <w:rsid w:val="00F02BAB"/>
    <w:pPr>
      <w:ind w:left="1021" w:firstLine="0"/>
    </w:pPr>
  </w:style>
  <w:style w:type="paragraph" w:styleId="ListContinue4">
    <w:name w:val="List Continue 4"/>
    <w:basedOn w:val="List4"/>
    <w:rsid w:val="00F02BAB"/>
    <w:pPr>
      <w:ind w:firstLine="0"/>
    </w:pPr>
  </w:style>
  <w:style w:type="paragraph" w:styleId="ListContinue5">
    <w:name w:val="List Continue 5"/>
    <w:basedOn w:val="List5"/>
    <w:rsid w:val="00F02BAB"/>
    <w:pPr>
      <w:ind w:firstLine="0"/>
    </w:pPr>
  </w:style>
  <w:style w:type="paragraph" w:styleId="ListNumber3">
    <w:name w:val="List Number 3"/>
    <w:basedOn w:val="List3"/>
    <w:rsid w:val="00F02BAB"/>
    <w:pPr>
      <w:numPr>
        <w:numId w:val="5"/>
      </w:numPr>
    </w:pPr>
  </w:style>
  <w:style w:type="paragraph" w:styleId="ListNumber4">
    <w:name w:val="List Number 4"/>
    <w:basedOn w:val="List4"/>
    <w:rsid w:val="00F02BAB"/>
    <w:pPr>
      <w:numPr>
        <w:numId w:val="6"/>
      </w:numPr>
    </w:pPr>
  </w:style>
  <w:style w:type="paragraph" w:styleId="ListNumber5">
    <w:name w:val="List Number 5"/>
    <w:basedOn w:val="List5"/>
    <w:rsid w:val="00F02BAB"/>
    <w:pPr>
      <w:numPr>
        <w:numId w:val="7"/>
      </w:numPr>
    </w:pPr>
  </w:style>
  <w:style w:type="paragraph" w:styleId="BlockText">
    <w:name w:val="Block Text"/>
    <w:basedOn w:val="Normal"/>
    <w:rsid w:val="00F02BAB"/>
    <w:pPr>
      <w:spacing w:after="120"/>
      <w:ind w:left="1440" w:right="1440"/>
    </w:pPr>
  </w:style>
  <w:style w:type="character" w:customStyle="1" w:styleId="Subscript">
    <w:name w:val="Subscript"/>
    <w:rsid w:val="00F02BAB"/>
    <w:rPr>
      <w:sz w:val="16"/>
      <w:vertAlign w:val="subscript"/>
    </w:rPr>
  </w:style>
  <w:style w:type="character" w:customStyle="1" w:styleId="Superscript">
    <w:name w:val="Superscript"/>
    <w:rsid w:val="00F02BAB"/>
    <w:rPr>
      <w:sz w:val="16"/>
      <w:vertAlign w:val="superscript"/>
    </w:rPr>
  </w:style>
  <w:style w:type="character" w:customStyle="1" w:styleId="Symbols">
    <w:name w:val="Symbols"/>
    <w:rsid w:val="00F02BAB"/>
    <w:rPr>
      <w:rFonts w:ascii="Symbol" w:hAnsi="Symbol"/>
    </w:rPr>
  </w:style>
  <w:style w:type="character" w:customStyle="1" w:styleId="MenuOptions">
    <w:name w:val="Menu Options"/>
    <w:rsid w:val="00F02BAB"/>
    <w:rPr>
      <w:rFonts w:ascii="Arial Narrow" w:hAnsi="Arial Narrow"/>
      <w:smallCaps/>
    </w:rPr>
  </w:style>
  <w:style w:type="character" w:customStyle="1" w:styleId="Buttons">
    <w:name w:val="Buttons"/>
    <w:rsid w:val="00F02BAB"/>
    <w:rPr>
      <w:b/>
    </w:rPr>
  </w:style>
  <w:style w:type="character" w:customStyle="1" w:styleId="Underlined">
    <w:name w:val="Underlined"/>
    <w:rsid w:val="00F02BAB"/>
    <w:rPr>
      <w:u w:val="single"/>
    </w:rPr>
  </w:style>
  <w:style w:type="paragraph" w:customStyle="1" w:styleId="TableBodyTextRight">
    <w:name w:val="Table Body Text Right"/>
    <w:basedOn w:val="TableBodyText"/>
    <w:rsid w:val="00F02BAB"/>
    <w:pPr>
      <w:widowControl w:val="0"/>
      <w:autoSpaceDE w:val="0"/>
      <w:autoSpaceDN w:val="0"/>
      <w:adjustRightInd w:val="0"/>
      <w:jc w:val="right"/>
    </w:pPr>
    <w:rPr>
      <w:rFonts w:cs="Arial"/>
      <w:szCs w:val="18"/>
    </w:rPr>
  </w:style>
  <w:style w:type="paragraph" w:customStyle="1" w:styleId="CopyrightText">
    <w:name w:val="Copyright Text"/>
    <w:basedOn w:val="BodyText"/>
    <w:rsid w:val="00F02BAB"/>
    <w:rPr>
      <w:sz w:val="18"/>
    </w:rPr>
  </w:style>
  <w:style w:type="paragraph" w:customStyle="1" w:styleId="BodySmallRight">
    <w:name w:val="Body Small Right"/>
    <w:basedOn w:val="BodyTextRight"/>
    <w:rsid w:val="00F02BAB"/>
    <w:rPr>
      <w:sz w:val="18"/>
      <w:szCs w:val="18"/>
    </w:rPr>
  </w:style>
  <w:style w:type="paragraph" w:customStyle="1" w:styleId="MarginEdition">
    <w:name w:val="Margin Edition"/>
    <w:basedOn w:val="MarginNote"/>
    <w:rsid w:val="00F02BAB"/>
    <w:pPr>
      <w:spacing w:before="0" w:after="0"/>
    </w:pPr>
    <w:rPr>
      <w:rFonts w:ascii="Times New Roman" w:hAnsi="Times New Roman"/>
      <w:color w:val="999999"/>
    </w:rPr>
  </w:style>
  <w:style w:type="paragraph" w:customStyle="1" w:styleId="Spacer">
    <w:name w:val="Spacer"/>
    <w:basedOn w:val="Normal"/>
    <w:rsid w:val="00F02BAB"/>
    <w:rPr>
      <w:sz w:val="2"/>
      <w:szCs w:val="2"/>
    </w:rPr>
  </w:style>
  <w:style w:type="character" w:customStyle="1" w:styleId="Small">
    <w:name w:val="Small"/>
    <w:rsid w:val="00F02BAB"/>
    <w:rPr>
      <w:sz w:val="16"/>
    </w:rPr>
  </w:style>
  <w:style w:type="paragraph" w:customStyle="1" w:styleId="WideTable">
    <w:name w:val="Wide Table"/>
    <w:basedOn w:val="Normal"/>
    <w:rsid w:val="00F02BAB"/>
    <w:pPr>
      <w:ind w:left="-1418"/>
    </w:pPr>
    <w:rPr>
      <w:sz w:val="2"/>
      <w:szCs w:val="2"/>
    </w:rPr>
  </w:style>
  <w:style w:type="character" w:styleId="PageNumber">
    <w:name w:val="page number"/>
    <w:rsid w:val="00F02BAB"/>
  </w:style>
  <w:style w:type="paragraph" w:styleId="Quote">
    <w:name w:val="Quote"/>
    <w:basedOn w:val="Heading1"/>
    <w:link w:val="QuoteChar"/>
    <w:qFormat/>
    <w:rsid w:val="00F02BAB"/>
    <w:rPr>
      <w:b w:val="0"/>
      <w:sz w:val="72"/>
      <w:szCs w:val="72"/>
      <w:lang w:val="en-NZ"/>
    </w:rPr>
  </w:style>
  <w:style w:type="character" w:customStyle="1" w:styleId="QuoteChar">
    <w:name w:val="Quote Char"/>
    <w:link w:val="Quote"/>
    <w:rsid w:val="00F02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BAB"/>
    <w:pPr>
      <w:pageBreakBefore/>
    </w:pPr>
  </w:style>
  <w:style w:type="paragraph" w:customStyle="1" w:styleId="Border">
    <w:name w:val="Border"/>
    <w:basedOn w:val="Normal"/>
    <w:qFormat/>
    <w:rsid w:val="00F02BAB"/>
    <w:pPr>
      <w:pBdr>
        <w:top w:val="single" w:sz="18" w:space="1" w:color="auto"/>
      </w:pBdr>
    </w:pPr>
    <w:rPr>
      <w:rFonts w:ascii="Times New Roman" w:hAnsi="Times New Roman"/>
      <w:color w:val="FFFFFF"/>
      <w:sz w:val="2"/>
    </w:rPr>
  </w:style>
  <w:style w:type="character" w:styleId="IntenseEmphasis">
    <w:name w:val="Intense Emphasis"/>
    <w:uiPriority w:val="21"/>
    <w:qFormat/>
    <w:rsid w:val="00F02BAB"/>
    <w:rPr>
      <w:b/>
      <w:bCs/>
      <w:i/>
      <w:iCs/>
      <w:color w:val="auto"/>
    </w:rPr>
  </w:style>
  <w:style w:type="paragraph" w:styleId="IntenseQuote">
    <w:name w:val="Intense Quote"/>
    <w:basedOn w:val="Normal"/>
    <w:next w:val="Normal"/>
    <w:link w:val="IntenseQuoteChar"/>
    <w:uiPriority w:val="30"/>
    <w:qFormat/>
    <w:rsid w:val="00F02B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2BAB"/>
    <w:rPr>
      <w:rFonts w:ascii="Courier New" w:eastAsia="Times New Roman" w:hAnsi="Courier New" w:cs="Times New Roman"/>
      <w:b/>
      <w:bCs/>
      <w:i/>
      <w:iCs/>
      <w:szCs w:val="20"/>
      <w:lang w:val="en-US" w:eastAsia="en-US"/>
    </w:rPr>
  </w:style>
  <w:style w:type="character" w:styleId="SubtleReference">
    <w:name w:val="Subtle Reference"/>
    <w:uiPriority w:val="31"/>
    <w:qFormat/>
    <w:rsid w:val="00F02BAB"/>
    <w:rPr>
      <w:smallCaps/>
      <w:color w:val="auto"/>
      <w:u w:val="single"/>
    </w:rPr>
  </w:style>
  <w:style w:type="character" w:styleId="IntenseReference">
    <w:name w:val="Intense Reference"/>
    <w:uiPriority w:val="32"/>
    <w:qFormat/>
    <w:rsid w:val="00F02BAB"/>
    <w:rPr>
      <w:b/>
      <w:bCs/>
      <w:smallCaps/>
      <w:color w:val="auto"/>
      <w:spacing w:val="5"/>
      <w:u w:val="single"/>
    </w:rPr>
  </w:style>
  <w:style w:type="paragraph" w:customStyle="1" w:styleId="2ColumnHeading">
    <w:name w:val="2Column Heading"/>
    <w:basedOn w:val="BodyText"/>
    <w:qFormat/>
    <w:rsid w:val="00F02BAB"/>
    <w:pPr>
      <w:spacing w:after="60"/>
      <w:ind w:left="-2268"/>
    </w:pPr>
    <w:rPr>
      <w:b/>
    </w:rPr>
  </w:style>
  <w:style w:type="paragraph" w:customStyle="1" w:styleId="Heading1TOC">
    <w:name w:val="Heading1 TOC"/>
    <w:basedOn w:val="Normal"/>
    <w:qFormat/>
    <w:rsid w:val="00F02BAB"/>
    <w:pPr>
      <w:spacing w:before="240" w:after="120"/>
    </w:pPr>
    <w:rPr>
      <w:rFonts w:ascii="Times New Roman" w:hAnsi="Times New Roman"/>
      <w:b/>
      <w:sz w:val="32"/>
    </w:rPr>
  </w:style>
  <w:style w:type="paragraph" w:customStyle="1" w:styleId="Heading2TOC">
    <w:name w:val="Heading2 TOC"/>
    <w:basedOn w:val="Normal"/>
    <w:qFormat/>
    <w:rsid w:val="00F02BAB"/>
    <w:pPr>
      <w:spacing w:before="240" w:after="60"/>
    </w:pPr>
    <w:rPr>
      <w:rFonts w:ascii="Times New Roman" w:hAnsi="Times New Roman"/>
      <w:b/>
      <w:sz w:val="28"/>
    </w:rPr>
  </w:style>
  <w:style w:type="character" w:customStyle="1" w:styleId="Underline">
    <w:name w:val="Underline"/>
    <w:qFormat/>
    <w:rsid w:val="00F02BAB"/>
    <w:rPr>
      <w:u w:val="single"/>
    </w:rPr>
  </w:style>
  <w:style w:type="character" w:customStyle="1" w:styleId="BoldandItalics">
    <w:name w:val="Bold and Italics"/>
    <w:qFormat/>
    <w:rsid w:val="00F02BAB"/>
    <w:rPr>
      <w:b/>
      <w:i/>
      <w:u w:val="none"/>
    </w:rPr>
  </w:style>
  <w:style w:type="paragraph" w:styleId="BalloonText">
    <w:name w:val="Balloon Text"/>
    <w:basedOn w:val="Normal"/>
    <w:link w:val="BalloonTextChar"/>
    <w:rsid w:val="00F02BAB"/>
    <w:rPr>
      <w:rFonts w:ascii="Tahoma" w:hAnsi="Tahoma" w:cs="Tahoma"/>
      <w:sz w:val="16"/>
      <w:szCs w:val="16"/>
    </w:rPr>
  </w:style>
  <w:style w:type="character" w:customStyle="1" w:styleId="BalloonTextChar">
    <w:name w:val="Balloon Text Char"/>
    <w:link w:val="BalloonText"/>
    <w:rsid w:val="00F02B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2B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2B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2560</Words>
  <Characters>15791</Characters>
  <Application>Microsoft Office Word</Application>
  <DocSecurity>0</DocSecurity>
  <Lines>668</Lines>
  <Paragraphs>251</Paragraphs>
  <ScaleCrop>false</ScaleCrop>
  <Company>Author-it Software Corporation Ltd.</Company>
  <LinksUpToDate>false</LinksUpToDate>
  <CharactersWithSpaces>18162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UEGNSG113B Manage a utilities industry OHS management system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2012-05-26T22:01:00Z</dcterms:created>
  <dcterms:modified xsi:type="dcterms:W3CDTF">2012-05-26T22:02:00Z</dcterms:modified>
</cp:coreProperties>
</file>