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2FB2" w:rsidP="00C12FB2">
      <w:pPr>
        <w:pStyle w:val="Title"/>
      </w:pPr>
      <w:r>
        <w:fldChar w:fldCharType="begin"/>
      </w:r>
      <w:r>
        <w:instrText xml:space="preserve"> TITLE   \* MERGEFORMAT </w:instrText>
      </w:r>
      <w:r>
        <w:fldChar w:fldCharType="separate"/>
      </w:r>
      <w:r>
        <w:t>UEGNSG109B Control field pipeline operations</w:t>
      </w:r>
      <w:r>
        <w:fldChar w:fldCharType="end"/>
      </w:r>
    </w:p>
    <w:p w:rsidR="00C12FB2" w:rsidP="00C12FB2">
      <w:pPr>
        <w:pStyle w:val="Version"/>
        <w:sectPr w:rsidSect="000D08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08CB" w:rsidP="000D08CB">
      <w:pPr>
        <w:pStyle w:val="SuperHeading"/>
      </w:pPr>
      <w:r w:rsidRPr="000D08CB">
        <w:t>UEGNSG109B Control field pipeline operations</w:t>
      </w:r>
    </w:p>
    <w:p w:rsidR="00000000" w:rsidRPr="000D08CB" w:rsidP="000D08CB">
      <w:pPr>
        <w:pStyle w:val="Heading1"/>
      </w:pPr>
      <w:bookmarkStart w:id="1" w:name="O_399963"/>
      <w:bookmarkEnd w:id="1"/>
      <w:r w:rsidRPr="000D08CB">
        <w:t>Modification History</w:t>
      </w:r>
    </w:p>
    <w:p w:rsidR="00000000" w:rsidRPr="000D08CB" w:rsidP="000D08CB">
      <w:pPr>
        <w:pStyle w:val="BodyText"/>
      </w:pPr>
      <w:r w:rsidRPr="000D08CB">
        <w:t>Not applicable.</w:t>
      </w:r>
    </w:p>
    <w:p w:rsidR="00000000" w:rsidRPr="000D08CB" w:rsidP="000D08CB">
      <w:pPr>
        <w:pStyle w:val="AllowPageBreak"/>
      </w:pPr>
    </w:p>
    <w:p w:rsidR="00000000" w:rsidRPr="000D08CB" w:rsidP="000D08CB">
      <w:pPr>
        <w:pStyle w:val="Heading1"/>
      </w:pPr>
      <w:bookmarkStart w:id="2" w:name="O_399961"/>
      <w:bookmarkEnd w:id="2"/>
      <w:r w:rsidRPr="000D08CB">
        <w:t>Unit Descriptor</w:t>
      </w:r>
    </w:p>
    <w:tbl>
      <w:tblPr>
        <w:tblW w:w="0" w:type="auto"/>
        <w:tblLayout w:type="fixed"/>
        <w:tblCellMar>
          <w:left w:w="62" w:type="dxa"/>
          <w:right w:w="62" w:type="dxa"/>
        </w:tblCellMar>
        <w:tblLook w:val="0000"/>
      </w:tblPr>
      <w:tblGrid>
        <w:gridCol w:w="2700"/>
        <w:gridCol w:w="5760"/>
      </w:tblGrid>
      <w:tr w:rsidTr="00C12F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D08CB" w:rsidP="000D08CB">
            <w:pPr>
              <w:pStyle w:val="BodyText"/>
            </w:pPr>
            <w:r w:rsidRPr="000D08C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rPr>
                <w:rStyle w:val="SpecialBold"/>
              </w:rPr>
              <w:t>1)</w:t>
            </w:r>
            <w:r w:rsidRPr="000D08CB">
              <w:t xml:space="preserve"> </w:t>
            </w:r>
            <w:r w:rsidRPr="000D08CB">
              <w:rPr>
                <w:rStyle w:val="SpecialBold"/>
              </w:rPr>
              <w:t>Scope:</w:t>
            </w:r>
          </w:p>
        </w:tc>
      </w:tr>
      <w:tr w:rsidTr="00C12F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D08C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rPr>
                <w:rStyle w:val="SpecialBold"/>
              </w:rPr>
              <w:t>1.1) Descriptor</w:t>
            </w:r>
          </w:p>
        </w:tc>
      </w:tr>
      <w:tr w:rsidTr="00C12F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D08CB" w:rsidP="000D08CB">
            <w:pPr>
              <w:pStyle w:val="BodyText"/>
            </w:pPr>
            <w:r w:rsidRPr="000D08CB">
              <w:t>This Unit covers the skills and knowledge required to control field pipeline operations on a gas pipeline. This competency standard refers to Resources; Operational; Monitoring; Relevant Persons; Types of Faults; Reports.</w:t>
            </w:r>
          </w:p>
        </w:tc>
      </w:tr>
    </w:tbl>
    <w:p w:rsidR="00000000" w:rsidRPr="000D08CB" w:rsidP="000D08CB">
      <w:pPr>
        <w:pStyle w:val="BodyText"/>
      </w:pPr>
    </w:p>
    <w:p w:rsidR="00000000" w:rsidRPr="000D08CB" w:rsidP="000D08CB">
      <w:pPr>
        <w:pStyle w:val="AllowPageBreak"/>
      </w:pPr>
    </w:p>
    <w:p w:rsidR="00000000" w:rsidRPr="000D08CB" w:rsidP="000D08CB">
      <w:pPr>
        <w:pStyle w:val="Heading1"/>
      </w:pPr>
      <w:bookmarkStart w:id="3" w:name="O_399950"/>
      <w:bookmarkEnd w:id="3"/>
      <w:r w:rsidRPr="000D08CB">
        <w:t xml:space="preserve">Application of </w:t>
      </w:r>
      <w:r w:rsidRPr="000D08CB">
        <w:t>the Unit</w:t>
      </w:r>
    </w:p>
    <w:tbl>
      <w:tblPr>
        <w:tblW w:w="0" w:type="auto"/>
        <w:tblLayout w:type="fixed"/>
        <w:tblCellMar>
          <w:left w:w="62" w:type="dxa"/>
          <w:right w:w="62" w:type="dxa"/>
        </w:tblCellMar>
        <w:tblLook w:val="0000"/>
      </w:tblPr>
      <w:tblGrid>
        <w:gridCol w:w="2672"/>
        <w:gridCol w:w="5699"/>
      </w:tblGrid>
      <w:tr w:rsidTr="00C12FB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D08CB" w:rsidP="000D08CB">
            <w:pPr>
              <w:pStyle w:val="BodyText"/>
            </w:pPr>
            <w:r w:rsidRPr="000D08C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rPr>
                <w:rStyle w:val="SpecialBold"/>
              </w:rPr>
              <w:t>2)</w:t>
            </w:r>
          </w:p>
        </w:tc>
      </w:tr>
      <w:tr w:rsidTr="00C12FB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D08CB" w:rsidP="000D08CB">
            <w:pPr>
              <w:pStyle w:val="BodyText"/>
            </w:pPr>
            <w:r w:rsidRPr="000D08CB">
              <w:t xml:space="preserve">This competency standard shall apply to any basic and safe work site where Gas Industry operations occur. It could also apply, where applicable </w:t>
            </w:r>
            <w:r w:rsidRPr="000D08CB">
              <w:t>to other workplaces in the electricity supply industry (transmission and distribution and generation), the electrotechnology industry and the water industry, subject to all Occupational Health and Safety and duty of care requirements being met for the work</w:t>
            </w:r>
            <w:r w:rsidRPr="000D08CB">
              <w:t>place.</w:t>
            </w:r>
          </w:p>
        </w:tc>
      </w:tr>
    </w:tbl>
    <w:p w:rsidR="00000000" w:rsidRPr="000D08CB" w:rsidP="000D08CB">
      <w:pPr>
        <w:pStyle w:val="BodyText"/>
      </w:pPr>
    </w:p>
    <w:p w:rsidR="00000000" w:rsidRPr="000D08CB" w:rsidP="000D08CB">
      <w:pPr>
        <w:pStyle w:val="AllowPageBreak"/>
      </w:pPr>
    </w:p>
    <w:p w:rsidR="00000000" w:rsidRPr="000D08CB" w:rsidP="000D08CB">
      <w:pPr>
        <w:pStyle w:val="Heading1"/>
      </w:pPr>
      <w:bookmarkStart w:id="4" w:name="O_399957"/>
      <w:bookmarkEnd w:id="4"/>
      <w:r w:rsidRPr="000D08CB">
        <w:t>Licensing/Regulatory Information</w:t>
      </w:r>
    </w:p>
    <w:tbl>
      <w:tblPr>
        <w:tblW w:w="0" w:type="auto"/>
        <w:tblLayout w:type="fixed"/>
        <w:tblCellMar>
          <w:left w:w="62" w:type="dxa"/>
          <w:right w:w="62" w:type="dxa"/>
        </w:tblCellMar>
        <w:tblLook w:val="0000"/>
      </w:tblPr>
      <w:tblGrid>
        <w:gridCol w:w="2700"/>
        <w:gridCol w:w="5760"/>
      </w:tblGrid>
      <w:tr w:rsidTr="00C12F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D08CB" w:rsidP="000D08CB">
            <w:pPr>
              <w:pStyle w:val="BodyText"/>
            </w:pPr>
            <w:r w:rsidRPr="000D08C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rPr>
                <w:rStyle w:val="SpecialBold"/>
              </w:rPr>
              <w:t xml:space="preserve">3) </w:t>
            </w:r>
          </w:p>
        </w:tc>
      </w:tr>
      <w:tr w:rsidTr="00C12F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D08CB" w:rsidP="000D08CB">
            <w:pPr>
              <w:pStyle w:val="BodyText"/>
            </w:pPr>
            <w:r w:rsidRPr="000D08CB">
              <w:t>The skills and knowledge described in this unit are not subject to licence regulation other than those directly related to Occupational Health and Safety, gas/electricity/</w:t>
            </w:r>
            <w:r w:rsidRPr="000D08CB">
              <w:t xml:space="preserve">water industry safety and compliance, industrial relations, environmental protection, telecommunications, anti discrimination and training. Commonwealth, State/Territory or Local Government </w:t>
            </w:r>
            <w:r w:rsidRPr="000D08CB">
              <w:t xml:space="preserve">legislation and regulations may exist that limit the age at which </w:t>
            </w:r>
            <w:r w:rsidRPr="000D08CB">
              <w:t>a person can operate certain equipment.</w:t>
            </w:r>
          </w:p>
        </w:tc>
      </w:tr>
    </w:tbl>
    <w:p w:rsidR="00000000" w:rsidRPr="000D08CB" w:rsidP="000D08CB">
      <w:pPr>
        <w:pStyle w:val="BodyText"/>
      </w:pPr>
    </w:p>
    <w:p w:rsidR="00000000" w:rsidRPr="000D08CB" w:rsidP="000D08CB">
      <w:pPr>
        <w:pStyle w:val="AllowPageBreak"/>
      </w:pPr>
    </w:p>
    <w:p w:rsidR="00000000" w:rsidRPr="000D08CB" w:rsidP="000D08CB">
      <w:pPr>
        <w:pStyle w:val="Heading1"/>
      </w:pPr>
      <w:bookmarkStart w:id="5" w:name="O_399958"/>
      <w:bookmarkEnd w:id="5"/>
      <w:r w:rsidRPr="000D08CB">
        <w:t>Pre-Requisites</w:t>
      </w:r>
    </w:p>
    <w:tbl>
      <w:tblPr>
        <w:tblW w:w="0" w:type="auto"/>
        <w:tblLayout w:type="fixed"/>
        <w:tblCellMar>
          <w:left w:w="62" w:type="dxa"/>
          <w:right w:w="62" w:type="dxa"/>
        </w:tblCellMar>
        <w:tblLook w:val="0000"/>
      </w:tblPr>
      <w:tblGrid>
        <w:gridCol w:w="2700"/>
        <w:gridCol w:w="1800"/>
        <w:gridCol w:w="3960"/>
      </w:tblGrid>
      <w:tr w:rsidTr="00C12F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D08CB" w:rsidP="000D08CB">
            <w:pPr>
              <w:pStyle w:val="BodyText"/>
            </w:pPr>
            <w:r w:rsidRPr="000D08C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rPr>
                <w:rStyle w:val="SpecialBold"/>
              </w:rPr>
              <w:t xml:space="preserve">4) </w:t>
            </w:r>
          </w:p>
        </w:tc>
      </w:tr>
      <w:tr w:rsidTr="00C12F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D08CB" w:rsidP="000D08CB">
            <w:pPr>
              <w:pStyle w:val="BodyText"/>
            </w:pPr>
            <w:r w:rsidRPr="000D08C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rPr>
                <w:rStyle w:val="SpecialBold"/>
              </w:rPr>
              <w:t>4.1)</w:t>
            </w:r>
          </w:p>
        </w:tc>
      </w:tr>
      <w:tr w:rsidTr="00C12F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Granting of competency in this unit shall be made only after competency in the following unit(s) has/have been confirmed:</w:t>
            </w:r>
          </w:p>
        </w:tc>
      </w:tr>
      <w:tr w:rsidTr="00C12F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Nil</w:t>
            </w:r>
          </w:p>
        </w:tc>
        <w:tc>
          <w:tcPr>
            <w:tcW w:w="3960" w:type="dxa"/>
            <w:tcBorders>
              <w:top w:val="nil"/>
              <w:left w:val="nil"/>
              <w:bottom w:val="nil"/>
              <w:right w:val="nil"/>
            </w:tcBorders>
            <w:tcMar>
              <w:top w:w="0" w:type="dxa"/>
              <w:left w:w="62" w:type="dxa"/>
              <w:bottom w:w="0" w:type="dxa"/>
              <w:right w:w="62" w:type="dxa"/>
            </w:tcMar>
          </w:tcPr>
          <w:p w:rsidR="00000000" w:rsidRPr="000D08CB" w:rsidP="000D08CB">
            <w:pPr>
              <w:pStyle w:val="BodyText"/>
            </w:pPr>
          </w:p>
        </w:tc>
      </w:tr>
    </w:tbl>
    <w:p w:rsidR="00000000" w:rsidRPr="000D08CB" w:rsidP="000D08C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12F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D08CB" w:rsidP="000D08CB">
            <w:pPr>
              <w:pStyle w:val="BodyText"/>
            </w:pPr>
            <w:r w:rsidRPr="000D08C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0D08CB" w:rsidP="000D08CB">
            <w:pPr>
              <w:pStyle w:val="BodyText"/>
            </w:pPr>
            <w:r w:rsidRPr="000D08CB">
              <w:rPr>
                <w:rStyle w:val="SpecialBold"/>
              </w:rPr>
              <w:t xml:space="preserve">4.2) </w:t>
            </w:r>
          </w:p>
          <w:p w:rsidR="00000000" w:rsidP="000D08CB">
            <w:pPr>
              <w:pStyle w:val="BodyText"/>
              <w:rPr>
                <w:lang w:val="en-NZ"/>
              </w:rPr>
            </w:pPr>
            <w:r w:rsidRPr="000D08CB">
              <w:t>Participants are best equipped to achieve this unit if they have reading, writing and numeracy skills indicated by the following scales. Description of each scale is given in Volume 2, Part 3 ‘Literacy and Numeracy’</w:t>
            </w:r>
          </w:p>
        </w:tc>
      </w:tr>
      <w:tr w:rsidTr="00C12F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Reading</w:t>
            </w:r>
          </w:p>
        </w:tc>
        <w:tc>
          <w:tcPr>
            <w:tcW w:w="81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4</w:t>
            </w:r>
          </w:p>
        </w:tc>
        <w:tc>
          <w:tcPr>
            <w:tcW w:w="99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Writing</w:t>
            </w:r>
          </w:p>
        </w:tc>
        <w:tc>
          <w:tcPr>
            <w:tcW w:w="90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4</w:t>
            </w:r>
          </w:p>
        </w:tc>
        <w:tc>
          <w:tcPr>
            <w:tcW w:w="126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Numeracy</w:t>
            </w:r>
          </w:p>
        </w:tc>
        <w:tc>
          <w:tcPr>
            <w:tcW w:w="720" w:type="dxa"/>
            <w:tcBorders>
              <w:top w:val="nil"/>
              <w:left w:val="nil"/>
              <w:bottom w:val="nil"/>
              <w:right w:val="nil"/>
            </w:tcBorders>
            <w:tcMar>
              <w:top w:w="0" w:type="dxa"/>
              <w:left w:w="62" w:type="dxa"/>
              <w:bottom w:w="0" w:type="dxa"/>
              <w:right w:w="62" w:type="dxa"/>
            </w:tcMar>
          </w:tcPr>
          <w:p w:rsidR="00000000" w:rsidRPr="000D08CB" w:rsidP="000D08CB">
            <w:pPr>
              <w:pStyle w:val="BodyText"/>
            </w:pPr>
            <w:r w:rsidRPr="000D08CB">
              <w:t>4</w:t>
            </w:r>
          </w:p>
        </w:tc>
      </w:tr>
    </w:tbl>
    <w:p w:rsidR="00000000" w:rsidRPr="000D08CB" w:rsidP="000D08CB">
      <w:pPr>
        <w:pStyle w:val="BodyText"/>
      </w:pPr>
    </w:p>
    <w:p w:rsidR="00000000" w:rsidRPr="000D08CB" w:rsidP="000D08CB">
      <w:pPr>
        <w:pStyle w:val="AllowPageBreak"/>
      </w:pPr>
    </w:p>
    <w:p w:rsidR="00000000" w:rsidRPr="000D08CB" w:rsidP="000D08CB">
      <w:pPr>
        <w:pStyle w:val="Heading1"/>
      </w:pPr>
      <w:bookmarkStart w:id="6" w:name="O_399954"/>
      <w:bookmarkEnd w:id="6"/>
      <w:r w:rsidRPr="000D08CB">
        <w:t>Employability Skills Information</w:t>
      </w:r>
    </w:p>
    <w:tbl>
      <w:tblPr>
        <w:tblW w:w="0" w:type="auto"/>
        <w:tblLayout w:type="fixed"/>
        <w:tblCellMar>
          <w:left w:w="62" w:type="dxa"/>
          <w:right w:w="62" w:type="dxa"/>
        </w:tblCellMar>
        <w:tblLook w:val="0000"/>
      </w:tblPr>
      <w:tblGrid>
        <w:gridCol w:w="2700"/>
        <w:gridCol w:w="5760"/>
      </w:tblGrid>
      <w:tr w:rsidTr="00C12F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D08CB" w:rsidP="000D08CB">
            <w:pPr>
              <w:pStyle w:val="BodyText"/>
            </w:pPr>
            <w:r w:rsidRPr="000D08C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rPr>
                <w:rStyle w:val="SpecialBold"/>
              </w:rPr>
              <w:t xml:space="preserve">5) </w:t>
            </w:r>
          </w:p>
        </w:tc>
      </w:tr>
      <w:tr w:rsidTr="00C12F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This unit contains Employability Skills</w:t>
            </w:r>
          </w:p>
        </w:tc>
      </w:tr>
      <w:tr w:rsidTr="00C12F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D08CB" w:rsidP="000D08CB">
            <w:pPr>
              <w:pStyle w:val="BodyText"/>
            </w:pPr>
            <w:r w:rsidRPr="000D08C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D08CB">
              <w:t>requirements.</w:t>
            </w:r>
          </w:p>
        </w:tc>
      </w:tr>
    </w:tbl>
    <w:p w:rsidR="00000000" w:rsidRPr="000D08CB" w:rsidP="000D08CB">
      <w:pPr>
        <w:pStyle w:val="BodyText"/>
      </w:pPr>
    </w:p>
    <w:p w:rsidR="00000000" w:rsidRPr="000D08CB" w:rsidP="000D08CB">
      <w:pPr>
        <w:pStyle w:val="AllowPageBreak"/>
      </w:pPr>
    </w:p>
    <w:p w:rsidR="00000000" w:rsidRPr="000D08CB" w:rsidP="000D08CB">
      <w:pPr>
        <w:pStyle w:val="Heading1"/>
      </w:pPr>
      <w:bookmarkStart w:id="7" w:name="O_399953"/>
      <w:bookmarkEnd w:id="7"/>
      <w:r w:rsidRPr="000D08CB">
        <w:t>Elements and Performance Criteria Pre-Content</w:t>
      </w:r>
    </w:p>
    <w:tbl>
      <w:tblPr>
        <w:tblW w:w="0" w:type="auto"/>
        <w:tblLayout w:type="fixed"/>
        <w:tblCellMar>
          <w:left w:w="62" w:type="dxa"/>
          <w:right w:w="62" w:type="dxa"/>
        </w:tblCellMar>
        <w:tblLook w:val="0000"/>
      </w:tblPr>
      <w:tblGrid>
        <w:gridCol w:w="2700"/>
        <w:gridCol w:w="5760"/>
      </w:tblGrid>
      <w:tr w:rsidTr="00C12F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rPr>
                <w:rStyle w:val="SpecialBold"/>
              </w:rPr>
              <w:t>6)</w:t>
            </w:r>
            <w:r w:rsidRPr="000D08C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D08CB" w:rsidP="000D08CB">
            <w:pPr>
              <w:pStyle w:val="BodyText"/>
            </w:pPr>
            <w:r w:rsidRPr="000D08CB">
              <w:t>Performance Criteria describe the required performance needed to demonstrate achievement of the element</w:t>
            </w:r>
            <w:r w:rsidRPr="000D08CB">
              <w:t>. Assessment of performance is to be consistent with the Evidence Guide.</w:t>
            </w:r>
          </w:p>
        </w:tc>
      </w:tr>
    </w:tbl>
    <w:p w:rsidR="00000000" w:rsidRPr="000D08CB" w:rsidP="000D08CB">
      <w:pPr>
        <w:pStyle w:val="BodyText"/>
      </w:pPr>
    </w:p>
    <w:p w:rsidR="00000000" w:rsidRPr="000D08CB" w:rsidP="000D08CB">
      <w:pPr>
        <w:pStyle w:val="AllowPageBreak"/>
      </w:pPr>
    </w:p>
    <w:p w:rsidR="00000000" w:rsidRPr="000D08CB" w:rsidP="000D08CB">
      <w:pPr>
        <w:pStyle w:val="Heading1"/>
      </w:pPr>
      <w:bookmarkStart w:id="8" w:name="O_399952"/>
      <w:bookmarkEnd w:id="8"/>
      <w:r w:rsidRPr="000D08CB">
        <w:t>Elements and Performance Criteria</w:t>
      </w:r>
    </w:p>
    <w:tbl>
      <w:tblPr>
        <w:tblW w:w="0" w:type="auto"/>
        <w:tblLayout w:type="fixed"/>
        <w:tblCellMar>
          <w:left w:w="62" w:type="dxa"/>
          <w:right w:w="62" w:type="dxa"/>
        </w:tblCellMar>
        <w:tblLook w:val="0000"/>
      </w:tblPr>
      <w:tblGrid>
        <w:gridCol w:w="400"/>
        <w:gridCol w:w="2272"/>
        <w:gridCol w:w="90"/>
        <w:gridCol w:w="801"/>
        <w:gridCol w:w="4809"/>
        <w:gridCol w:w="89"/>
      </w:tblGrid>
      <w:tr w:rsidTr="00C12FB2">
        <w:tblPrEx>
          <w:tblW w:w="0" w:type="auto"/>
          <w:tblLayout w:type="fixed"/>
          <w:tblCellMar>
            <w:left w:w="62" w:type="dxa"/>
            <w:right w:w="62" w:type="dxa"/>
          </w:tblCellMar>
          <w:tblLook w:val="0000"/>
        </w:tblPrEx>
        <w:trPr>
          <w:tblHeader/>
        </w:trPr>
        <w:tc>
          <w:tcPr>
            <w:tcW w:w="2762" w:type="dxa"/>
            <w:gridSpan w:val="3"/>
            <w:tcBorders>
              <w:top w:val="nil"/>
              <w:left w:val="nil"/>
              <w:bottom w:val="nil"/>
              <w:right w:val="nil"/>
            </w:tcBorders>
            <w:tcMar>
              <w:top w:w="0" w:type="dxa"/>
              <w:left w:w="62" w:type="dxa"/>
              <w:bottom w:w="0" w:type="dxa"/>
              <w:right w:w="62" w:type="dxa"/>
            </w:tcMar>
          </w:tcPr>
          <w:p w:rsidR="00000000" w:rsidRPr="000D08CB" w:rsidP="000D08CB">
            <w:pPr>
              <w:pStyle w:val="BodyText"/>
            </w:pPr>
            <w:r w:rsidRPr="000D08CB">
              <w:rPr>
                <w:rStyle w:val="SpecialBold"/>
              </w:rPr>
              <w:t>ELEMENT</w:t>
            </w:r>
          </w:p>
        </w:tc>
        <w:tc>
          <w:tcPr>
            <w:tcW w:w="5699" w:type="dxa"/>
            <w:gridSpan w:val="3"/>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rPr>
                <w:rStyle w:val="SpecialBold"/>
              </w:rPr>
              <w:t>PERFORMANCE CRITERIA</w:t>
            </w:r>
          </w:p>
        </w:tc>
      </w:tr>
      <w:tr w:rsidTr="00C12FB2">
        <w:tblPrEx>
          <w:tblW w:w="0" w:type="auto"/>
          <w:tblLayout w:type="fixed"/>
          <w:tblCellMar>
            <w:left w:w="62" w:type="dxa"/>
            <w:right w:w="62" w:type="dxa"/>
          </w:tblCellMar>
          <w:tblLook w:val="0000"/>
        </w:tblPrEx>
        <w:trPr>
          <w:gridAfter w:val="1"/>
          <w:wAfter w:w="89" w:type="dxa"/>
        </w:trPr>
        <w:tc>
          <w:tcPr>
            <w:tcW w:w="40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1</w:t>
            </w:r>
          </w:p>
        </w:tc>
        <w:tc>
          <w:tcPr>
            <w:tcW w:w="2272"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Plan control of operation</w:t>
            </w:r>
          </w:p>
        </w:tc>
        <w:tc>
          <w:tcPr>
            <w:tcW w:w="891" w:type="dxa"/>
            <w:gridSpan w:val="2"/>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1.1</w:t>
            </w:r>
          </w:p>
        </w:tc>
        <w:tc>
          <w:tcPr>
            <w:tcW w:w="4809"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Works schedule(s), including drawings, plans, requirements, established procedures and material lists are detailed, analysed if necessary by site inspection and the extent of the preparation of the work determined for planning and coordination</w:t>
            </w:r>
          </w:p>
        </w:tc>
      </w:tr>
      <w:tr w:rsidTr="00C12FB2">
        <w:tblPrEx>
          <w:tblW w:w="0" w:type="auto"/>
          <w:tblLayout w:type="fixed"/>
          <w:tblCellMar>
            <w:left w:w="62" w:type="dxa"/>
            <w:right w:w="62" w:type="dxa"/>
          </w:tblCellMar>
          <w:tblLook w:val="0000"/>
        </w:tblPrEx>
        <w:trPr>
          <w:gridAfter w:val="1"/>
          <w:wAfter w:w="89" w:type="dxa"/>
          <w:trHeight w:val="1325"/>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1.2</w:t>
            </w:r>
          </w:p>
        </w:tc>
        <w:tc>
          <w:tcPr>
            <w:tcW w:w="4809"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Work</w:t>
            </w:r>
            <w:r w:rsidRPr="000D08CB">
              <w:t xml:space="preserve"> is prioritised and sequenced for the most efficient and effective outcome following consultation with others for completion within acceptable timeframes to a quality standard and in accordance with established procedures</w:t>
            </w:r>
          </w:p>
        </w:tc>
      </w:tr>
      <w:tr w:rsidTr="00C12FB2">
        <w:tblPrEx>
          <w:tblW w:w="0" w:type="auto"/>
          <w:tblLayout w:type="fixed"/>
          <w:tblCellMar>
            <w:left w:w="62" w:type="dxa"/>
            <w:right w:w="62" w:type="dxa"/>
          </w:tblCellMar>
          <w:tblLook w:val="0000"/>
        </w:tblPrEx>
        <w:trPr>
          <w:gridAfter w:val="1"/>
          <w:wAfter w:w="89"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1.3</w:t>
            </w:r>
          </w:p>
        </w:tc>
        <w:tc>
          <w:tcPr>
            <w:tcW w:w="4809"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Risk control measures are identified, prioritised and evaluated against the work schedule</w:t>
            </w:r>
          </w:p>
        </w:tc>
      </w:tr>
      <w:tr w:rsidTr="00C12FB2">
        <w:tblPrEx>
          <w:tblW w:w="0" w:type="auto"/>
          <w:tblLayout w:type="fixed"/>
          <w:tblCellMar>
            <w:left w:w="62" w:type="dxa"/>
            <w:right w:w="62" w:type="dxa"/>
          </w:tblCellMar>
          <w:tblLook w:val="0000"/>
        </w:tblPrEx>
        <w:trPr>
          <w:gridAfter w:val="1"/>
          <w:wAfter w:w="89"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1.4</w:t>
            </w:r>
          </w:p>
        </w:tc>
        <w:tc>
          <w:tcPr>
            <w:tcW w:w="4809"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Relevant requirements and established procedures for the work are communicated to all persons and identified for all work sites</w:t>
            </w:r>
          </w:p>
        </w:tc>
      </w:tr>
      <w:tr w:rsidTr="00C12FB2">
        <w:tblPrEx>
          <w:tblW w:w="0" w:type="auto"/>
          <w:tblLayout w:type="fixed"/>
          <w:tblCellMar>
            <w:left w:w="62" w:type="dxa"/>
            <w:right w:w="62" w:type="dxa"/>
          </w:tblCellMar>
          <w:tblLook w:val="0000"/>
        </w:tblPrEx>
        <w:trPr>
          <w:gridAfter w:val="1"/>
          <w:wAfter w:w="89"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1.5</w:t>
            </w:r>
          </w:p>
        </w:tc>
        <w:tc>
          <w:tcPr>
            <w:tcW w:w="4809"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OHS, environmental and</w:t>
            </w:r>
            <w:r w:rsidRPr="000D08CB">
              <w:t xml:space="preserve"> sustainable energy policies and procedures related to the work are identified to ensure safe systems of work are followed</w:t>
            </w:r>
          </w:p>
        </w:tc>
      </w:tr>
      <w:tr w:rsidTr="00C12FB2">
        <w:tblPrEx>
          <w:tblW w:w="0" w:type="auto"/>
          <w:tblLayout w:type="fixed"/>
          <w:tblCellMar>
            <w:left w:w="62" w:type="dxa"/>
            <w:right w:w="62" w:type="dxa"/>
          </w:tblCellMar>
          <w:tblLook w:val="0000"/>
        </w:tblPrEx>
        <w:trPr>
          <w:gridAfter w:val="1"/>
          <w:wAfter w:w="89"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1.6</w:t>
            </w:r>
          </w:p>
        </w:tc>
        <w:tc>
          <w:tcPr>
            <w:tcW w:w="4809"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Relevant work permits are secured to coordinate the performance of work according to requirements and established procedures</w:t>
            </w:r>
          </w:p>
        </w:tc>
      </w:tr>
      <w:tr w:rsidTr="00C12FB2">
        <w:tblPrEx>
          <w:tblW w:w="0" w:type="auto"/>
          <w:tblLayout w:type="fixed"/>
          <w:tblCellMar>
            <w:left w:w="62" w:type="dxa"/>
            <w:right w:w="62" w:type="dxa"/>
          </w:tblCellMar>
          <w:tblLook w:val="0000"/>
        </w:tblPrEx>
        <w:trPr>
          <w:gridAfter w:val="1"/>
          <w:wAfter w:w="89"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1.7</w:t>
            </w:r>
          </w:p>
        </w:tc>
        <w:tc>
          <w:tcPr>
            <w:tcW w:w="4809"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Resources to meet pipeline operations are determined in accordance with standard operating procedures</w:t>
            </w:r>
          </w:p>
        </w:tc>
      </w:tr>
      <w:tr w:rsidTr="00C12FB2">
        <w:tblPrEx>
          <w:tblW w:w="0" w:type="auto"/>
          <w:tblLayout w:type="fixed"/>
          <w:tblCellMar>
            <w:left w:w="62" w:type="dxa"/>
            <w:right w:w="62" w:type="dxa"/>
          </w:tblCellMar>
          <w:tblLook w:val="0000"/>
        </w:tblPrEx>
        <w:trPr>
          <w:gridAfter w:val="1"/>
          <w:wAfter w:w="89"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1.8</w:t>
            </w:r>
          </w:p>
        </w:tc>
        <w:tc>
          <w:tcPr>
            <w:tcW w:w="4809"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 xml:space="preserve">Clients are provided with possible solutions and options within the scope, acceptable cost and </w:t>
            </w:r>
            <w:r w:rsidRPr="000D08CB">
              <w:t>requirements</w:t>
            </w:r>
          </w:p>
        </w:tc>
      </w:tr>
      <w:tr w:rsidTr="00C12FB2">
        <w:tblPrEx>
          <w:tblW w:w="0" w:type="auto"/>
          <w:tblLayout w:type="fixed"/>
          <w:tblCellMar>
            <w:left w:w="62" w:type="dxa"/>
            <w:right w:w="62" w:type="dxa"/>
          </w:tblCellMar>
          <w:tblLook w:val="0000"/>
        </w:tblPrEx>
        <w:trPr>
          <w:gridAfter w:val="1"/>
          <w:wAfter w:w="89"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1.9</w:t>
            </w:r>
          </w:p>
        </w:tc>
        <w:tc>
          <w:tcPr>
            <w:tcW w:w="4809"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Liaison and communicat</w:t>
            </w:r>
            <w:r w:rsidRPr="000D08CB">
              <w:t>ion issues with authorised persons, authorities, clients and land owners are resolved and activities coordinated to carry out work</w:t>
            </w:r>
          </w:p>
        </w:tc>
      </w:tr>
      <w:tr w:rsidTr="00C12FB2">
        <w:tblPrEx>
          <w:tblW w:w="0" w:type="auto"/>
          <w:tblLayout w:type="fixed"/>
          <w:tblCellMar>
            <w:left w:w="62" w:type="dxa"/>
            <w:right w:w="62" w:type="dxa"/>
          </w:tblCellMar>
          <w:tblLook w:val="0000"/>
        </w:tblPrEx>
        <w:trPr>
          <w:gridAfter w:val="1"/>
          <w:wAfter w:w="89"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1.10</w:t>
            </w:r>
          </w:p>
        </w:tc>
        <w:tc>
          <w:tcPr>
            <w:tcW w:w="4809"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Persons participating in the work, including plant operators a</w:t>
            </w:r>
            <w:r w:rsidRPr="000D08CB">
              <w:t>nd contractors are fully briefed and respective responsibilities coordinated and authorised where applicable in accordance with establish procedures</w:t>
            </w:r>
          </w:p>
        </w:tc>
      </w:tr>
      <w:tr w:rsidTr="00C12FB2">
        <w:tblPrEx>
          <w:tblW w:w="0" w:type="auto"/>
          <w:tblLayout w:type="fixed"/>
          <w:tblCellMar>
            <w:left w:w="62" w:type="dxa"/>
            <w:right w:w="62" w:type="dxa"/>
          </w:tblCellMar>
          <w:tblLook w:val="0000"/>
        </w:tblPrEx>
        <w:trPr>
          <w:gridAfter w:val="1"/>
          <w:wAfter w:w="89"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1.11</w:t>
            </w:r>
          </w:p>
        </w:tc>
        <w:tc>
          <w:tcPr>
            <w:tcW w:w="4809"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Site is prepared according to the work schedule and to minimise risk and damage to property, comme</w:t>
            </w:r>
            <w:r w:rsidRPr="000D08CB">
              <w:t>rce and individuals in accordance with established procedures</w:t>
            </w:r>
          </w:p>
        </w:tc>
      </w:tr>
      <w:tr w:rsidTr="00C12FB2">
        <w:tblPrEx>
          <w:tblW w:w="0" w:type="auto"/>
          <w:tblLayout w:type="fixed"/>
          <w:tblCellMar>
            <w:left w:w="62" w:type="dxa"/>
            <w:right w:w="62" w:type="dxa"/>
          </w:tblCellMar>
          <w:tblLook w:val="0000"/>
        </w:tblPrEx>
        <w:trPr>
          <w:gridAfter w:val="1"/>
          <w:wAfter w:w="89" w:type="dxa"/>
        </w:trPr>
        <w:tc>
          <w:tcPr>
            <w:tcW w:w="40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2</w:t>
            </w:r>
          </w:p>
        </w:tc>
        <w:tc>
          <w:tcPr>
            <w:tcW w:w="2272"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Control operations</w:t>
            </w:r>
          </w:p>
        </w:tc>
        <w:tc>
          <w:tcPr>
            <w:tcW w:w="891" w:type="dxa"/>
            <w:gridSpan w:val="2"/>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2.1</w:t>
            </w:r>
          </w:p>
        </w:tc>
        <w:tc>
          <w:tcPr>
            <w:tcW w:w="4809"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OHS policies and procedures and safe work practices are followed to eliminate or minimise incidents and hazards</w:t>
            </w:r>
          </w:p>
        </w:tc>
      </w:tr>
      <w:tr w:rsidTr="00C12FB2">
        <w:tblPrEx>
          <w:tblW w:w="0" w:type="auto"/>
          <w:tblLayout w:type="fixed"/>
          <w:tblCellMar>
            <w:left w:w="62" w:type="dxa"/>
            <w:right w:w="62" w:type="dxa"/>
          </w:tblCellMar>
          <w:tblLook w:val="0000"/>
        </w:tblPrEx>
        <w:trPr>
          <w:gridAfter w:val="1"/>
          <w:wAfter w:w="89"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2.2</w:t>
            </w:r>
          </w:p>
        </w:tc>
        <w:tc>
          <w:tcPr>
            <w:tcW w:w="4809"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First Aid and other related work procedures are performed according to requirements and established procedures</w:t>
            </w:r>
          </w:p>
        </w:tc>
      </w:tr>
      <w:tr w:rsidTr="00C12FB2">
        <w:tblPrEx>
          <w:tblW w:w="0" w:type="auto"/>
          <w:tblLayout w:type="fixed"/>
          <w:tblCellMar>
            <w:left w:w="62" w:type="dxa"/>
            <w:right w:w="62" w:type="dxa"/>
          </w:tblCellMar>
          <w:tblLook w:val="0000"/>
        </w:tblPrEx>
        <w:trPr>
          <w:gridAfter w:val="1"/>
          <w:wAfter w:w="89"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2.3</w:t>
            </w:r>
          </w:p>
        </w:tc>
        <w:tc>
          <w:tcPr>
            <w:tcW w:w="4809"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Lifting, climbing, working in confined spaces and aloft, use of power tools, techniques and practices are safely exercised according to r</w:t>
            </w:r>
            <w:r w:rsidRPr="000D08CB">
              <w:t>equirements</w:t>
            </w:r>
          </w:p>
        </w:tc>
      </w:tr>
      <w:tr w:rsidTr="00C12FB2">
        <w:tblPrEx>
          <w:tblW w:w="0" w:type="auto"/>
          <w:tblLayout w:type="fixed"/>
          <w:tblCellMar>
            <w:left w:w="62" w:type="dxa"/>
            <w:right w:w="62" w:type="dxa"/>
          </w:tblCellMar>
          <w:tblLook w:val="0000"/>
        </w:tblPrEx>
        <w:trPr>
          <w:gridAfter w:val="1"/>
          <w:wAfter w:w="89"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2.4</w:t>
            </w:r>
          </w:p>
        </w:tc>
        <w:tc>
          <w:tcPr>
            <w:tcW w:w="4809"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Operating conditions, pressures and temperatures are monitored and observed to determined correct operating parameters of the pipeline are being maintained</w:t>
            </w:r>
          </w:p>
        </w:tc>
      </w:tr>
      <w:tr w:rsidTr="00C12FB2">
        <w:tblPrEx>
          <w:tblW w:w="0" w:type="auto"/>
          <w:tblLayout w:type="fixed"/>
          <w:tblCellMar>
            <w:left w:w="62" w:type="dxa"/>
            <w:right w:w="62" w:type="dxa"/>
          </w:tblCellMar>
          <w:tblLook w:val="0000"/>
        </w:tblPrEx>
        <w:trPr>
          <w:gridAfter w:val="1"/>
          <w:wAfter w:w="89"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2.5</w:t>
            </w:r>
          </w:p>
        </w:tc>
        <w:tc>
          <w:tcPr>
            <w:tcW w:w="4809"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Alarms and codes are correctly interpreted and acknowledged to ensure th</w:t>
            </w:r>
            <w:r w:rsidRPr="000D08CB">
              <w:t>e correct response strategy is selected and applied to the situation</w:t>
            </w:r>
          </w:p>
        </w:tc>
      </w:tr>
      <w:tr w:rsidTr="00C12FB2">
        <w:tblPrEx>
          <w:tblW w:w="0" w:type="auto"/>
          <w:tblLayout w:type="fixed"/>
          <w:tblCellMar>
            <w:left w:w="62" w:type="dxa"/>
            <w:right w:w="62" w:type="dxa"/>
          </w:tblCellMar>
          <w:tblLook w:val="0000"/>
        </w:tblPrEx>
        <w:trPr>
          <w:gridAfter w:val="1"/>
          <w:wAfter w:w="89"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2.6</w:t>
            </w:r>
          </w:p>
        </w:tc>
        <w:tc>
          <w:tcPr>
            <w:tcW w:w="4809"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Remedial actions are taken to overcome any shortfalls encountered in the work schedule according to requirements and established procedures</w:t>
            </w:r>
          </w:p>
        </w:tc>
      </w:tr>
      <w:tr w:rsidTr="00C12FB2">
        <w:tblPrEx>
          <w:tblW w:w="0" w:type="auto"/>
          <w:tblLayout w:type="fixed"/>
          <w:tblCellMar>
            <w:left w:w="62" w:type="dxa"/>
            <w:right w:w="62" w:type="dxa"/>
          </w:tblCellMar>
          <w:tblLook w:val="0000"/>
        </w:tblPrEx>
        <w:trPr>
          <w:gridAfter w:val="1"/>
          <w:wAfter w:w="89"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2.7</w:t>
            </w:r>
          </w:p>
        </w:tc>
        <w:tc>
          <w:tcPr>
            <w:tcW w:w="4809"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Essential Knowledge and Associ</w:t>
            </w:r>
            <w:r w:rsidRPr="000D08CB">
              <w:t>ated Skills are applied to ensure completion in an agreed timeframe and to quality standards with a minimum of waste according to requirements</w:t>
            </w:r>
          </w:p>
        </w:tc>
      </w:tr>
      <w:tr w:rsidTr="00C12FB2">
        <w:tblPrEx>
          <w:tblW w:w="0" w:type="auto"/>
          <w:tblLayout w:type="fixed"/>
          <w:tblCellMar>
            <w:left w:w="62" w:type="dxa"/>
            <w:right w:w="62" w:type="dxa"/>
          </w:tblCellMar>
          <w:tblLook w:val="0000"/>
        </w:tblPrEx>
        <w:trPr>
          <w:gridAfter w:val="1"/>
          <w:wAfter w:w="89"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2.8</w:t>
            </w:r>
          </w:p>
        </w:tc>
        <w:tc>
          <w:tcPr>
            <w:tcW w:w="4809"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 xml:space="preserve">Solutions to non-routine problems are identified and actioned, according to requirements, using acquired </w:t>
            </w:r>
            <w:r w:rsidRPr="000D08CB">
              <w:t xml:space="preserve">Essential Knowledge and Associated Skills </w:t>
            </w:r>
          </w:p>
        </w:tc>
      </w:tr>
      <w:tr w:rsidTr="00C12FB2">
        <w:tblPrEx>
          <w:tblW w:w="0" w:type="auto"/>
          <w:tblLayout w:type="fixed"/>
          <w:tblCellMar>
            <w:left w:w="62" w:type="dxa"/>
            <w:right w:w="62" w:type="dxa"/>
          </w:tblCellMar>
          <w:tblLook w:val="0000"/>
        </w:tblPrEx>
        <w:trPr>
          <w:gridAfter w:val="1"/>
          <w:wAfter w:w="89"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2.9</w:t>
            </w:r>
          </w:p>
        </w:tc>
        <w:tc>
          <w:tcPr>
            <w:tcW w:w="4809"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 xml:space="preserve">Ongoing checks of quality of the work are undertaken in accordance with requirements and established procedures to ensure a quality outcome </w:t>
            </w:r>
            <w:r w:rsidRPr="000D08CB">
              <w:t>is achieved for the client and to a community and industry standard</w:t>
            </w:r>
          </w:p>
        </w:tc>
      </w:tr>
      <w:tr w:rsidTr="00C12FB2">
        <w:tblPrEx>
          <w:tblW w:w="0" w:type="auto"/>
          <w:tblLayout w:type="fixed"/>
          <w:tblCellMar>
            <w:left w:w="62" w:type="dxa"/>
            <w:right w:w="62" w:type="dxa"/>
          </w:tblCellMar>
          <w:tblLook w:val="0000"/>
        </w:tblPrEx>
        <w:trPr>
          <w:gridAfter w:val="1"/>
          <w:wAfter w:w="89" w:type="dxa"/>
        </w:trPr>
        <w:tc>
          <w:tcPr>
            <w:tcW w:w="40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3</w:t>
            </w:r>
          </w:p>
        </w:tc>
        <w:tc>
          <w:tcPr>
            <w:tcW w:w="2272"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Shut down pipeline system</w:t>
            </w:r>
          </w:p>
        </w:tc>
        <w:tc>
          <w:tcPr>
            <w:tcW w:w="891" w:type="dxa"/>
            <w:gridSpan w:val="2"/>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3.1</w:t>
            </w:r>
          </w:p>
        </w:tc>
        <w:tc>
          <w:tcPr>
            <w:tcW w:w="4809"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 xml:space="preserve">Emergency shutdown procedures are applied in the event of serious equipment failure or operational parameters being set and work undertaken in accordance </w:t>
            </w:r>
            <w:r w:rsidRPr="000D08CB">
              <w:t>with established procedures</w:t>
            </w:r>
          </w:p>
        </w:tc>
      </w:tr>
      <w:tr w:rsidTr="00C12FB2">
        <w:tblPrEx>
          <w:tblW w:w="0" w:type="auto"/>
          <w:tblLayout w:type="fixed"/>
          <w:tblCellMar>
            <w:left w:w="62" w:type="dxa"/>
            <w:right w:w="62" w:type="dxa"/>
          </w:tblCellMar>
          <w:tblLook w:val="0000"/>
        </w:tblPrEx>
        <w:trPr>
          <w:gridAfter w:val="1"/>
          <w:wAfter w:w="89" w:type="dxa"/>
          <w:trHeight w:val="843"/>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3.2</w:t>
            </w:r>
          </w:p>
        </w:tc>
        <w:tc>
          <w:tcPr>
            <w:tcW w:w="4809"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Accidents and injuries are reported and followed up in accordance with requirements and established procedures</w:t>
            </w:r>
          </w:p>
        </w:tc>
      </w:tr>
      <w:tr w:rsidTr="00C12FB2">
        <w:tblPrEx>
          <w:tblW w:w="0" w:type="auto"/>
          <w:tblLayout w:type="fixed"/>
          <w:tblCellMar>
            <w:left w:w="62" w:type="dxa"/>
            <w:right w:w="62" w:type="dxa"/>
          </w:tblCellMar>
          <w:tblLook w:val="0000"/>
        </w:tblPrEx>
        <w:trPr>
          <w:gridAfter w:val="1"/>
          <w:wAfter w:w="89"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3.3</w:t>
            </w:r>
          </w:p>
        </w:tc>
        <w:tc>
          <w:tcPr>
            <w:tcW w:w="4809"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Work site is rehabilitated/cleaned up and confirmed safe and in accordance with established procedures</w:t>
            </w:r>
          </w:p>
        </w:tc>
      </w:tr>
      <w:tr w:rsidTr="00C12FB2">
        <w:tblPrEx>
          <w:tblW w:w="0" w:type="auto"/>
          <w:tblLayout w:type="fixed"/>
          <w:tblCellMar>
            <w:left w:w="62" w:type="dxa"/>
            <w:right w:w="62" w:type="dxa"/>
          </w:tblCellMar>
          <w:tblLook w:val="0000"/>
        </w:tblPrEx>
        <w:trPr>
          <w:gridAfter w:val="1"/>
          <w:wAfter w:w="89"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3.4</w:t>
            </w:r>
          </w:p>
        </w:tc>
        <w:tc>
          <w:tcPr>
            <w:tcW w:w="4809"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Shutdown is completed in accordance with standard operating procedures</w:t>
            </w:r>
          </w:p>
        </w:tc>
      </w:tr>
      <w:tr w:rsidTr="00C12FB2">
        <w:tblPrEx>
          <w:tblW w:w="0" w:type="auto"/>
          <w:tblLayout w:type="fixed"/>
          <w:tblCellMar>
            <w:left w:w="62" w:type="dxa"/>
            <w:right w:w="62" w:type="dxa"/>
          </w:tblCellMar>
          <w:tblLook w:val="0000"/>
        </w:tblPrEx>
        <w:trPr>
          <w:gridAfter w:val="1"/>
          <w:wAfter w:w="89"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3.5</w:t>
            </w:r>
          </w:p>
        </w:tc>
        <w:tc>
          <w:tcPr>
            <w:tcW w:w="4809" w:type="dxa"/>
            <w:tcBorders>
              <w:top w:val="nil"/>
              <w:left w:val="nil"/>
              <w:bottom w:val="nil"/>
              <w:right w:val="nil"/>
            </w:tcBorders>
            <w:tcMar>
              <w:top w:w="0" w:type="dxa"/>
              <w:left w:w="62" w:type="dxa"/>
              <w:bottom w:w="0" w:type="dxa"/>
              <w:right w:w="62" w:type="dxa"/>
            </w:tcMar>
          </w:tcPr>
          <w:p w:rsidR="00000000" w:rsidRPr="000D08CB" w:rsidP="000D08CB">
            <w:pPr>
              <w:pStyle w:val="BodyText"/>
            </w:pPr>
            <w:r w:rsidRPr="000D08CB">
              <w:t>Shift hand over procedures are performed in accordance with standard operating procedures and pre-shutdown checks are completed and documented in accordance with standard operating procedures</w:t>
            </w:r>
          </w:p>
        </w:tc>
      </w:tr>
    </w:tbl>
    <w:p w:rsidR="00000000" w:rsidRPr="000D08CB" w:rsidP="000D08CB">
      <w:pPr>
        <w:pStyle w:val="BodyText"/>
      </w:pPr>
    </w:p>
    <w:p w:rsidR="00000000" w:rsidRPr="000D08CB" w:rsidP="000D08CB">
      <w:pPr>
        <w:pStyle w:val="AllowPageBreak"/>
      </w:pPr>
    </w:p>
    <w:p w:rsidR="00000000" w:rsidRPr="000D08CB" w:rsidP="000D08CB">
      <w:pPr>
        <w:pStyle w:val="Heading1"/>
      </w:pPr>
      <w:bookmarkStart w:id="9" w:name="O_399960"/>
      <w:bookmarkEnd w:id="9"/>
      <w:r w:rsidRPr="000D08CB">
        <w:t>Required Skills and Knowledge</w:t>
      </w:r>
    </w:p>
    <w:tbl>
      <w:tblPr>
        <w:tblW w:w="0" w:type="auto"/>
        <w:tblLayout w:type="fixed"/>
        <w:tblCellMar>
          <w:left w:w="62" w:type="dxa"/>
          <w:right w:w="62" w:type="dxa"/>
        </w:tblCellMar>
        <w:tblLook w:val="0000"/>
      </w:tblPr>
      <w:tblGrid>
        <w:gridCol w:w="8460"/>
      </w:tblGrid>
      <w:tr w:rsidTr="00C12FB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rPr>
                <w:rStyle w:val="SpecialBold"/>
              </w:rPr>
              <w:t>REQUIRED SKILLS</w:t>
            </w:r>
            <w:r w:rsidRPr="000D08CB">
              <w:rPr>
                <w:rStyle w:val="SpecialBold"/>
              </w:rPr>
              <w:t xml:space="preserve"> AND KNOWLEDGE</w:t>
            </w:r>
          </w:p>
        </w:tc>
      </w:tr>
      <w:tr w:rsidTr="00C12F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rPr>
                <w:rStyle w:val="SpecialBold"/>
              </w:rPr>
              <w:t>8)</w:t>
            </w:r>
            <w:r w:rsidRPr="000D08CB">
              <w:t>This describes the essential skills and knowledge and their level, required for this unit.</w:t>
            </w:r>
          </w:p>
        </w:tc>
      </w:tr>
      <w:tr w:rsidTr="00C12F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Evidence shall show that knowledge has been acquired of safe working practices for the control of field pipeline operations.</w:t>
            </w:r>
          </w:p>
        </w:tc>
      </w:tr>
      <w:tr w:rsidTr="00C12FB2">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0D08CB" w:rsidP="000D08CB">
            <w:pPr>
              <w:pStyle w:val="BodyText"/>
            </w:pPr>
            <w:r w:rsidRPr="000D08CB">
              <w:t>All knowledge and skills detailed in this unit should be contextualised to current industry practices and technologies.</w:t>
            </w:r>
          </w:p>
        </w:tc>
      </w:tr>
    </w:tbl>
    <w:p w:rsidR="00000000" w:rsidRPr="000D08CB" w:rsidP="000D08CB">
      <w:pPr>
        <w:pStyle w:val="BodyText"/>
      </w:pPr>
    </w:p>
    <w:tbl>
      <w:tblPr>
        <w:tblW w:w="0" w:type="auto"/>
        <w:tblLayout w:type="fixed"/>
        <w:tblCellMar>
          <w:left w:w="62" w:type="dxa"/>
          <w:right w:w="62" w:type="dxa"/>
        </w:tblCellMar>
        <w:tblLook w:val="0000"/>
      </w:tblPr>
      <w:tblGrid>
        <w:gridCol w:w="1440"/>
        <w:gridCol w:w="990"/>
        <w:gridCol w:w="6030"/>
      </w:tblGrid>
      <w:tr w:rsidTr="00C12FB2">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0D08CB" w:rsidP="000D08CB">
            <w:pPr>
              <w:pStyle w:val="BodyText"/>
            </w:pPr>
            <w:r w:rsidRPr="000D08CB">
              <w:rPr>
                <w:rStyle w:val="SpecialBold"/>
              </w:rPr>
              <w:t>KS01-G109B</w:t>
            </w:r>
          </w:p>
        </w:tc>
        <w:tc>
          <w:tcPr>
            <w:tcW w:w="7020" w:type="dxa"/>
            <w:gridSpan w:val="2"/>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rPr>
                <w:rStyle w:val="SpecialBold"/>
              </w:rPr>
              <w:t>Field pipeline operations</w:t>
            </w:r>
          </w:p>
        </w:tc>
      </w:tr>
      <w:tr w:rsidTr="00C12FB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G 4.1.1</w:t>
            </w:r>
          </w:p>
        </w:tc>
        <w:tc>
          <w:tcPr>
            <w:tcW w:w="6030" w:type="dxa"/>
            <w:tcBorders>
              <w:top w:val="nil"/>
              <w:left w:val="nil"/>
              <w:bottom w:val="nil"/>
              <w:right w:val="nil"/>
            </w:tcBorders>
            <w:tcMar>
              <w:top w:w="0" w:type="dxa"/>
              <w:left w:w="62" w:type="dxa"/>
              <w:bottom w:w="0" w:type="dxa"/>
              <w:right w:w="62" w:type="dxa"/>
            </w:tcMar>
          </w:tcPr>
          <w:p w:rsidR="00000000" w:rsidRPr="000D08CB" w:rsidP="000D08CB">
            <w:pPr>
              <w:pStyle w:val="BodyText"/>
            </w:pPr>
            <w:r w:rsidRPr="000D08CB">
              <w:t>Operating and supervising in the Gas Industry</w:t>
            </w:r>
          </w:p>
          <w:p w:rsidR="00000000" w:rsidRPr="000D08CB" w:rsidP="000D08CB">
            <w:pPr>
              <w:pStyle w:val="BodyText"/>
            </w:pPr>
            <w:r w:rsidRPr="000D08CB">
              <w:t>Evidence shall show an understanding of supervising and operating in a Gas Industry environment, indicated by the following:</w:t>
            </w:r>
          </w:p>
          <w:p w:rsidR="00000000" w:rsidRPr="000D08CB" w:rsidP="000D08CB">
            <w:pPr>
              <w:pStyle w:val="ListBullet"/>
            </w:pPr>
            <w:r w:rsidRPr="000D08CB">
              <w:t>understanding and application of enterprise applicable standard operating procedures</w:t>
            </w:r>
          </w:p>
          <w:p w:rsidR="00000000" w:rsidRPr="000D08CB" w:rsidP="000D08CB">
            <w:pPr>
              <w:pStyle w:val="ListBullet"/>
            </w:pPr>
            <w:r w:rsidRPr="000D08CB">
              <w:t>understanding and application of relevant ent</w:t>
            </w:r>
            <w:r w:rsidRPr="000D08CB">
              <w:t>erprise permit to work systems</w:t>
            </w:r>
          </w:p>
          <w:p w:rsidR="00000000" w:rsidRPr="000D08CB" w:rsidP="000D08CB">
            <w:pPr>
              <w:pStyle w:val="ListBullet"/>
            </w:pPr>
            <w:r w:rsidRPr="000D08CB">
              <w:t xml:space="preserve">understanding and application of alarm and communication systems </w:t>
            </w:r>
          </w:p>
          <w:p w:rsidR="00000000" w:rsidRPr="000D08CB" w:rsidP="000D08CB">
            <w:pPr>
              <w:pStyle w:val="ListBullet"/>
            </w:pPr>
            <w:r w:rsidRPr="000D08CB">
              <w:t>understanding and application of relevant OHS and environmental legislative requirements including applicable emergency procedures</w:t>
            </w:r>
          </w:p>
          <w:p w:rsidR="00000000" w:rsidP="000D08CB">
            <w:pPr>
              <w:pStyle w:val="ListBullet"/>
              <w:rPr>
                <w:lang w:val="en-NZ"/>
              </w:rPr>
            </w:pPr>
            <w:r w:rsidRPr="000D08CB">
              <w:t>demonstrate an understanding</w:t>
            </w:r>
            <w:r w:rsidRPr="000D08CB">
              <w:t xml:space="preserve"> and application of planning, prioritisation and working autonomously in the Gas Industry.</w:t>
            </w:r>
          </w:p>
        </w:tc>
      </w:tr>
      <w:tr w:rsidTr="00C12FB2">
        <w:tblPrEx>
          <w:tblW w:w="0" w:type="auto"/>
          <w:tblLayout w:type="fixed"/>
          <w:tblCellMar>
            <w:left w:w="62" w:type="dxa"/>
            <w:right w:w="62" w:type="dxa"/>
          </w:tblCellMar>
          <w:tblLook w:val="0000"/>
        </w:tblPrEx>
        <w:trPr>
          <w:trHeight w:val="602"/>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G 4.1.2</w:t>
            </w:r>
          </w:p>
        </w:tc>
        <w:tc>
          <w:tcPr>
            <w:tcW w:w="6030" w:type="dxa"/>
            <w:tcBorders>
              <w:top w:val="nil"/>
              <w:left w:val="nil"/>
              <w:bottom w:val="nil"/>
              <w:right w:val="nil"/>
            </w:tcBorders>
            <w:tcMar>
              <w:top w:w="0" w:type="dxa"/>
              <w:left w:w="62" w:type="dxa"/>
              <w:bottom w:w="0" w:type="dxa"/>
              <w:right w:w="62" w:type="dxa"/>
            </w:tcMar>
          </w:tcPr>
          <w:p w:rsidR="00000000" w:rsidRPr="000D08CB" w:rsidP="000D08CB">
            <w:pPr>
              <w:pStyle w:val="BodyText"/>
            </w:pPr>
            <w:r w:rsidRPr="000D08CB">
              <w:t>Understand the effective operation of Gas Industry plant,  equipment and materials</w:t>
            </w:r>
          </w:p>
          <w:p w:rsidR="00000000" w:rsidRPr="000D08CB" w:rsidP="000D08CB">
            <w:pPr>
              <w:pStyle w:val="BodyText"/>
            </w:pPr>
            <w:r w:rsidRPr="000D08CB">
              <w:t>Evidence shall show an understanding of the effective operation of Gas I</w:t>
            </w:r>
            <w:r w:rsidRPr="000D08CB">
              <w:t>ndustry plant, equipment and materials, indicated by the following:</w:t>
            </w:r>
          </w:p>
          <w:p w:rsidR="00000000" w:rsidRPr="000D08CB" w:rsidP="000D08CB">
            <w:pPr>
              <w:pStyle w:val="ListBullet"/>
            </w:pPr>
            <w:r w:rsidRPr="000D08CB">
              <w:t>understand and apply of relevant industry engineering terminology and units</w:t>
            </w:r>
          </w:p>
          <w:p w:rsidR="00000000" w:rsidRPr="000D08CB" w:rsidP="000D08CB">
            <w:pPr>
              <w:pStyle w:val="ListBullet"/>
            </w:pPr>
            <w:r w:rsidRPr="000D08CB">
              <w:t>understanding of pipeline system operating parameters</w:t>
            </w:r>
          </w:p>
          <w:p w:rsidR="00000000" w:rsidRPr="000D08CB" w:rsidP="000D08CB">
            <w:pPr>
              <w:pStyle w:val="ListBullet"/>
            </w:pPr>
            <w:r w:rsidRPr="000D08CB">
              <w:t>demonstrate operational knowledge of systems such as pumps, compressors, regulation, shutdown equipment, measurement systems by on-site or remote operation as applicable.</w:t>
            </w:r>
          </w:p>
          <w:p w:rsidR="00000000" w:rsidRPr="000D08CB" w:rsidP="000D08CB">
            <w:pPr>
              <w:pStyle w:val="ListBullet"/>
            </w:pPr>
            <w:r w:rsidRPr="000D08CB">
              <w:t xml:space="preserve">understanding of relevant inspection and testing procedures for applicable plant and </w:t>
            </w:r>
            <w:r w:rsidRPr="000D08CB">
              <w:t>equipment</w:t>
            </w:r>
          </w:p>
          <w:p w:rsidR="00000000" w:rsidRPr="000D08CB" w:rsidP="000D08CB">
            <w:pPr>
              <w:pStyle w:val="ListBullet"/>
            </w:pPr>
            <w:r w:rsidRPr="000D08CB">
              <w:t>understanding the process of commissioning and decommissioning of relevant equipment such as pipework, vessels and compressors, including on-site and remote operation as applicable.</w:t>
            </w:r>
          </w:p>
          <w:p w:rsidR="00000000" w:rsidRPr="000D08CB" w:rsidP="000D08CB">
            <w:pPr>
              <w:pStyle w:val="ListBullet"/>
            </w:pPr>
            <w:r w:rsidRPr="000D08CB">
              <w:t>Understanding the characteristics of gas flows including compres</w:t>
            </w:r>
            <w:r w:rsidRPr="000D08CB">
              <w:t>sed and non-compressed operations</w:t>
            </w:r>
          </w:p>
          <w:p w:rsidR="00000000" w:rsidRPr="000D08CB" w:rsidP="000D08CB">
            <w:pPr>
              <w:pStyle w:val="ListBullet"/>
            </w:pPr>
            <w:r w:rsidRPr="000D08CB">
              <w:t>Understanding the characteristics, operation, capabilities and limitations of applicable tools and equipment including prime movers, compression and control systems, pipeline facilities and associated equipment</w:t>
            </w:r>
          </w:p>
          <w:p w:rsidR="00000000" w:rsidP="000D08CB">
            <w:pPr>
              <w:pStyle w:val="ListBullet"/>
              <w:rPr>
                <w:lang w:val="en-NZ"/>
              </w:rPr>
            </w:pPr>
            <w:r w:rsidRPr="000D08CB">
              <w:t>understandi</w:t>
            </w:r>
            <w:r w:rsidRPr="000D08CB">
              <w:t>ng the operation of gas analysis and measuring equipment</w:t>
            </w:r>
          </w:p>
        </w:tc>
      </w:tr>
      <w:tr w:rsidTr="00C12FB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G 4.1.3</w:t>
            </w:r>
          </w:p>
        </w:tc>
        <w:tc>
          <w:tcPr>
            <w:tcW w:w="6030" w:type="dxa"/>
            <w:tcBorders>
              <w:top w:val="nil"/>
              <w:left w:val="nil"/>
              <w:bottom w:val="nil"/>
              <w:right w:val="nil"/>
            </w:tcBorders>
            <w:tcMar>
              <w:top w:w="0" w:type="dxa"/>
              <w:left w:w="62" w:type="dxa"/>
              <w:bottom w:w="0" w:type="dxa"/>
              <w:right w:w="62" w:type="dxa"/>
            </w:tcMar>
          </w:tcPr>
          <w:p w:rsidR="00000000" w:rsidRPr="000D08CB" w:rsidP="000D08CB">
            <w:pPr>
              <w:pStyle w:val="BodyText"/>
            </w:pPr>
            <w:r w:rsidRPr="000D08CB">
              <w:t>Communicating effectively in the Gas Industry at a supervisory level</w:t>
            </w:r>
          </w:p>
          <w:p w:rsidR="00000000" w:rsidRPr="000D08CB" w:rsidP="000D08CB">
            <w:pPr>
              <w:pStyle w:val="BodyText"/>
            </w:pPr>
            <w:r w:rsidRPr="000D08CB">
              <w:t>Evidence shall show an understanding of communication techniques required in supervisory roles in the Gas Industry, indi</w:t>
            </w:r>
            <w:r w:rsidRPr="000D08CB">
              <w:t>cated by the following:</w:t>
            </w:r>
          </w:p>
          <w:p w:rsidR="00000000" w:rsidRPr="000D08CB" w:rsidP="000D08CB">
            <w:pPr>
              <w:pStyle w:val="ListBullet"/>
            </w:pPr>
            <w:r w:rsidRPr="000D08CB">
              <w:t>communicate effectively with a variety of Gas Industry stakeholders, using strategies for dealing with difficult situations. The communication  includes oral, written or electronic communications, with various stakeholders includin</w:t>
            </w:r>
            <w:r w:rsidRPr="000D08CB">
              <w:t>g:</w:t>
            </w:r>
          </w:p>
          <w:p w:rsidR="00000000" w:rsidRPr="000D08CB" w:rsidP="000D08CB">
            <w:pPr>
              <w:pStyle w:val="ListBullet2"/>
            </w:pPr>
            <w:r w:rsidRPr="000D08CB">
              <w:t>workplace colleagues</w:t>
            </w:r>
          </w:p>
          <w:p w:rsidR="00000000" w:rsidRPr="000D08CB" w:rsidP="000D08CB">
            <w:pPr>
              <w:pStyle w:val="ListBullet2"/>
            </w:pPr>
            <w:r w:rsidRPr="000D08CB">
              <w:t>workplace managers</w:t>
            </w:r>
          </w:p>
          <w:p w:rsidR="00000000" w:rsidRPr="000D08CB" w:rsidP="000D08CB">
            <w:pPr>
              <w:pStyle w:val="ListBullet2"/>
            </w:pPr>
            <w:r w:rsidRPr="000D08CB">
              <w:t>relevant customers and suppliers</w:t>
            </w:r>
          </w:p>
          <w:p w:rsidR="00000000" w:rsidRPr="000D08CB" w:rsidP="000D08CB">
            <w:pPr>
              <w:pStyle w:val="ListBullet2"/>
            </w:pPr>
            <w:r w:rsidRPr="000D08CB">
              <w:t>regulatory bodies</w:t>
            </w:r>
          </w:p>
          <w:p w:rsidR="00000000" w:rsidRPr="000D08CB" w:rsidP="000D08CB">
            <w:pPr>
              <w:pStyle w:val="ListBullet2"/>
            </w:pPr>
            <w:r w:rsidRPr="000D08CB">
              <w:t>property/land owners (including traditional land owners) and tenants</w:t>
            </w:r>
          </w:p>
          <w:p w:rsidR="00000000" w:rsidRPr="000D08CB" w:rsidP="000D08CB">
            <w:pPr>
              <w:pStyle w:val="ListBullet2"/>
            </w:pPr>
            <w:r w:rsidRPr="000D08CB">
              <w:t>emergency response organisations</w:t>
            </w:r>
          </w:p>
        </w:tc>
      </w:tr>
    </w:tbl>
    <w:p w:rsidR="00C12FB2" w:rsidP="000D08CB">
      <w:pPr>
        <w:pStyle w:val="BodyText"/>
      </w:pPr>
    </w:p>
    <w:p w:rsidR="00C12FB2" w:rsidP="000D08CB">
      <w:pPr>
        <w:pStyle w:val="BodyText"/>
      </w:pPr>
    </w:p>
    <w:p w:rsidR="00000000" w:rsidRPr="000D08CB" w:rsidP="000D08CB">
      <w:pPr>
        <w:pStyle w:val="Heading1"/>
      </w:pPr>
      <w:bookmarkStart w:id="10" w:name="O_399955"/>
      <w:bookmarkEnd w:id="10"/>
      <w:r w:rsidRPr="000D08CB">
        <w:t>Evidence Guide</w:t>
      </w:r>
    </w:p>
    <w:tbl>
      <w:tblPr>
        <w:tblW w:w="0" w:type="auto"/>
        <w:tblLayout w:type="fixed"/>
        <w:tblCellMar>
          <w:left w:w="62" w:type="dxa"/>
          <w:right w:w="62" w:type="dxa"/>
        </w:tblCellMar>
        <w:tblLook w:val="0000"/>
      </w:tblPr>
      <w:tblGrid>
        <w:gridCol w:w="8460"/>
      </w:tblGrid>
      <w:tr w:rsidTr="00C12FB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rPr>
                <w:rStyle w:val="SpecialBold"/>
              </w:rPr>
              <w:t>EVIDENCE GUIDE</w:t>
            </w:r>
          </w:p>
        </w:tc>
      </w:tr>
      <w:tr w:rsidTr="00C12F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D08CB" w:rsidP="000D08CB">
            <w:pPr>
              <w:pStyle w:val="BodyText"/>
            </w:pPr>
            <w:r w:rsidRPr="000D08CB">
              <w:rPr>
                <w:rStyle w:val="SpecialBold"/>
              </w:rPr>
              <w:t>9)</w:t>
            </w:r>
            <w:r w:rsidRPr="000D08CB">
              <w:t xml:space="preserve"> The Evidence Guide forms an integral part of this Unit and shall be used in conjunction with all components parts of this unit and performed in accordance with the Assessment Guidelines of this Training Package.</w:t>
            </w:r>
          </w:p>
        </w:tc>
      </w:tr>
    </w:tbl>
    <w:p w:rsidR="00000000" w:rsidRPr="000D08CB" w:rsidP="000D08CB">
      <w:pPr>
        <w:pStyle w:val="BodyText"/>
      </w:pPr>
    </w:p>
    <w:tbl>
      <w:tblPr>
        <w:tblW w:w="0" w:type="auto"/>
        <w:tblLayout w:type="fixed"/>
        <w:tblCellMar>
          <w:left w:w="62" w:type="dxa"/>
          <w:right w:w="62" w:type="dxa"/>
        </w:tblCellMar>
        <w:tblLook w:val="0000"/>
      </w:tblPr>
      <w:tblGrid>
        <w:gridCol w:w="1890"/>
        <w:gridCol w:w="6570"/>
      </w:tblGrid>
      <w:tr w:rsidTr="00C12F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D08CB" w:rsidP="000D08CB">
            <w:pPr>
              <w:pStyle w:val="BodyText"/>
            </w:pPr>
            <w:r w:rsidRPr="000D08C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rPr>
                <w:rStyle w:val="SpecialBold"/>
              </w:rPr>
              <w:t>9.1)</w:t>
            </w:r>
          </w:p>
        </w:tc>
      </w:tr>
      <w:tr w:rsidTr="00C12F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D08CB" w:rsidP="000D08CB">
            <w:pPr>
              <w:pStyle w:val="BodyText"/>
            </w:pPr>
            <w:r w:rsidRPr="000D08CB">
              <w:t>Longitudina</w:t>
            </w:r>
            <w:r w:rsidRPr="000D08CB">
              <w:t>l competency development approaches to assessment, such as Profiling, require data to be reliably gathered in a form that can be consistently interpreted over time. This approach is best utilised in Apprenticeship programs and reduces assessment interventi</w:t>
            </w:r>
            <w:r w:rsidRPr="000D08CB">
              <w:t xml:space="preserve">on. It is the Industry’s preferred model for apprenticeships. However, where summative (or final) assessment is used it is to include the application of the competency in the normal work environment or, at a minimum, the application of the competency in a </w:t>
            </w:r>
            <w:r w:rsidRPr="000D08CB">
              <w:t>realistically simulated work environment. It is recognised that, in some circumstances, assessment in part or full can occur outside the workplace. However, it must be in accord with industry and regulatory policy in this regard.</w:t>
            </w:r>
          </w:p>
          <w:p w:rsidR="00000000" w:rsidRPr="000D08CB" w:rsidP="000D08CB">
            <w:pPr>
              <w:pStyle w:val="BodyText"/>
            </w:pPr>
            <w:r w:rsidRPr="000D08CB">
              <w:t>Methods chosen for a parti</w:t>
            </w:r>
            <w:r w:rsidRPr="000D08CB">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0D08CB">
              <w:t>the critical nature of the competencies being assessed.</w:t>
            </w:r>
          </w:p>
          <w:p w:rsidR="00000000" w:rsidRPr="000D08CB" w:rsidP="000D08CB">
            <w:pPr>
              <w:pStyle w:val="BodyText"/>
            </w:pPr>
            <w:r w:rsidRPr="000D08CB">
              <w:t xml:space="preserve">The critical safety nature of working with electricity, electrical equipment, gas or any other hazardous substance/material carries risk in deeming a person competent. Hence, sources of evidence need </w:t>
            </w:r>
            <w:r w:rsidRPr="000D08CB">
              <w:t>to be ‘rich’ in nature so as to minimise error in judgment.</w:t>
            </w:r>
          </w:p>
          <w:p w:rsidR="00000000" w:rsidRPr="000D08CB" w:rsidP="000D08CB">
            <w:pPr>
              <w:pStyle w:val="BodyText"/>
            </w:pPr>
            <w:r w:rsidRPr="000D08CB">
              <w:t>Activities associated with normal every day work have a bearing on the decision as to how much and how detailed the data gathered will contribute to its ‘richness’</w:t>
            </w:r>
            <w:r w:rsidRPr="000D08CB">
              <w:t>. Some skills are more critical to safety and operational requirements while the same skills may be more or less frequently practised. These points are raised for the assessors to consider when choosing an assessment method and developing assessment instru</w:t>
            </w:r>
            <w:r w:rsidRPr="000D08CB">
              <w:t>ments. Sample assessment instruments are included in the Assessment Guidelines of this Training Package.</w:t>
            </w:r>
          </w:p>
        </w:tc>
      </w:tr>
    </w:tbl>
    <w:p w:rsidR="00000000" w:rsidRPr="000D08CB" w:rsidP="000D08CB">
      <w:pPr>
        <w:pStyle w:val="BodyText"/>
      </w:pPr>
    </w:p>
    <w:tbl>
      <w:tblPr>
        <w:tblW w:w="0" w:type="auto"/>
        <w:tblLayout w:type="fixed"/>
        <w:tblCellMar>
          <w:left w:w="62" w:type="dxa"/>
          <w:right w:w="62" w:type="dxa"/>
        </w:tblCellMar>
        <w:tblLook w:val="0000"/>
      </w:tblPr>
      <w:tblGrid>
        <w:gridCol w:w="1890"/>
        <w:gridCol w:w="6570"/>
      </w:tblGrid>
      <w:tr w:rsidTr="00C12F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D08CB" w:rsidP="000D08CB">
            <w:pPr>
              <w:pStyle w:val="BodyText"/>
            </w:pPr>
            <w:r w:rsidRPr="000D08CB">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RPr="000D08CB" w:rsidP="000D08CB">
            <w:pPr>
              <w:pStyle w:val="BodyText"/>
            </w:pPr>
            <w:r w:rsidRPr="000D08CB">
              <w:rPr>
                <w:rStyle w:val="SpecialBold"/>
              </w:rPr>
              <w:t>9.2)</w:t>
            </w:r>
          </w:p>
          <w:p w:rsidR="00000000" w:rsidP="000D08CB">
            <w:pPr>
              <w:pStyle w:val="BodyText"/>
              <w:rPr>
                <w:lang w:val="en-NZ"/>
              </w:rPr>
            </w:pPr>
          </w:p>
        </w:tc>
      </w:tr>
      <w:tr w:rsidTr="00C12F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Before the critical aspects of evidence are considered all prerequisites shall be met.</w:t>
            </w:r>
          </w:p>
        </w:tc>
      </w:tr>
      <w:tr w:rsidTr="00C12F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Evidence for competence in this unit shall be considered holistically. Each element and associated Performance Criteria shall be demonstrated on at least two occasions</w:t>
            </w:r>
            <w:r w:rsidRPr="000D08CB">
              <w:t xml:space="preserve"> in accordance with the ‘Assessment Guidelines — UEG11’. Evidence shall also comprise: </w:t>
            </w:r>
          </w:p>
        </w:tc>
      </w:tr>
      <w:tr w:rsidTr="00C12F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D08CB">
            <w:pPr>
              <w:pStyle w:val="ListBullet"/>
              <w:rPr>
                <w:lang w:val="en-NZ"/>
              </w:rPr>
            </w:pPr>
            <w:r w:rsidRPr="000D08CB">
              <w:t>A representative body of Performance Criteria demonstrated within the timeframes typically expected of the discipline, work function and industrial environment. In p</w:t>
            </w:r>
            <w:r w:rsidRPr="000D08CB">
              <w:t>articular this shall incorporate evidence that shows a candidate is able to:</w:t>
            </w:r>
          </w:p>
        </w:tc>
      </w:tr>
      <w:tr w:rsidTr="00C12FB2">
        <w:tblPrEx>
          <w:tblW w:w="0" w:type="auto"/>
          <w:tblLayout w:type="fixed"/>
          <w:tblCellMar>
            <w:left w:w="62" w:type="dxa"/>
            <w:right w:w="62" w:type="dxa"/>
          </w:tblCellMar>
          <w:tblLook w:val="0000"/>
        </w:tblPrEx>
        <w:trPr>
          <w:trHeight w:val="900"/>
        </w:trPr>
        <w:tc>
          <w:tcPr>
            <w:tcW w:w="189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D08CB">
            <w:pPr>
              <w:pStyle w:val="ListBullet2"/>
              <w:rPr>
                <w:lang w:val="en-NZ"/>
              </w:rPr>
            </w:pPr>
            <w:r w:rsidRPr="000D08CB">
              <w:t>Implement Occupational Health and Safety workplace procedures and practices including the use of risk control measures as specified in the Performance Criteria and range</w:t>
            </w:r>
          </w:p>
        </w:tc>
      </w:tr>
      <w:tr w:rsidTr="00C12F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D08CB">
            <w:pPr>
              <w:pStyle w:val="ListBullet2"/>
              <w:rPr>
                <w:lang w:val="en-NZ"/>
              </w:rPr>
            </w:pPr>
            <w:r w:rsidRPr="000D08CB">
              <w:t>Apply sustainable energy principles and practices as specified in the Performance Criteria and range</w:t>
            </w:r>
          </w:p>
        </w:tc>
      </w:tr>
      <w:tr w:rsidTr="00C12F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D08CB">
            <w:pPr>
              <w:pStyle w:val="ListBullet2"/>
              <w:rPr>
                <w:lang w:val="en-NZ"/>
              </w:rPr>
            </w:pPr>
            <w:r w:rsidRPr="000D08CB">
              <w:t>Demonstrate an understanding of the essential knowledge and associated skills as described in this unit to such an extent that the learner’s performance</w:t>
            </w:r>
            <w:r w:rsidRPr="000D08CB">
              <w:t xml:space="preserve"> outcome is reported in accordance with the preferred approach; namely a percentile graded result, where required by the regulated environment</w:t>
            </w:r>
          </w:p>
        </w:tc>
      </w:tr>
      <w:tr w:rsidTr="00C12F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D08CB">
            <w:pPr>
              <w:pStyle w:val="ListBullet2"/>
              <w:rPr>
                <w:lang w:val="en-NZ"/>
              </w:rPr>
            </w:pPr>
            <w:r w:rsidRPr="000D08CB">
              <w:t>Demonstrate an appropriate level of employability skills</w:t>
            </w:r>
          </w:p>
        </w:tc>
      </w:tr>
      <w:tr w:rsidTr="00C12F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D08CB">
            <w:pPr>
              <w:pStyle w:val="ListBullet2"/>
              <w:rPr>
                <w:lang w:val="en-NZ"/>
              </w:rPr>
            </w:pPr>
            <w:r w:rsidRPr="000D08CB">
              <w:t>Conduct work observing the relevant Anti discrimination legislation, regulations, polices and workplace procedures</w:t>
            </w:r>
          </w:p>
        </w:tc>
      </w:tr>
      <w:tr w:rsidTr="00C12F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0D08CB" w:rsidP="000D08CB">
            <w:pPr>
              <w:pStyle w:val="ListBullet"/>
            </w:pPr>
            <w:r w:rsidRPr="000D08CB">
              <w:t>Demonstrate performance across a representative range of contexts from the prescribed items below:</w:t>
            </w:r>
          </w:p>
        </w:tc>
      </w:tr>
    </w:tbl>
    <w:p w:rsidR="00000000" w:rsidRPr="000D08CB" w:rsidP="000D08CB">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C12FB2">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0D08CB">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8CB">
            <w:pPr>
              <w:pStyle w:val="BodyText"/>
              <w:rPr>
                <w:lang w:val="en-NZ"/>
              </w:rPr>
            </w:pPr>
            <w:r w:rsidRPr="000D08CB">
              <w:rPr>
                <w:rStyle w:val="SpecialBold"/>
              </w:rPr>
              <w:t>Range of tools/equipment/procedures/workplace</w:t>
            </w:r>
          </w:p>
        </w:tc>
      </w:tr>
      <w:tr w:rsidTr="00C12FB2">
        <w:tblPrEx>
          <w:tblW w:w="0" w:type="auto"/>
          <w:tblLayout w:type="fixed"/>
          <w:tblCellMar>
            <w:left w:w="62" w:type="dxa"/>
            <w:right w:w="62" w:type="dxa"/>
          </w:tblCellMar>
          <w:tblLook w:val="0000"/>
        </w:tblPrEx>
        <w:trPr>
          <w:trHeight w:val="850"/>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0D08CB">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8CB" w:rsidP="000D08CB">
            <w:pPr>
              <w:pStyle w:val="BodyText"/>
            </w:pPr>
            <w:r w:rsidRPr="000D08CB">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8CB" w:rsidP="000D08CB">
            <w:pPr>
              <w:pStyle w:val="BodyText"/>
            </w:pPr>
            <w:r w:rsidRPr="000D08CB">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8CB">
            <w:pPr>
              <w:pStyle w:val="BodyText"/>
              <w:rPr>
                <w:lang w:val="en-NZ"/>
              </w:rPr>
            </w:pPr>
            <w:r w:rsidRPr="000D08CB">
              <w:rPr>
                <w:rStyle w:val="SpecialBold"/>
              </w:rPr>
              <w:t>Item List</w:t>
            </w:r>
          </w:p>
        </w:tc>
      </w:tr>
      <w:tr w:rsidTr="00C12F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8CB">
            <w:pPr>
              <w:pStyle w:val="BodyText"/>
              <w:rPr>
                <w:lang w:val="en-NZ"/>
              </w:rPr>
            </w:pPr>
            <w:r w:rsidRPr="000D08CB">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8CB">
            <w:pPr>
              <w:pStyle w:val="BodyText"/>
              <w:rPr>
                <w:lang w:val="en-NZ"/>
              </w:rPr>
            </w:pPr>
            <w:r w:rsidRPr="000D08CB">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8CB" w:rsidP="000D08CB">
            <w:pPr>
              <w:pStyle w:val="BodyText"/>
            </w:pPr>
            <w:r w:rsidRPr="000D08CB">
              <w:t>Apply emergency response systems</w:t>
            </w:r>
          </w:p>
          <w:p w:rsidR="00000000" w:rsidRPr="000D08CB" w:rsidP="000D08CB">
            <w:pPr>
              <w:pStyle w:val="BodyText"/>
            </w:pPr>
            <w:r w:rsidRPr="000D08CB">
              <w:t>Ensure knowledge of permit to work system</w:t>
            </w:r>
          </w:p>
          <w:p w:rsidR="00000000" w:rsidRPr="000D08CB" w:rsidP="000D08CB">
            <w:pPr>
              <w:pStyle w:val="BodyText"/>
            </w:pPr>
            <w:r w:rsidRPr="000D08CB">
              <w:t>Use emergency equipment including fire fighting equipment correctly</w:t>
            </w:r>
          </w:p>
          <w:p w:rsidR="00000000" w:rsidRPr="000D08CB" w:rsidP="000D08CB">
            <w:pPr>
              <w:pStyle w:val="BodyText"/>
            </w:pPr>
            <w:r w:rsidRPr="000D08CB">
              <w:t xml:space="preserve">Monitor of product and safe fill levels </w:t>
            </w:r>
          </w:p>
          <w:p w:rsidR="00000000" w:rsidRPr="000D08CB" w:rsidP="000D08CB">
            <w:pPr>
              <w:pStyle w:val="BodyText"/>
            </w:pPr>
            <w:r w:rsidRPr="000D08CB">
              <w:t>Use correct product transfer procedures</w:t>
            </w:r>
          </w:p>
          <w:p w:rsidR="00000000" w:rsidRPr="000D08CB" w:rsidP="000D08CB">
            <w:pPr>
              <w:pStyle w:val="BodyText"/>
            </w:pPr>
            <w:r w:rsidRPr="000D08CB">
              <w:t>Use correct storage processing conditions of product</w:t>
            </w:r>
          </w:p>
          <w:p w:rsidR="00000000" w:rsidP="000D08CB">
            <w:pPr>
              <w:pStyle w:val="BodyText"/>
              <w:rPr>
                <w:lang w:val="en-NZ"/>
              </w:rPr>
            </w:pPr>
            <w:r w:rsidRPr="000D08CB">
              <w:t xml:space="preserve">Relay accurate instructions </w:t>
            </w:r>
          </w:p>
        </w:tc>
      </w:tr>
      <w:tr w:rsidTr="00C12F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8CB">
            <w:pPr>
              <w:pStyle w:val="BodyText"/>
              <w:rPr>
                <w:lang w:val="en-NZ"/>
              </w:rPr>
            </w:pPr>
            <w:r w:rsidRPr="000D08CB">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8CB">
            <w:pPr>
              <w:pStyle w:val="BodyText"/>
              <w:rPr>
                <w:lang w:val="en-NZ"/>
              </w:rPr>
            </w:pPr>
            <w:r w:rsidRPr="000D08CB">
              <w:t>At least 7</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8CB" w:rsidP="000D08CB">
            <w:pPr>
              <w:pStyle w:val="BodyText"/>
            </w:pPr>
            <w:r w:rsidRPr="000D08CB">
              <w:t>Resources</w:t>
            </w:r>
            <w:r w:rsidRPr="000D08CB">
              <w:t>:</w:t>
            </w:r>
          </w:p>
          <w:p w:rsidR="00000000" w:rsidRPr="000D08CB" w:rsidP="000D08CB">
            <w:pPr>
              <w:pStyle w:val="BodyText"/>
            </w:pPr>
            <w:r w:rsidRPr="000D08CB">
              <w:t>Process control equipment</w:t>
            </w:r>
          </w:p>
          <w:p w:rsidR="00000000" w:rsidRPr="000D08CB" w:rsidP="000D08CB">
            <w:pPr>
              <w:pStyle w:val="BodyText"/>
            </w:pPr>
            <w:r w:rsidRPr="000D08CB">
              <w:t>Station power supply</w:t>
            </w:r>
          </w:p>
          <w:p w:rsidR="00000000" w:rsidRPr="000D08CB" w:rsidP="000D08CB">
            <w:pPr>
              <w:pStyle w:val="BodyText"/>
            </w:pPr>
            <w:r w:rsidRPr="000D08CB">
              <w:t>Heaters and heat exchanges</w:t>
            </w:r>
          </w:p>
          <w:p w:rsidR="00000000" w:rsidRPr="000D08CB" w:rsidP="000D08CB">
            <w:pPr>
              <w:pStyle w:val="BodyText"/>
            </w:pPr>
            <w:r w:rsidRPr="000D08CB">
              <w:t>Station instrumentation</w:t>
            </w:r>
          </w:p>
          <w:p w:rsidR="00000000" w:rsidRPr="000D08CB" w:rsidP="000D08CB">
            <w:pPr>
              <w:pStyle w:val="BodyText"/>
            </w:pPr>
            <w:r w:rsidRPr="000D08CB">
              <w:t>Drawings and schematics</w:t>
            </w:r>
          </w:p>
          <w:p w:rsidR="00000000" w:rsidRPr="000D08CB" w:rsidP="000D08CB">
            <w:pPr>
              <w:pStyle w:val="BodyText"/>
            </w:pPr>
            <w:r w:rsidRPr="000D08CB">
              <w:t>Metering equipment and gas analysis equipment</w:t>
            </w:r>
          </w:p>
          <w:p w:rsidR="00000000" w:rsidRPr="000D08CB" w:rsidP="000D08CB">
            <w:pPr>
              <w:pStyle w:val="BodyText"/>
            </w:pPr>
            <w:r w:rsidRPr="000D08CB">
              <w:t>Valves, actuators and flanges</w:t>
            </w:r>
          </w:p>
          <w:p w:rsidR="00000000" w:rsidRPr="000D08CB" w:rsidP="000D08CB">
            <w:pPr>
              <w:pStyle w:val="BodyText"/>
            </w:pPr>
            <w:r w:rsidRPr="000D08CB">
              <w:t>Compressors and prime movers</w:t>
            </w:r>
          </w:p>
          <w:p w:rsidR="00000000" w:rsidRPr="000D08CB" w:rsidP="000D08CB">
            <w:pPr>
              <w:pStyle w:val="BodyText"/>
            </w:pPr>
            <w:r w:rsidRPr="000D08CB">
              <w:t>Sumps and drains</w:t>
            </w:r>
          </w:p>
          <w:p w:rsidR="00000000" w:rsidP="000D08CB">
            <w:pPr>
              <w:pStyle w:val="BodyText"/>
              <w:rPr>
                <w:lang w:val="en-NZ"/>
              </w:rPr>
            </w:pPr>
            <w:r w:rsidRPr="000D08CB">
              <w:t>PIGs</w:t>
            </w:r>
          </w:p>
        </w:tc>
      </w:tr>
      <w:tr w:rsidTr="00C12F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8CB">
            <w:pPr>
              <w:pStyle w:val="BodyText"/>
              <w:rPr>
                <w:lang w:val="en-NZ"/>
              </w:rPr>
            </w:pPr>
            <w:r w:rsidRPr="000D08CB">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8CB">
            <w:pPr>
              <w:pStyle w:val="BodyText"/>
              <w:rPr>
                <w:lang w:val="en-NZ"/>
              </w:rPr>
            </w:pPr>
            <w:r w:rsidRPr="000D08CB">
              <w:t>At least 4</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8CB" w:rsidP="000D08CB">
            <w:pPr>
              <w:pStyle w:val="BodyText"/>
            </w:pPr>
            <w:r w:rsidRPr="000D08CB">
              <w:t>Monitoring pipeline:</w:t>
            </w:r>
          </w:p>
          <w:p w:rsidR="00000000" w:rsidRPr="000D08CB" w:rsidP="000D08CB">
            <w:pPr>
              <w:pStyle w:val="BodyText"/>
            </w:pPr>
            <w:r w:rsidRPr="000D08CB">
              <w:t>Use of fire and gas extinguishing and deluge systems</w:t>
            </w:r>
          </w:p>
          <w:p w:rsidR="00000000" w:rsidRPr="000D08CB" w:rsidP="000D08CB">
            <w:pPr>
              <w:pStyle w:val="BodyText"/>
            </w:pPr>
            <w:r w:rsidRPr="000D08CB">
              <w:t>Emergency systems</w:t>
            </w:r>
          </w:p>
          <w:p w:rsidR="00000000" w:rsidRPr="000D08CB" w:rsidP="000D08CB">
            <w:pPr>
              <w:pStyle w:val="BodyText"/>
            </w:pPr>
            <w:r w:rsidRPr="000D08CB">
              <w:t>Alarm and communication systems</w:t>
            </w:r>
          </w:p>
          <w:p w:rsidR="00000000" w:rsidRPr="000D08CB" w:rsidP="000D08CB">
            <w:pPr>
              <w:pStyle w:val="BodyText"/>
            </w:pPr>
            <w:r w:rsidRPr="000D08CB">
              <w:t>SCADA</w:t>
            </w:r>
          </w:p>
          <w:p w:rsidR="00000000" w:rsidRPr="000D08CB" w:rsidP="000D08CB">
            <w:pPr>
              <w:pStyle w:val="BodyText"/>
            </w:pPr>
            <w:r w:rsidRPr="000D08CB">
              <w:t>Prime wovers and compression systems</w:t>
            </w:r>
          </w:p>
          <w:p w:rsidR="00000000" w:rsidP="000D08CB">
            <w:pPr>
              <w:pStyle w:val="BodyText"/>
              <w:rPr>
                <w:lang w:val="en-NZ"/>
              </w:rPr>
            </w:pPr>
            <w:r w:rsidRPr="000D08CB">
              <w:t>Shutdown systems</w:t>
            </w:r>
          </w:p>
        </w:tc>
      </w:tr>
      <w:tr w:rsidTr="00C12F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8CB">
            <w:pPr>
              <w:pStyle w:val="BodyText"/>
              <w:rPr>
                <w:lang w:val="en-NZ"/>
              </w:rPr>
            </w:pPr>
            <w:r w:rsidRPr="000D08CB">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8CB">
            <w:pPr>
              <w:pStyle w:val="BodyText"/>
              <w:rPr>
                <w:lang w:val="en-NZ"/>
              </w:rPr>
            </w:pPr>
            <w:r w:rsidRPr="000D08CB">
              <w:t>At least 7</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8CB" w:rsidP="000D08CB">
            <w:pPr>
              <w:pStyle w:val="BodyText"/>
            </w:pPr>
            <w:r w:rsidRPr="000D08CB">
              <w:t>Faults:</w:t>
            </w:r>
          </w:p>
          <w:p w:rsidR="00000000" w:rsidRPr="000D08CB" w:rsidP="000D08CB">
            <w:pPr>
              <w:pStyle w:val="BodyText"/>
            </w:pPr>
            <w:r w:rsidRPr="000D08CB">
              <w:t>Gas leaks</w:t>
            </w:r>
          </w:p>
          <w:p w:rsidR="00000000" w:rsidRPr="000D08CB" w:rsidP="000D08CB">
            <w:pPr>
              <w:pStyle w:val="BodyText"/>
            </w:pPr>
            <w:r w:rsidRPr="000D08CB">
              <w:t>Electrical problems</w:t>
            </w:r>
          </w:p>
          <w:p w:rsidR="00000000" w:rsidRPr="000D08CB" w:rsidP="000D08CB">
            <w:pPr>
              <w:pStyle w:val="BodyText"/>
            </w:pPr>
            <w:r w:rsidRPr="000D08CB">
              <w:t>Compressor or pump failure</w:t>
            </w:r>
          </w:p>
          <w:p w:rsidR="00000000" w:rsidRPr="000D08CB" w:rsidP="000D08CB">
            <w:pPr>
              <w:pStyle w:val="BodyText"/>
            </w:pPr>
            <w:r w:rsidRPr="000D08CB">
              <w:t>Out-of-current inspection status</w:t>
            </w:r>
          </w:p>
          <w:p w:rsidR="00000000" w:rsidRPr="000D08CB" w:rsidP="000D08CB">
            <w:pPr>
              <w:pStyle w:val="BodyText"/>
            </w:pPr>
            <w:r w:rsidRPr="000D08CB">
              <w:t>Gauge failure or hose rupture leaks</w:t>
            </w:r>
          </w:p>
          <w:p w:rsidR="00000000" w:rsidRPr="000D08CB" w:rsidP="000D08CB">
            <w:pPr>
              <w:pStyle w:val="BodyText"/>
            </w:pPr>
            <w:r w:rsidRPr="000D08CB">
              <w:t>Instruments out of calibration</w:t>
            </w:r>
          </w:p>
          <w:p w:rsidR="00000000" w:rsidP="000D08CB">
            <w:pPr>
              <w:pStyle w:val="BodyText"/>
              <w:rPr>
                <w:lang w:val="en-NZ"/>
              </w:rPr>
            </w:pPr>
            <w:r w:rsidRPr="000D08CB">
              <w:t>Non-flow of gas</w:t>
            </w:r>
          </w:p>
        </w:tc>
      </w:tr>
      <w:tr w:rsidTr="00C12F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8CB">
            <w:pPr>
              <w:pStyle w:val="BodyText"/>
              <w:rPr>
                <w:lang w:val="en-NZ"/>
              </w:rPr>
            </w:pPr>
            <w:r w:rsidRPr="000D08CB">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8CB">
            <w:pPr>
              <w:pStyle w:val="BodyText"/>
              <w:rPr>
                <w:lang w:val="en-NZ"/>
              </w:rPr>
            </w:pPr>
            <w:r w:rsidRPr="000D08CB">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8CB" w:rsidP="000D08CB">
            <w:pPr>
              <w:pStyle w:val="BodyText"/>
            </w:pPr>
            <w:r w:rsidRPr="000D08CB">
              <w:t>Deal with an unplanned event by drawing on essential knowledge and associated skills t</w:t>
            </w:r>
            <w:r w:rsidRPr="000D08CB">
              <w:t xml:space="preserve">o provide appropriate solutions incorporated in the holistic assessment with the above listed items </w:t>
            </w:r>
          </w:p>
        </w:tc>
      </w:tr>
    </w:tbl>
    <w:p w:rsidR="00000000" w:rsidRPr="000D08CB" w:rsidP="000D08CB">
      <w:pPr>
        <w:pStyle w:val="BodyText"/>
      </w:pPr>
    </w:p>
    <w:tbl>
      <w:tblPr>
        <w:tblW w:w="0" w:type="auto"/>
        <w:tblLayout w:type="fixed"/>
        <w:tblCellMar>
          <w:left w:w="62" w:type="dxa"/>
          <w:right w:w="62" w:type="dxa"/>
        </w:tblCellMar>
        <w:tblLook w:val="0000"/>
      </w:tblPr>
      <w:tblGrid>
        <w:gridCol w:w="1890"/>
        <w:gridCol w:w="6570"/>
      </w:tblGrid>
      <w:tr w:rsidTr="00C12F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D08CB" w:rsidP="000D08CB">
            <w:pPr>
              <w:pStyle w:val="BodyText"/>
            </w:pPr>
            <w:r w:rsidRPr="000D08C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RPr="000D08CB" w:rsidP="000D08CB">
            <w:pPr>
              <w:pStyle w:val="BodyText"/>
            </w:pPr>
            <w:r w:rsidRPr="000D08CB">
              <w:rPr>
                <w:rStyle w:val="SpecialBold"/>
              </w:rPr>
              <w:t>9.3)</w:t>
            </w:r>
          </w:p>
          <w:p w:rsidR="00000000" w:rsidP="000D08CB">
            <w:pPr>
              <w:pStyle w:val="BodyText"/>
              <w:rPr>
                <w:lang w:val="en-NZ"/>
              </w:rPr>
            </w:pPr>
          </w:p>
        </w:tc>
      </w:tr>
      <w:tr w:rsidTr="00C12F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This unit should be assessed as it relates to normal work prac</w:t>
            </w:r>
            <w:r w:rsidRPr="000D08CB">
              <w:t>tice using procedures, information and resources typical of a workplace. This should include:</w:t>
            </w:r>
          </w:p>
        </w:tc>
      </w:tr>
      <w:tr w:rsidTr="00C12F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D08CB">
            <w:pPr>
              <w:pStyle w:val="ListBullet"/>
              <w:rPr>
                <w:lang w:val="en-NZ"/>
              </w:rPr>
            </w:pPr>
            <w:r w:rsidRPr="000D08CB">
              <w:t>OHS policy and work procedures and instructions.</w:t>
            </w:r>
          </w:p>
        </w:tc>
      </w:tr>
      <w:tr w:rsidTr="00C12F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D08CB">
            <w:pPr>
              <w:pStyle w:val="ListBullet"/>
              <w:rPr>
                <w:lang w:val="en-NZ"/>
              </w:rPr>
            </w:pPr>
            <w:r w:rsidRPr="000D08CB">
              <w:t>Suitable work environment, facilities, equipment and materials to undertake actual work as prescribed by th</w:t>
            </w:r>
            <w:r w:rsidRPr="000D08CB">
              <w:t>is Unit.</w:t>
            </w:r>
          </w:p>
        </w:tc>
      </w:tr>
      <w:tr w:rsidTr="00C12F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D08CB">
            <w:pPr>
              <w:pStyle w:val="ListBullet"/>
              <w:rPr>
                <w:lang w:val="en-NZ"/>
              </w:rPr>
            </w:pPr>
            <w:r w:rsidRPr="000D08CB">
              <w:t>Appropriate environmental regulation and work practices.</w:t>
            </w:r>
          </w:p>
        </w:tc>
      </w:tr>
      <w:tr w:rsidTr="00C12F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D08CB">
            <w:pPr>
              <w:pStyle w:val="ListBullet"/>
              <w:rPr>
                <w:lang w:val="en-NZ"/>
              </w:rPr>
            </w:pPr>
            <w:r w:rsidRPr="000D08CB">
              <w:t>Appropriate organisational requirements.</w:t>
            </w:r>
          </w:p>
        </w:tc>
      </w:tr>
      <w:tr w:rsidTr="00C12F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D08CB">
            <w:pPr>
              <w:pStyle w:val="ListBullet"/>
              <w:rPr>
                <w:lang w:val="en-NZ"/>
              </w:rPr>
            </w:pPr>
            <w:r w:rsidRPr="000D08CB">
              <w:t>Appropriate work environment, equipment and tools.</w:t>
            </w:r>
          </w:p>
        </w:tc>
      </w:tr>
      <w:tr w:rsidTr="00C12F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 xml:space="preserve">In addition to the resources listed above in Context of and specific resources for assessment, evidence should show demonstrated competency in controlling field pipeline operations. </w:t>
            </w:r>
          </w:p>
        </w:tc>
      </w:tr>
      <w:tr w:rsidTr="00C12F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D08CB" w:rsidP="000D08CB">
            <w:pPr>
              <w:pStyle w:val="BodyText"/>
            </w:pPr>
            <w:r w:rsidRPr="000D08CB">
              <w:t>Assessment of this competency must also be undertaken in either an actu</w:t>
            </w:r>
            <w:r w:rsidRPr="000D08CB">
              <w:t>al workplace or under a simulated work environment. Assessment must also integrate the employability skills.</w:t>
            </w:r>
          </w:p>
        </w:tc>
      </w:tr>
    </w:tbl>
    <w:p w:rsidR="00000000" w:rsidRPr="000D08CB" w:rsidP="000D08CB">
      <w:pPr>
        <w:pStyle w:val="BodyText"/>
      </w:pPr>
    </w:p>
    <w:tbl>
      <w:tblPr>
        <w:tblW w:w="0" w:type="auto"/>
        <w:tblLayout w:type="fixed"/>
        <w:tblCellMar>
          <w:left w:w="62" w:type="dxa"/>
          <w:right w:w="62" w:type="dxa"/>
        </w:tblCellMar>
        <w:tblLook w:val="0000"/>
      </w:tblPr>
      <w:tblGrid>
        <w:gridCol w:w="1890"/>
        <w:gridCol w:w="6570"/>
      </w:tblGrid>
      <w:tr w:rsidTr="00C12F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D08CB" w:rsidP="000D08CB">
            <w:pPr>
              <w:pStyle w:val="BodyText"/>
            </w:pPr>
            <w:r w:rsidRPr="000D08C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rPr>
                <w:rStyle w:val="SpecialBold"/>
              </w:rPr>
              <w:t>9.4)</w:t>
            </w:r>
          </w:p>
        </w:tc>
      </w:tr>
      <w:tr w:rsidTr="00C12F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This Unit shall be assessed by methods given in Volume 1, Part 3 ‘Assessment Guidelines’.</w:t>
            </w:r>
          </w:p>
        </w:tc>
      </w:tr>
      <w:tr w:rsidTr="00C12F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D08CB" w:rsidP="000D08CB">
            <w:pPr>
              <w:pStyle w:val="BodyText"/>
            </w:pPr>
            <w:r w:rsidRPr="000D08CB">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0D08CB">
              <w:t>intended for learning/assessment and incorporates all necessary equipment and facilities for learners to develop and demonstrate the Essential Knowledge and Associated Skills described in this unit.</w:t>
            </w:r>
          </w:p>
        </w:tc>
      </w:tr>
    </w:tbl>
    <w:p w:rsidR="00000000" w:rsidRPr="000D08CB" w:rsidP="000D08CB">
      <w:pPr>
        <w:pStyle w:val="BodyText"/>
      </w:pPr>
    </w:p>
    <w:tbl>
      <w:tblPr>
        <w:tblW w:w="0" w:type="auto"/>
        <w:tblLayout w:type="fixed"/>
        <w:tblCellMar>
          <w:left w:w="62" w:type="dxa"/>
          <w:right w:w="62" w:type="dxa"/>
        </w:tblCellMar>
        <w:tblLook w:val="0000"/>
      </w:tblPr>
      <w:tblGrid>
        <w:gridCol w:w="1890"/>
        <w:gridCol w:w="6570"/>
      </w:tblGrid>
      <w:tr w:rsidTr="00C12FB2">
        <w:tblPrEx>
          <w:tblW w:w="0" w:type="auto"/>
          <w:tblLayout w:type="fixed"/>
          <w:tblCellMar>
            <w:left w:w="62" w:type="dxa"/>
            <w:right w:w="62" w:type="dxa"/>
          </w:tblCellMar>
          <w:tblLook w:val="0000"/>
        </w:tblPrEx>
        <w:trPr>
          <w:trHeight w:val="1099"/>
        </w:trPr>
        <w:tc>
          <w:tcPr>
            <w:tcW w:w="1890" w:type="dxa"/>
            <w:tcBorders>
              <w:top w:val="nil"/>
              <w:left w:val="nil"/>
              <w:bottom w:val="nil"/>
              <w:right w:val="nil"/>
            </w:tcBorders>
            <w:tcMar>
              <w:top w:w="0" w:type="dxa"/>
              <w:left w:w="62" w:type="dxa"/>
              <w:bottom w:w="0" w:type="dxa"/>
              <w:right w:w="62" w:type="dxa"/>
            </w:tcMar>
          </w:tcPr>
          <w:p w:rsidR="00000000" w:rsidRPr="000D08CB" w:rsidP="000D08CB">
            <w:pPr>
              <w:pStyle w:val="BodyText"/>
            </w:pPr>
            <w:r w:rsidRPr="000D08CB">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rPr>
                <w:rStyle w:val="SpecialBold"/>
              </w:rPr>
              <w:t>9.5)</w:t>
            </w:r>
          </w:p>
        </w:tc>
      </w:tr>
      <w:tr w:rsidTr="00C12F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D08CB" w:rsidP="000D08CB">
            <w:pPr>
              <w:pStyle w:val="BodyText"/>
            </w:pPr>
            <w:r w:rsidRPr="000D08CB">
              <w:t>There are no recommended concurrent assessments with this unit.</w:t>
            </w:r>
          </w:p>
        </w:tc>
      </w:tr>
    </w:tbl>
    <w:p w:rsidR="00C12FB2" w:rsidP="000D08CB">
      <w:pPr>
        <w:pStyle w:val="BodyText"/>
      </w:pPr>
    </w:p>
    <w:p w:rsidR="00C12FB2" w:rsidP="000D08CB">
      <w:pPr>
        <w:pStyle w:val="BodyText"/>
      </w:pPr>
    </w:p>
    <w:p w:rsidR="00000000" w:rsidRPr="000D08CB" w:rsidP="000D08CB">
      <w:pPr>
        <w:pStyle w:val="Heading1"/>
      </w:pPr>
      <w:bookmarkStart w:id="11" w:name="O_399959"/>
      <w:bookmarkEnd w:id="11"/>
      <w:r w:rsidRPr="000D08CB">
        <w:t>Range Statement</w:t>
      </w:r>
    </w:p>
    <w:tbl>
      <w:tblPr>
        <w:tblW w:w="0" w:type="auto"/>
        <w:tblLayout w:type="fixed"/>
        <w:tblCellMar>
          <w:left w:w="62" w:type="dxa"/>
          <w:right w:w="62" w:type="dxa"/>
        </w:tblCellMar>
        <w:tblLook w:val="0000"/>
      </w:tblPr>
      <w:tblGrid>
        <w:gridCol w:w="8460"/>
      </w:tblGrid>
      <w:tr w:rsidTr="00C12FB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rPr>
                <w:rStyle w:val="SpecialBold"/>
              </w:rPr>
              <w:t>RANGE STATEMENT</w:t>
            </w:r>
          </w:p>
        </w:tc>
      </w:tr>
      <w:tr w:rsidTr="00C12F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rPr>
                <w:rStyle w:val="SpecialBold"/>
              </w:rPr>
              <w:t>10)</w:t>
            </w:r>
            <w:r w:rsidRPr="000D08CB">
              <w:t xml:space="preserve"> This relates to the competency standard unit as a whole providing the range of contexts and </w:t>
            </w:r>
            <w:r w:rsidRPr="000D08CB">
              <w:t>conditions to which the Performance Criteria apply. It allows for different work environments and situations that will affect performance.</w:t>
            </w:r>
          </w:p>
        </w:tc>
      </w:tr>
      <w:tr w:rsidTr="00C12FB2">
        <w:tblPrEx>
          <w:tblW w:w="0" w:type="auto"/>
          <w:tblLayout w:type="fixed"/>
          <w:tblCellMar>
            <w:left w:w="62" w:type="dxa"/>
            <w:right w:w="62" w:type="dxa"/>
          </w:tblCellMar>
          <w:tblLook w:val="0000"/>
        </w:tblPrEx>
        <w:trPr>
          <w:trHeight w:val="380"/>
        </w:trPr>
        <w:tc>
          <w:tcPr>
            <w:tcW w:w="846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This Unit shall be demonstrated in relation to controlling field pipeline operations.</w:t>
            </w:r>
          </w:p>
        </w:tc>
      </w:tr>
      <w:tr w:rsidTr="00C12F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The following constants and variables included in the element/Performance Criteria in this unit are fully described in the Definitions Section of this volume and form an integral part of the Range Statement of this unit:</w:t>
            </w:r>
          </w:p>
        </w:tc>
      </w:tr>
      <w:tr w:rsidTr="00C12F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Resources</w:t>
            </w:r>
          </w:p>
        </w:tc>
      </w:tr>
      <w:tr w:rsidTr="00C12F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 xml:space="preserve">Operational </w:t>
            </w:r>
          </w:p>
        </w:tc>
      </w:tr>
      <w:tr w:rsidTr="00C12F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Monitorin</w:t>
            </w:r>
            <w:r w:rsidRPr="000D08CB">
              <w:t>g</w:t>
            </w:r>
          </w:p>
        </w:tc>
      </w:tr>
      <w:tr w:rsidTr="00C12F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Relevant persons</w:t>
            </w:r>
          </w:p>
        </w:tc>
      </w:tr>
      <w:tr w:rsidTr="00C12F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t>Types of faults</w:t>
            </w:r>
          </w:p>
        </w:tc>
      </w:tr>
      <w:tr w:rsidTr="00C12F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D08CB" w:rsidP="000D08CB">
            <w:pPr>
              <w:pStyle w:val="BodyText"/>
            </w:pPr>
            <w:r w:rsidRPr="000D08CB">
              <w:t>Reports</w:t>
            </w:r>
          </w:p>
        </w:tc>
      </w:tr>
    </w:tbl>
    <w:p w:rsidR="00000000" w:rsidRPr="000D08CB" w:rsidP="000D08CB">
      <w:pPr>
        <w:pStyle w:val="BodyText"/>
      </w:pPr>
    </w:p>
    <w:p w:rsidR="00000000" w:rsidRPr="000D08CB" w:rsidP="000D08CB">
      <w:pPr>
        <w:pStyle w:val="AllowPageBreak"/>
      </w:pPr>
    </w:p>
    <w:p w:rsidR="00000000" w:rsidRPr="000D08CB" w:rsidP="000D08CB">
      <w:pPr>
        <w:pStyle w:val="Heading1"/>
      </w:pPr>
      <w:bookmarkStart w:id="12" w:name="O_399962"/>
      <w:bookmarkEnd w:id="12"/>
      <w:r w:rsidRPr="000D08CB">
        <w:t>Unit Sector(s)</w:t>
      </w:r>
    </w:p>
    <w:p w:rsidR="00000000" w:rsidRPr="000D08CB" w:rsidP="000D08CB">
      <w:pPr>
        <w:pStyle w:val="BodyText"/>
      </w:pPr>
      <w:r w:rsidRPr="000D08CB">
        <w:t>Not applicable.</w:t>
      </w:r>
    </w:p>
    <w:p w:rsidR="00000000" w:rsidRPr="000D08CB" w:rsidP="000D08CB">
      <w:pPr>
        <w:pStyle w:val="AllowPageBreak"/>
      </w:pPr>
    </w:p>
    <w:p w:rsidR="00000000" w:rsidRPr="000D08CB" w:rsidP="000D08CB">
      <w:pPr>
        <w:pStyle w:val="Heading1"/>
      </w:pPr>
      <w:bookmarkStart w:id="13" w:name="O_399951"/>
      <w:bookmarkEnd w:id="13"/>
      <w:r w:rsidRPr="000D08CB">
        <w:t>Competency Field</w:t>
      </w:r>
    </w:p>
    <w:tbl>
      <w:tblPr>
        <w:tblW w:w="0" w:type="auto"/>
        <w:tblLayout w:type="fixed"/>
        <w:tblCellMar>
          <w:left w:w="62" w:type="dxa"/>
          <w:right w:w="62" w:type="dxa"/>
        </w:tblCellMar>
        <w:tblLook w:val="0000"/>
      </w:tblPr>
      <w:tblGrid>
        <w:gridCol w:w="2700"/>
        <w:gridCol w:w="5760"/>
      </w:tblGrid>
      <w:tr w:rsidTr="00C12F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D08CB" w:rsidP="000D08CB">
            <w:pPr>
              <w:pStyle w:val="BodyText"/>
            </w:pPr>
            <w:r w:rsidRPr="000D08C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D08CB">
            <w:pPr>
              <w:pStyle w:val="BodyText"/>
              <w:rPr>
                <w:lang w:val="en-NZ"/>
              </w:rPr>
            </w:pPr>
            <w:r w:rsidRPr="000D08CB">
              <w:rPr>
                <w:rStyle w:val="SpecialBold"/>
              </w:rPr>
              <w:t xml:space="preserve">11) </w:t>
            </w:r>
          </w:p>
        </w:tc>
      </w:tr>
      <w:tr w:rsidTr="00C12F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D08CB" w:rsidP="000D08CB">
            <w:pPr>
              <w:pStyle w:val="BodyText"/>
            </w:pPr>
            <w:r w:rsidRPr="000D08CB">
              <w:t>Cross discipline.</w:t>
            </w:r>
          </w:p>
        </w:tc>
      </w:tr>
    </w:tbl>
    <w:p w:rsidR="00000000" w:rsidRPr="000D08CB" w:rsidP="000D08CB">
      <w:pPr>
        <w:pStyle w:val="BodyText"/>
      </w:pPr>
    </w:p>
    <w:p w:rsidR="00000000" w:rsidRPr="000D08CB" w:rsidP="000D08CB"/>
    <w:sectPr w:rsidSect="000D08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8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2FB2" w:rsidP="00C12F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8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FB2" w:rsidP="000D08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12FB2" w:rsidP="000D08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12FB2" w:rsidP="000D08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8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2FB2" w:rsidP="00C12F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8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FB2" w:rsidP="000D08CB">
    <w:pPr>
      <w:pStyle w:val="Header"/>
      <w:framePr w:wrap="around"/>
    </w:pPr>
    <w:r>
      <w:fldChar w:fldCharType="begin"/>
    </w:r>
    <w:r>
      <w:instrText xml:space="preserve"> TITLE   \* MERGEFORMAT </w:instrText>
    </w:r>
    <w:r>
      <w:fldChar w:fldCharType="separate"/>
    </w:r>
    <w:r>
      <w:t>UEGNSG109B Control field pipeline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12FB2" w:rsidP="000D08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2AEA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B455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74E3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8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08CB"/>
    <w:pPr>
      <w:spacing w:before="360" w:after="60"/>
      <w:outlineLvl w:val="0"/>
    </w:pPr>
    <w:rPr>
      <w:sz w:val="32"/>
    </w:rPr>
  </w:style>
  <w:style w:type="paragraph" w:styleId="Heading2">
    <w:name w:val="heading 2"/>
    <w:basedOn w:val="HeadingBase"/>
    <w:next w:val="BodyText"/>
    <w:link w:val="Heading2Char"/>
    <w:qFormat/>
    <w:rsid w:val="000D08CB"/>
    <w:pPr>
      <w:keepLines/>
      <w:spacing w:before="240" w:after="120"/>
      <w:outlineLvl w:val="1"/>
    </w:pPr>
    <w:rPr>
      <w:sz w:val="28"/>
      <w:szCs w:val="40"/>
    </w:rPr>
  </w:style>
  <w:style w:type="paragraph" w:styleId="Heading3">
    <w:name w:val="heading 3"/>
    <w:basedOn w:val="HeadingBase"/>
    <w:next w:val="BodyText"/>
    <w:link w:val="Heading3Char"/>
    <w:qFormat/>
    <w:rsid w:val="000D08CB"/>
    <w:pPr>
      <w:spacing w:before="180" w:after="120"/>
      <w:outlineLvl w:val="2"/>
    </w:pPr>
    <w:rPr>
      <w:spacing w:val="-10"/>
      <w:kern w:val="32"/>
    </w:rPr>
  </w:style>
  <w:style w:type="paragraph" w:styleId="Heading4">
    <w:name w:val="heading 4"/>
    <w:basedOn w:val="HeadingBase"/>
    <w:next w:val="BodyText"/>
    <w:link w:val="Heading4Char"/>
    <w:qFormat/>
    <w:rsid w:val="000D08CB"/>
    <w:pPr>
      <w:spacing w:before="160" w:after="120"/>
      <w:outlineLvl w:val="3"/>
    </w:pPr>
    <w:rPr>
      <w:sz w:val="22"/>
    </w:rPr>
  </w:style>
  <w:style w:type="paragraph" w:styleId="Heading5">
    <w:name w:val="heading 5"/>
    <w:basedOn w:val="HeadingBase"/>
    <w:next w:val="Normal"/>
    <w:link w:val="Heading5Char"/>
    <w:qFormat/>
    <w:rsid w:val="000D08CB"/>
    <w:pPr>
      <w:spacing w:before="80"/>
      <w:outlineLvl w:val="4"/>
    </w:pPr>
    <w:rPr>
      <w:color w:val="918585"/>
      <w:sz w:val="20"/>
    </w:rPr>
  </w:style>
  <w:style w:type="paragraph" w:styleId="Heading6">
    <w:name w:val="heading 6"/>
    <w:basedOn w:val="HeadingBase"/>
    <w:next w:val="Normal"/>
    <w:link w:val="Heading6Char"/>
    <w:qFormat/>
    <w:rsid w:val="000D08CB"/>
    <w:pPr>
      <w:spacing w:before="60"/>
      <w:outlineLvl w:val="5"/>
    </w:pPr>
    <w:rPr>
      <w:color w:val="918585"/>
      <w:sz w:val="20"/>
    </w:rPr>
  </w:style>
  <w:style w:type="paragraph" w:styleId="Heading7">
    <w:name w:val="heading 7"/>
    <w:basedOn w:val="Normal"/>
    <w:next w:val="Normal"/>
    <w:link w:val="Heading7Char"/>
    <w:qFormat/>
    <w:rsid w:val="000D08CB"/>
    <w:pPr>
      <w:ind w:left="720"/>
      <w:outlineLvl w:val="6"/>
    </w:pPr>
    <w:rPr>
      <w:i/>
    </w:rPr>
  </w:style>
  <w:style w:type="paragraph" w:styleId="Heading8">
    <w:name w:val="heading 8"/>
    <w:basedOn w:val="Normal"/>
    <w:next w:val="Normal"/>
    <w:link w:val="Heading8Char"/>
    <w:qFormat/>
    <w:rsid w:val="000D08CB"/>
    <w:pPr>
      <w:ind w:left="720"/>
      <w:outlineLvl w:val="7"/>
    </w:pPr>
    <w:rPr>
      <w:i/>
    </w:rPr>
  </w:style>
  <w:style w:type="paragraph" w:styleId="Heading9">
    <w:name w:val="heading 9"/>
    <w:basedOn w:val="Normal"/>
    <w:next w:val="Normal"/>
    <w:link w:val="Heading9Char"/>
    <w:qFormat/>
    <w:rsid w:val="000D08CB"/>
    <w:pPr>
      <w:ind w:left="720"/>
      <w:outlineLvl w:val="8"/>
    </w:pPr>
    <w:rPr>
      <w:i/>
    </w:rPr>
  </w:style>
  <w:style w:type="character" w:default="1" w:styleId="DefaultParagraphFont">
    <w:name w:val="Default Paragraph Font"/>
    <w:uiPriority w:val="1"/>
    <w:unhideWhenUsed/>
    <w:rsid w:val="000D08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08CB"/>
  </w:style>
  <w:style w:type="character" w:customStyle="1" w:styleId="Heading1Char">
    <w:name w:val="Heading 1 Char"/>
    <w:basedOn w:val="DefaultParagraphFont"/>
    <w:link w:val="Heading1"/>
    <w:rsid w:val="000D08CB"/>
    <w:rPr>
      <w:rFonts w:ascii="Times New Roman" w:eastAsia="Times New Roman" w:hAnsi="Times New Roman" w:cs="Times New Roman"/>
      <w:b/>
      <w:sz w:val="32"/>
      <w:szCs w:val="20"/>
      <w:lang w:eastAsia="en-US"/>
    </w:rPr>
  </w:style>
  <w:style w:type="paragraph" w:styleId="BodyText">
    <w:name w:val="Body Text"/>
    <w:basedOn w:val="Normal"/>
    <w:link w:val="BodyTextChar"/>
    <w:rsid w:val="000D08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08CB"/>
    <w:rPr>
      <w:rFonts w:ascii="Times New Roman" w:eastAsia="Times New Roman" w:hAnsi="Times New Roman" w:cs="Times New Roman"/>
      <w:sz w:val="24"/>
      <w:lang w:val="en-US" w:eastAsia="en-US"/>
    </w:rPr>
  </w:style>
  <w:style w:type="paragraph" w:styleId="Footer">
    <w:name w:val="footer"/>
    <w:basedOn w:val="Normal"/>
    <w:link w:val="FooterChar"/>
    <w:rsid w:val="000D08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08CB"/>
    <w:rPr>
      <w:rFonts w:ascii="Times New Roman" w:eastAsia="Times New Roman" w:hAnsi="Times New Roman" w:cs="Times New Roman"/>
      <w:sz w:val="16"/>
      <w:lang w:val="en-US" w:eastAsia="en-US"/>
    </w:rPr>
  </w:style>
  <w:style w:type="paragraph" w:styleId="ListBullet">
    <w:name w:val="List Bullet"/>
    <w:basedOn w:val="List"/>
    <w:rsid w:val="000D08CB"/>
    <w:pPr>
      <w:numPr>
        <w:numId w:val="13"/>
      </w:numPr>
      <w:tabs>
        <w:tab w:val="clear" w:pos="340"/>
      </w:tabs>
      <w:spacing w:before="40" w:after="40"/>
    </w:pPr>
  </w:style>
  <w:style w:type="character" w:customStyle="1" w:styleId="SpecialBold">
    <w:name w:val="Special Bold"/>
    <w:basedOn w:val="DefaultParagraphFont"/>
    <w:rsid w:val="000D08CB"/>
    <w:rPr>
      <w:b/>
      <w:spacing w:val="0"/>
    </w:rPr>
  </w:style>
  <w:style w:type="paragraph" w:styleId="ListBullet2">
    <w:name w:val="List Bullet 2"/>
    <w:basedOn w:val="List2"/>
    <w:rsid w:val="000D08CB"/>
    <w:pPr>
      <w:numPr>
        <w:numId w:val="14"/>
      </w:numPr>
      <w:tabs>
        <w:tab w:val="clear" w:pos="680"/>
      </w:tabs>
    </w:pPr>
  </w:style>
  <w:style w:type="paragraph" w:styleId="Header">
    <w:name w:val="header"/>
    <w:basedOn w:val="Normal"/>
    <w:link w:val="HeaderChar"/>
    <w:rsid w:val="000D08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08C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D08CB"/>
    <w:pPr>
      <w:spacing w:before="240" w:after="120"/>
      <w:outlineLvl w:val="0"/>
    </w:pPr>
    <w:rPr>
      <w:rFonts w:ascii="Times New Roman" w:hAnsi="Times New Roman"/>
      <w:b/>
      <w:sz w:val="28"/>
    </w:rPr>
  </w:style>
  <w:style w:type="paragraph" w:customStyle="1" w:styleId="AllowPageBreak">
    <w:name w:val="AllowPageBreak"/>
    <w:rsid w:val="000D08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08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08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08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08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08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08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08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08CB"/>
    <w:rPr>
      <w:rFonts w:ascii="Courier New" w:eastAsia="Times New Roman" w:hAnsi="Courier New" w:cs="Times New Roman"/>
      <w:i/>
      <w:szCs w:val="20"/>
      <w:lang w:val="en-US" w:eastAsia="en-US"/>
    </w:rPr>
  </w:style>
  <w:style w:type="paragraph" w:customStyle="1" w:styleId="HeadingBase">
    <w:name w:val="Heading Base"/>
    <w:rsid w:val="000D08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08CB"/>
    <w:pPr>
      <w:tabs>
        <w:tab w:val="right" w:leader="dot" w:pos="9072"/>
      </w:tabs>
      <w:ind w:left="567"/>
    </w:pPr>
    <w:rPr>
      <w:szCs w:val="22"/>
    </w:rPr>
  </w:style>
  <w:style w:type="paragraph" w:customStyle="1" w:styleId="TOCBase">
    <w:name w:val="TOC Base"/>
    <w:rsid w:val="000D08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08CB"/>
    <w:pPr>
      <w:tabs>
        <w:tab w:val="right" w:leader="dot" w:pos="9072"/>
      </w:tabs>
      <w:spacing w:before="40" w:after="40"/>
      <w:ind w:left="284"/>
    </w:pPr>
    <w:rPr>
      <w:rFonts w:ascii="Times New Roman" w:hAnsi="Times New Roman"/>
    </w:rPr>
  </w:style>
  <w:style w:type="paragraph" w:styleId="TOC1">
    <w:name w:val="toc 1"/>
    <w:basedOn w:val="TOCBase"/>
    <w:next w:val="Normal"/>
    <w:rsid w:val="000D08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08CB"/>
    <w:pPr>
      <w:spacing w:before="5040"/>
      <w:jc w:val="center"/>
    </w:pPr>
    <w:rPr>
      <w:sz w:val="48"/>
      <w:szCs w:val="72"/>
      <w:lang w:val="en-US"/>
    </w:rPr>
  </w:style>
  <w:style w:type="character" w:customStyle="1" w:styleId="TitleChar">
    <w:name w:val="Title Char"/>
    <w:basedOn w:val="DefaultParagraphFont"/>
    <w:link w:val="Title"/>
    <w:rsid w:val="000D08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08CB"/>
    <w:pPr>
      <w:tabs>
        <w:tab w:val="left" w:pos="3600"/>
        <w:tab w:val="left" w:pos="3958"/>
      </w:tabs>
    </w:pPr>
  </w:style>
  <w:style w:type="paragraph" w:styleId="List">
    <w:name w:val="List"/>
    <w:basedOn w:val="BodyText"/>
    <w:next w:val="BodyText"/>
    <w:rsid w:val="000D08CB"/>
    <w:pPr>
      <w:tabs>
        <w:tab w:val="left" w:pos="340"/>
      </w:tabs>
      <w:spacing w:before="60" w:after="60"/>
      <w:ind w:left="340" w:hanging="340"/>
    </w:pPr>
  </w:style>
  <w:style w:type="paragraph" w:customStyle="1" w:styleId="Note">
    <w:name w:val="Note"/>
    <w:basedOn w:val="BodyText"/>
    <w:rsid w:val="000D08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08CB"/>
    <w:pPr>
      <w:framePr w:wrap="auto" w:hAnchor="text" w:y="6049"/>
    </w:pPr>
    <w:rPr>
      <w:color w:val="000000"/>
      <w:sz w:val="40"/>
    </w:rPr>
  </w:style>
  <w:style w:type="paragraph" w:customStyle="1" w:styleId="TOCTitle">
    <w:name w:val="TOCTitle"/>
    <w:basedOn w:val="Heading1"/>
    <w:rsid w:val="000D08CB"/>
    <w:pPr>
      <w:spacing w:after="240"/>
      <w:jc w:val="center"/>
      <w:outlineLvl w:val="9"/>
    </w:pPr>
    <w:rPr>
      <w:caps/>
    </w:rPr>
  </w:style>
  <w:style w:type="paragraph" w:customStyle="1" w:styleId="Version">
    <w:name w:val="Version"/>
    <w:rsid w:val="000D08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08CB"/>
    <w:pPr>
      <w:keepNext w:val="0"/>
      <w:tabs>
        <w:tab w:val="right" w:pos="4176"/>
      </w:tabs>
      <w:ind w:left="198" w:hanging="198"/>
    </w:pPr>
    <w:rPr>
      <w:rFonts w:ascii="Garamond" w:hAnsi="Garamond"/>
    </w:rPr>
  </w:style>
  <w:style w:type="paragraph" w:styleId="IndexHeading">
    <w:name w:val="index heading"/>
    <w:basedOn w:val="Normal"/>
    <w:next w:val="Index1"/>
    <w:semiHidden/>
    <w:rsid w:val="000D08CB"/>
    <w:pPr>
      <w:spacing w:before="120" w:after="120"/>
    </w:pPr>
    <w:rPr>
      <w:rFonts w:ascii="Arial" w:hAnsi="Arial"/>
      <w:b/>
      <w:color w:val="918585"/>
      <w:sz w:val="24"/>
    </w:rPr>
  </w:style>
  <w:style w:type="paragraph" w:customStyle="1" w:styleId="Chapter">
    <w:name w:val="Chapter"/>
    <w:basedOn w:val="Normal"/>
    <w:rsid w:val="000D08CB"/>
    <w:pPr>
      <w:spacing w:before="240"/>
    </w:pPr>
    <w:rPr>
      <w:rFonts w:ascii="Times New Roman" w:hAnsi="Times New Roman"/>
      <w:smallCaps/>
      <w:spacing w:val="80"/>
      <w:sz w:val="28"/>
    </w:rPr>
  </w:style>
  <w:style w:type="paragraph" w:customStyle="1" w:styleId="InChapter">
    <w:name w:val="InChapter"/>
    <w:basedOn w:val="Heading3"/>
    <w:rsid w:val="000D08CB"/>
    <w:pPr>
      <w:spacing w:after="240"/>
      <w:outlineLvl w:val="9"/>
    </w:pPr>
    <w:rPr>
      <w:noProof/>
    </w:rPr>
  </w:style>
  <w:style w:type="paragraph" w:styleId="Index2">
    <w:name w:val="index 2"/>
    <w:basedOn w:val="Normal"/>
    <w:next w:val="Normal"/>
    <w:semiHidden/>
    <w:rsid w:val="000D08CB"/>
    <w:pPr>
      <w:tabs>
        <w:tab w:val="right" w:pos="4176"/>
      </w:tabs>
      <w:ind w:left="568" w:hanging="284"/>
    </w:pPr>
    <w:rPr>
      <w:rFonts w:ascii="Garamond" w:hAnsi="Garamond"/>
    </w:rPr>
  </w:style>
  <w:style w:type="paragraph" w:customStyle="1" w:styleId="Byline">
    <w:name w:val="Byline"/>
    <w:rsid w:val="000D08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08CB"/>
    <w:pPr>
      <w:tabs>
        <w:tab w:val="clear" w:pos="3600"/>
        <w:tab w:val="clear" w:pos="3958"/>
      </w:tabs>
      <w:jc w:val="right"/>
    </w:pPr>
  </w:style>
  <w:style w:type="character" w:styleId="Emphasis">
    <w:name w:val="Emphasis"/>
    <w:basedOn w:val="DefaultParagraphFont"/>
    <w:qFormat/>
    <w:rsid w:val="000D08CB"/>
    <w:rPr>
      <w:i/>
    </w:rPr>
  </w:style>
  <w:style w:type="paragraph" w:styleId="Caption">
    <w:name w:val="caption"/>
    <w:basedOn w:val="BodyText"/>
    <w:next w:val="Normal"/>
    <w:qFormat/>
    <w:rsid w:val="000D08CB"/>
    <w:pPr>
      <w:framePr w:w="2268" w:hSpace="181" w:vSpace="181" w:wrap="around" w:vAnchor="text" w:hAnchor="page" w:x="1135" w:y="285" w:anchorLock="1"/>
    </w:pPr>
    <w:rPr>
      <w:i/>
    </w:rPr>
  </w:style>
  <w:style w:type="paragraph" w:customStyle="1" w:styleId="MiniTOCTitle">
    <w:name w:val="MiniTOCTitle"/>
    <w:basedOn w:val="Heading4"/>
    <w:rsid w:val="000D08CB"/>
    <w:pPr>
      <w:spacing w:before="240"/>
      <w:outlineLvl w:val="9"/>
    </w:pPr>
    <w:rPr>
      <w:noProof/>
      <w:sz w:val="24"/>
    </w:rPr>
  </w:style>
  <w:style w:type="paragraph" w:customStyle="1" w:styleId="MiniTOCItem">
    <w:name w:val="MiniTOCItem"/>
    <w:basedOn w:val="ListBullet"/>
    <w:rsid w:val="000D08CB"/>
    <w:pPr>
      <w:numPr>
        <w:numId w:val="0"/>
      </w:numPr>
      <w:tabs>
        <w:tab w:val="right" w:leader="dot" w:pos="6521"/>
      </w:tabs>
      <w:spacing w:before="0" w:after="0"/>
    </w:pPr>
  </w:style>
  <w:style w:type="paragraph" w:customStyle="1" w:styleId="TOFTitle">
    <w:name w:val="TOFTitle"/>
    <w:basedOn w:val="TOCTitle"/>
    <w:rsid w:val="000D08CB"/>
  </w:style>
  <w:style w:type="paragraph" w:styleId="TableofFigures">
    <w:name w:val="table of figures"/>
    <w:basedOn w:val="Normal"/>
    <w:next w:val="Normal"/>
    <w:semiHidden/>
    <w:rsid w:val="000D08CB"/>
    <w:pPr>
      <w:tabs>
        <w:tab w:val="right" w:leader="dot" w:pos="9072"/>
      </w:tabs>
      <w:ind w:left="970" w:hanging="403"/>
    </w:pPr>
    <w:rPr>
      <w:rFonts w:ascii="Times New Roman" w:hAnsi="Times New Roman"/>
      <w:b/>
    </w:rPr>
  </w:style>
  <w:style w:type="paragraph" w:styleId="ListNumber">
    <w:name w:val="List Number"/>
    <w:basedOn w:val="List"/>
    <w:rsid w:val="000D08CB"/>
    <w:pPr>
      <w:numPr>
        <w:numId w:val="11"/>
      </w:numPr>
    </w:pPr>
  </w:style>
  <w:style w:type="character" w:customStyle="1" w:styleId="WingdingSymbols">
    <w:name w:val="Wingding Symbols"/>
    <w:rsid w:val="000D08CB"/>
    <w:rPr>
      <w:rFonts w:ascii="Wingdings" w:hAnsi="Wingdings"/>
    </w:rPr>
  </w:style>
  <w:style w:type="paragraph" w:customStyle="1" w:styleId="TableHeading">
    <w:name w:val="Table Heading"/>
    <w:basedOn w:val="HeadingBase"/>
    <w:rsid w:val="000D08CB"/>
    <w:pPr>
      <w:keepLines/>
      <w:pBdr>
        <w:bottom w:val="single" w:sz="6" w:space="1" w:color="918585"/>
      </w:pBdr>
      <w:spacing w:before="240"/>
    </w:pPr>
  </w:style>
  <w:style w:type="character" w:customStyle="1" w:styleId="HotSpot">
    <w:name w:val="HotSpot"/>
    <w:rsid w:val="000D08CB"/>
    <w:rPr>
      <w:color w:val="0033CC"/>
      <w:u w:val="none"/>
    </w:rPr>
  </w:style>
  <w:style w:type="paragraph" w:customStyle="1" w:styleId="BodyTextRight">
    <w:name w:val="Body Text Right"/>
    <w:basedOn w:val="BodyText"/>
    <w:rsid w:val="000D08CB"/>
    <w:pPr>
      <w:spacing w:before="0" w:after="0"/>
      <w:jc w:val="right"/>
    </w:pPr>
  </w:style>
  <w:style w:type="paragraph" w:styleId="Index3">
    <w:name w:val="index 3"/>
    <w:basedOn w:val="ListNumber2"/>
    <w:next w:val="Normal"/>
    <w:semiHidden/>
    <w:rsid w:val="000D08CB"/>
    <w:pPr>
      <w:numPr>
        <w:numId w:val="0"/>
      </w:numPr>
      <w:tabs>
        <w:tab w:val="right" w:leader="dot" w:pos="4176"/>
      </w:tabs>
    </w:pPr>
  </w:style>
  <w:style w:type="paragraph" w:styleId="ListNumber2">
    <w:name w:val="List Number 2"/>
    <w:basedOn w:val="List2"/>
    <w:rsid w:val="000D08CB"/>
    <w:pPr>
      <w:numPr>
        <w:numId w:val="10"/>
      </w:numPr>
      <w:tabs>
        <w:tab w:val="clear" w:pos="1060"/>
      </w:tabs>
    </w:pPr>
  </w:style>
  <w:style w:type="paragraph" w:customStyle="1" w:styleId="MarginNote">
    <w:name w:val="Margin Note"/>
    <w:basedOn w:val="BodyText"/>
    <w:rsid w:val="000D08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08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08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08CB"/>
    <w:rPr>
      <w:sz w:val="32"/>
    </w:rPr>
  </w:style>
  <w:style w:type="paragraph" w:customStyle="1" w:styleId="HeadingProcedure">
    <w:name w:val="Heading Procedure"/>
    <w:basedOn w:val="HeadingBase"/>
    <w:next w:val="Normal"/>
    <w:rsid w:val="000D08CB"/>
    <w:pPr>
      <w:tabs>
        <w:tab w:val="left" w:pos="0"/>
      </w:tabs>
      <w:spacing w:before="120" w:after="60"/>
    </w:pPr>
    <w:rPr>
      <w:i/>
      <w:color w:val="918585"/>
      <w:sz w:val="22"/>
    </w:rPr>
  </w:style>
  <w:style w:type="paragraph" w:customStyle="1" w:styleId="TableBodyText">
    <w:name w:val="Table Body Text"/>
    <w:basedOn w:val="BodyText"/>
    <w:rsid w:val="000D08CB"/>
    <w:pPr>
      <w:spacing w:before="60" w:after="60"/>
    </w:pPr>
  </w:style>
  <w:style w:type="paragraph" w:styleId="ListContinue">
    <w:name w:val="List Continue"/>
    <w:basedOn w:val="List"/>
    <w:rsid w:val="000D08CB"/>
    <w:pPr>
      <w:ind w:firstLine="0"/>
    </w:pPr>
  </w:style>
  <w:style w:type="paragraph" w:customStyle="1" w:styleId="ListNote">
    <w:name w:val="List Note"/>
    <w:basedOn w:val="List"/>
    <w:rsid w:val="000D08CB"/>
    <w:pPr>
      <w:pBdr>
        <w:top w:val="single" w:sz="6" w:space="2" w:color="918585"/>
        <w:bottom w:val="single" w:sz="6" w:space="2" w:color="918585"/>
      </w:pBdr>
      <w:tabs>
        <w:tab w:val="left" w:pos="1021"/>
      </w:tabs>
      <w:ind w:firstLine="0"/>
    </w:pPr>
  </w:style>
  <w:style w:type="paragraph" w:customStyle="1" w:styleId="Warning">
    <w:name w:val="Warning"/>
    <w:basedOn w:val="BodyText"/>
    <w:rsid w:val="000D08CB"/>
    <w:pPr>
      <w:shd w:val="clear" w:color="auto" w:fill="D9D9D9"/>
      <w:tabs>
        <w:tab w:val="left" w:pos="992"/>
      </w:tabs>
      <w:ind w:left="119" w:right="119"/>
    </w:pPr>
    <w:rPr>
      <w:sz w:val="20"/>
    </w:rPr>
  </w:style>
  <w:style w:type="paragraph" w:customStyle="1" w:styleId="MarginIcons">
    <w:name w:val="Margin Icons"/>
    <w:basedOn w:val="BodyText"/>
    <w:rsid w:val="000D08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08CB"/>
    <w:rPr>
      <w:rFonts w:ascii="Courier New" w:hAnsi="Courier New"/>
    </w:rPr>
  </w:style>
  <w:style w:type="paragraph" w:customStyle="1" w:styleId="NoteBullet">
    <w:name w:val="Note Bullet"/>
    <w:basedOn w:val="Note"/>
    <w:rsid w:val="000D08CB"/>
    <w:pPr>
      <w:tabs>
        <w:tab w:val="clear" w:pos="680"/>
      </w:tabs>
      <w:spacing w:before="60" w:after="60"/>
    </w:pPr>
  </w:style>
  <w:style w:type="paragraph" w:customStyle="1" w:styleId="SubHeading2">
    <w:name w:val="SubHeading2"/>
    <w:basedOn w:val="HeadingBase"/>
    <w:rsid w:val="000D08CB"/>
    <w:pPr>
      <w:spacing w:before="240" w:after="60"/>
    </w:pPr>
    <w:rPr>
      <w:sz w:val="20"/>
    </w:rPr>
  </w:style>
  <w:style w:type="paragraph" w:customStyle="1" w:styleId="SubHeading1">
    <w:name w:val="SubHeading1"/>
    <w:basedOn w:val="HeadingBase"/>
    <w:rsid w:val="000D08CB"/>
    <w:pPr>
      <w:spacing w:before="240" w:after="60"/>
    </w:pPr>
    <w:rPr>
      <w:color w:val="918585"/>
      <w:sz w:val="22"/>
    </w:rPr>
  </w:style>
  <w:style w:type="paragraph" w:customStyle="1" w:styleId="SideHeading">
    <w:name w:val="Side Heading"/>
    <w:basedOn w:val="HeadingBase"/>
    <w:rsid w:val="000D08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08CB"/>
    <w:pPr>
      <w:numPr>
        <w:numId w:val="12"/>
      </w:numPr>
    </w:pPr>
  </w:style>
  <w:style w:type="paragraph" w:styleId="PlainText">
    <w:name w:val="Plain Text"/>
    <w:basedOn w:val="Normal"/>
    <w:link w:val="PlainTextChar"/>
    <w:rsid w:val="000D08CB"/>
    <w:rPr>
      <w:sz w:val="20"/>
    </w:rPr>
  </w:style>
  <w:style w:type="character" w:customStyle="1" w:styleId="PlainTextChar">
    <w:name w:val="Plain Text Char"/>
    <w:basedOn w:val="DefaultParagraphFont"/>
    <w:link w:val="PlainText"/>
    <w:rsid w:val="000D08C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D08CB"/>
    <w:rPr>
      <w:b/>
      <w:smallCaps/>
    </w:rPr>
  </w:style>
  <w:style w:type="paragraph" w:customStyle="1" w:styleId="TableListNumber">
    <w:name w:val="Table List Number"/>
    <w:basedOn w:val="ListNumber"/>
    <w:rsid w:val="000D08CB"/>
    <w:pPr>
      <w:numPr>
        <w:numId w:val="0"/>
      </w:numPr>
    </w:pPr>
  </w:style>
  <w:style w:type="paragraph" w:styleId="TOC4">
    <w:name w:val="toc 4"/>
    <w:basedOn w:val="TOCBase"/>
    <w:next w:val="Normal"/>
    <w:semiHidden/>
    <w:rsid w:val="000D08CB"/>
    <w:pPr>
      <w:tabs>
        <w:tab w:val="right" w:leader="dot" w:pos="9071"/>
      </w:tabs>
      <w:ind w:left="1701"/>
    </w:pPr>
  </w:style>
  <w:style w:type="paragraph" w:customStyle="1" w:styleId="ListAlpha">
    <w:name w:val="List Alpha"/>
    <w:basedOn w:val="List"/>
    <w:rsid w:val="000D08CB"/>
    <w:pPr>
      <w:numPr>
        <w:numId w:val="9"/>
      </w:numPr>
    </w:pPr>
  </w:style>
  <w:style w:type="paragraph" w:customStyle="1" w:styleId="ListAlpha2">
    <w:name w:val="List Alpha 2"/>
    <w:basedOn w:val="List2"/>
    <w:rsid w:val="000D08CB"/>
    <w:pPr>
      <w:numPr>
        <w:numId w:val="8"/>
      </w:numPr>
    </w:pPr>
  </w:style>
  <w:style w:type="paragraph" w:styleId="List2">
    <w:name w:val="List 2"/>
    <w:basedOn w:val="BodyText"/>
    <w:rsid w:val="000D08CB"/>
    <w:pPr>
      <w:tabs>
        <w:tab w:val="left" w:pos="680"/>
      </w:tabs>
      <w:spacing w:before="60" w:after="60"/>
      <w:ind w:left="680" w:hanging="340"/>
    </w:pPr>
  </w:style>
  <w:style w:type="paragraph" w:styleId="List3">
    <w:name w:val="List 3"/>
    <w:basedOn w:val="BodyText"/>
    <w:rsid w:val="000D08CB"/>
    <w:pPr>
      <w:tabs>
        <w:tab w:val="left" w:pos="1021"/>
      </w:tabs>
      <w:spacing w:before="60" w:after="60"/>
      <w:ind w:left="1020" w:hanging="340"/>
    </w:pPr>
  </w:style>
  <w:style w:type="paragraph" w:styleId="List4">
    <w:name w:val="List 4"/>
    <w:basedOn w:val="BodyText"/>
    <w:rsid w:val="000D08CB"/>
    <w:pPr>
      <w:tabs>
        <w:tab w:val="left" w:pos="1361"/>
      </w:tabs>
      <w:spacing w:before="60" w:after="60"/>
      <w:ind w:left="1361" w:hanging="340"/>
    </w:pPr>
  </w:style>
  <w:style w:type="paragraph" w:styleId="List5">
    <w:name w:val="List 5"/>
    <w:basedOn w:val="BodyText"/>
    <w:rsid w:val="000D08CB"/>
    <w:pPr>
      <w:tabs>
        <w:tab w:val="left" w:pos="1701"/>
      </w:tabs>
      <w:spacing w:before="60" w:after="60"/>
      <w:ind w:left="1701" w:hanging="340"/>
    </w:pPr>
  </w:style>
  <w:style w:type="paragraph" w:styleId="ListBullet3">
    <w:name w:val="List Bullet 3"/>
    <w:basedOn w:val="List3"/>
    <w:rsid w:val="000D08CB"/>
    <w:pPr>
      <w:numPr>
        <w:numId w:val="15"/>
      </w:numPr>
      <w:tabs>
        <w:tab w:val="clear" w:pos="1021"/>
      </w:tabs>
      <w:ind w:left="1037" w:hanging="357"/>
    </w:pPr>
  </w:style>
  <w:style w:type="paragraph" w:styleId="ListBullet4">
    <w:name w:val="List Bullet 4"/>
    <w:basedOn w:val="List4"/>
    <w:rsid w:val="000D08CB"/>
    <w:pPr>
      <w:numPr>
        <w:numId w:val="3"/>
      </w:numPr>
    </w:pPr>
  </w:style>
  <w:style w:type="paragraph" w:styleId="ListBullet5">
    <w:name w:val="List Bullet 5"/>
    <w:basedOn w:val="List5"/>
    <w:rsid w:val="000D08CB"/>
    <w:pPr>
      <w:numPr>
        <w:numId w:val="4"/>
      </w:numPr>
    </w:pPr>
  </w:style>
  <w:style w:type="paragraph" w:styleId="ListContinue2">
    <w:name w:val="List Continue 2"/>
    <w:basedOn w:val="List2"/>
    <w:rsid w:val="000D08CB"/>
    <w:pPr>
      <w:ind w:firstLine="0"/>
    </w:pPr>
  </w:style>
  <w:style w:type="paragraph" w:styleId="ListContinue3">
    <w:name w:val="List Continue 3"/>
    <w:basedOn w:val="List3"/>
    <w:rsid w:val="000D08CB"/>
    <w:pPr>
      <w:ind w:left="1021" w:firstLine="0"/>
    </w:pPr>
  </w:style>
  <w:style w:type="paragraph" w:styleId="ListContinue4">
    <w:name w:val="List Continue 4"/>
    <w:basedOn w:val="List4"/>
    <w:rsid w:val="000D08CB"/>
    <w:pPr>
      <w:ind w:firstLine="0"/>
    </w:pPr>
  </w:style>
  <w:style w:type="paragraph" w:styleId="ListContinue5">
    <w:name w:val="List Continue 5"/>
    <w:basedOn w:val="List5"/>
    <w:rsid w:val="000D08CB"/>
    <w:pPr>
      <w:ind w:firstLine="0"/>
    </w:pPr>
  </w:style>
  <w:style w:type="paragraph" w:styleId="ListNumber3">
    <w:name w:val="List Number 3"/>
    <w:basedOn w:val="List3"/>
    <w:rsid w:val="000D08CB"/>
    <w:pPr>
      <w:numPr>
        <w:numId w:val="5"/>
      </w:numPr>
    </w:pPr>
  </w:style>
  <w:style w:type="paragraph" w:styleId="ListNumber4">
    <w:name w:val="List Number 4"/>
    <w:basedOn w:val="List4"/>
    <w:rsid w:val="000D08CB"/>
    <w:pPr>
      <w:numPr>
        <w:numId w:val="6"/>
      </w:numPr>
    </w:pPr>
  </w:style>
  <w:style w:type="paragraph" w:styleId="ListNumber5">
    <w:name w:val="List Number 5"/>
    <w:basedOn w:val="List5"/>
    <w:rsid w:val="000D08CB"/>
    <w:pPr>
      <w:numPr>
        <w:numId w:val="7"/>
      </w:numPr>
    </w:pPr>
  </w:style>
  <w:style w:type="paragraph" w:styleId="BlockText">
    <w:name w:val="Block Text"/>
    <w:basedOn w:val="Normal"/>
    <w:rsid w:val="000D08CB"/>
    <w:pPr>
      <w:spacing w:after="120"/>
      <w:ind w:left="1440" w:right="1440"/>
    </w:pPr>
  </w:style>
  <w:style w:type="character" w:customStyle="1" w:styleId="Subscript">
    <w:name w:val="Subscript"/>
    <w:basedOn w:val="DefaultParagraphFont"/>
    <w:rsid w:val="000D08CB"/>
    <w:rPr>
      <w:sz w:val="16"/>
      <w:vertAlign w:val="subscript"/>
    </w:rPr>
  </w:style>
  <w:style w:type="character" w:customStyle="1" w:styleId="Superscript">
    <w:name w:val="Superscript"/>
    <w:basedOn w:val="DefaultParagraphFont"/>
    <w:rsid w:val="000D08CB"/>
    <w:rPr>
      <w:sz w:val="16"/>
      <w:vertAlign w:val="superscript"/>
    </w:rPr>
  </w:style>
  <w:style w:type="character" w:customStyle="1" w:styleId="Symbols">
    <w:name w:val="Symbols"/>
    <w:basedOn w:val="DefaultParagraphFont"/>
    <w:rsid w:val="000D08CB"/>
    <w:rPr>
      <w:rFonts w:ascii="Symbol" w:hAnsi="Symbol"/>
    </w:rPr>
  </w:style>
  <w:style w:type="character" w:customStyle="1" w:styleId="MenuOptions">
    <w:name w:val="Menu Options"/>
    <w:basedOn w:val="DefaultParagraphFont"/>
    <w:rsid w:val="000D08CB"/>
    <w:rPr>
      <w:rFonts w:ascii="Arial Narrow" w:hAnsi="Arial Narrow"/>
      <w:smallCaps/>
    </w:rPr>
  </w:style>
  <w:style w:type="character" w:customStyle="1" w:styleId="Buttons">
    <w:name w:val="Buttons"/>
    <w:basedOn w:val="DefaultParagraphFont"/>
    <w:rsid w:val="000D08CB"/>
    <w:rPr>
      <w:b/>
    </w:rPr>
  </w:style>
  <w:style w:type="character" w:customStyle="1" w:styleId="Underlined">
    <w:name w:val="Underlined"/>
    <w:basedOn w:val="DefaultParagraphFont"/>
    <w:rsid w:val="000D08CB"/>
    <w:rPr>
      <w:u w:val="single"/>
    </w:rPr>
  </w:style>
  <w:style w:type="paragraph" w:customStyle="1" w:styleId="TableBodyTextRight">
    <w:name w:val="Table Body Text Right"/>
    <w:basedOn w:val="TableBodyText"/>
    <w:rsid w:val="000D08CB"/>
    <w:pPr>
      <w:widowControl w:val="0"/>
      <w:autoSpaceDE w:val="0"/>
      <w:autoSpaceDN w:val="0"/>
      <w:adjustRightInd w:val="0"/>
      <w:jc w:val="right"/>
    </w:pPr>
    <w:rPr>
      <w:rFonts w:cs="Arial"/>
      <w:szCs w:val="18"/>
    </w:rPr>
  </w:style>
  <w:style w:type="paragraph" w:customStyle="1" w:styleId="CopyrightText">
    <w:name w:val="Copyright Text"/>
    <w:basedOn w:val="BodyText"/>
    <w:rsid w:val="000D08CB"/>
    <w:rPr>
      <w:sz w:val="18"/>
    </w:rPr>
  </w:style>
  <w:style w:type="paragraph" w:customStyle="1" w:styleId="BodySmallRight">
    <w:name w:val="Body Small Right"/>
    <w:basedOn w:val="BodyTextRight"/>
    <w:rsid w:val="000D08CB"/>
    <w:rPr>
      <w:sz w:val="18"/>
      <w:szCs w:val="18"/>
    </w:rPr>
  </w:style>
  <w:style w:type="paragraph" w:customStyle="1" w:styleId="MarginEdition">
    <w:name w:val="Margin Edition"/>
    <w:basedOn w:val="MarginNote"/>
    <w:rsid w:val="000D08CB"/>
    <w:pPr>
      <w:spacing w:before="0" w:after="0"/>
    </w:pPr>
    <w:rPr>
      <w:rFonts w:ascii="Times New Roman" w:hAnsi="Times New Roman"/>
      <w:color w:val="999999"/>
    </w:rPr>
  </w:style>
  <w:style w:type="paragraph" w:customStyle="1" w:styleId="Spacer">
    <w:name w:val="Spacer"/>
    <w:basedOn w:val="Normal"/>
    <w:rsid w:val="000D08CB"/>
    <w:rPr>
      <w:sz w:val="2"/>
      <w:szCs w:val="2"/>
    </w:rPr>
  </w:style>
  <w:style w:type="character" w:customStyle="1" w:styleId="Small">
    <w:name w:val="Small"/>
    <w:basedOn w:val="DefaultParagraphFont"/>
    <w:rsid w:val="000D08CB"/>
    <w:rPr>
      <w:sz w:val="16"/>
    </w:rPr>
  </w:style>
  <w:style w:type="paragraph" w:customStyle="1" w:styleId="WideTable">
    <w:name w:val="Wide Table"/>
    <w:basedOn w:val="Normal"/>
    <w:rsid w:val="000D08CB"/>
    <w:pPr>
      <w:ind w:left="-1418"/>
    </w:pPr>
    <w:rPr>
      <w:sz w:val="2"/>
      <w:szCs w:val="2"/>
    </w:rPr>
  </w:style>
  <w:style w:type="character" w:styleId="PageNumber">
    <w:name w:val="page number"/>
    <w:basedOn w:val="DefaultParagraphFont"/>
    <w:rsid w:val="000D08CB"/>
  </w:style>
  <w:style w:type="paragraph" w:styleId="Quote">
    <w:name w:val="Quote"/>
    <w:basedOn w:val="Heading1"/>
    <w:link w:val="QuoteChar"/>
    <w:qFormat/>
    <w:rsid w:val="000D08CB"/>
    <w:rPr>
      <w:b w:val="0"/>
      <w:sz w:val="72"/>
      <w:szCs w:val="72"/>
      <w:lang w:val="en-NZ"/>
    </w:rPr>
  </w:style>
  <w:style w:type="character" w:customStyle="1" w:styleId="QuoteChar">
    <w:name w:val="Quote Char"/>
    <w:basedOn w:val="DefaultParagraphFont"/>
    <w:link w:val="Quote"/>
    <w:rsid w:val="000D08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08CB"/>
    <w:pPr>
      <w:pageBreakBefore/>
    </w:pPr>
  </w:style>
  <w:style w:type="paragraph" w:customStyle="1" w:styleId="Border">
    <w:name w:val="Border"/>
    <w:basedOn w:val="Normal"/>
    <w:qFormat/>
    <w:rsid w:val="000D08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08CB"/>
    <w:rPr>
      <w:b/>
      <w:bCs/>
      <w:i/>
      <w:iCs/>
      <w:color w:val="auto"/>
    </w:rPr>
  </w:style>
  <w:style w:type="paragraph" w:styleId="IntenseQuote">
    <w:name w:val="Intense Quote"/>
    <w:basedOn w:val="Normal"/>
    <w:next w:val="Normal"/>
    <w:link w:val="IntenseQuoteChar"/>
    <w:uiPriority w:val="30"/>
    <w:qFormat/>
    <w:rsid w:val="000D08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08C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D08CB"/>
    <w:rPr>
      <w:smallCaps/>
      <w:color w:val="auto"/>
      <w:u w:val="single"/>
    </w:rPr>
  </w:style>
  <w:style w:type="character" w:styleId="IntenseReference">
    <w:name w:val="Intense Reference"/>
    <w:basedOn w:val="DefaultParagraphFont"/>
    <w:uiPriority w:val="32"/>
    <w:qFormat/>
    <w:rsid w:val="000D08CB"/>
    <w:rPr>
      <w:b/>
      <w:bCs/>
      <w:smallCaps/>
      <w:color w:val="auto"/>
      <w:spacing w:val="5"/>
      <w:u w:val="single"/>
    </w:rPr>
  </w:style>
  <w:style w:type="paragraph" w:customStyle="1" w:styleId="2ColumnHeading">
    <w:name w:val="2Column Heading"/>
    <w:basedOn w:val="BodyText"/>
    <w:qFormat/>
    <w:rsid w:val="000D08CB"/>
    <w:pPr>
      <w:spacing w:after="60"/>
      <w:ind w:left="-2268"/>
    </w:pPr>
    <w:rPr>
      <w:b/>
    </w:rPr>
  </w:style>
  <w:style w:type="paragraph" w:customStyle="1" w:styleId="Heading1TOC">
    <w:name w:val="Heading1 TOC"/>
    <w:basedOn w:val="Normal"/>
    <w:qFormat/>
    <w:rsid w:val="000D08CB"/>
    <w:pPr>
      <w:spacing w:before="240" w:after="120"/>
    </w:pPr>
    <w:rPr>
      <w:rFonts w:ascii="Times New Roman" w:hAnsi="Times New Roman"/>
      <w:b/>
      <w:sz w:val="32"/>
    </w:rPr>
  </w:style>
  <w:style w:type="paragraph" w:customStyle="1" w:styleId="Heading2TOC">
    <w:name w:val="Heading2 TOC"/>
    <w:basedOn w:val="Normal"/>
    <w:qFormat/>
    <w:rsid w:val="000D08CB"/>
    <w:pPr>
      <w:spacing w:before="240" w:after="60"/>
    </w:pPr>
    <w:rPr>
      <w:rFonts w:ascii="Times New Roman" w:hAnsi="Times New Roman"/>
      <w:b/>
      <w:sz w:val="28"/>
    </w:rPr>
  </w:style>
  <w:style w:type="character" w:customStyle="1" w:styleId="Underline">
    <w:name w:val="Underline"/>
    <w:basedOn w:val="DefaultParagraphFont"/>
    <w:qFormat/>
    <w:rsid w:val="000D08CB"/>
    <w:rPr>
      <w:u w:val="single"/>
    </w:rPr>
  </w:style>
  <w:style w:type="character" w:customStyle="1" w:styleId="BoldandItalics">
    <w:name w:val="Bold and Italics"/>
    <w:qFormat/>
    <w:rsid w:val="000D08CB"/>
    <w:rPr>
      <w:b/>
      <w:i/>
      <w:u w:val="none"/>
    </w:rPr>
  </w:style>
  <w:style w:type="paragraph" w:styleId="BalloonText">
    <w:name w:val="Balloon Text"/>
    <w:basedOn w:val="Normal"/>
    <w:link w:val="BalloonTextChar"/>
    <w:rsid w:val="000D08CB"/>
    <w:rPr>
      <w:rFonts w:ascii="Tahoma" w:hAnsi="Tahoma" w:cs="Tahoma"/>
      <w:sz w:val="16"/>
      <w:szCs w:val="16"/>
    </w:rPr>
  </w:style>
  <w:style w:type="character" w:customStyle="1" w:styleId="BalloonTextChar">
    <w:name w:val="Balloon Text Char"/>
    <w:basedOn w:val="DefaultParagraphFont"/>
    <w:link w:val="BalloonText"/>
    <w:rsid w:val="000D08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08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08C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2332</Words>
  <Characters>14358</Characters>
  <Application>Microsoft Office Word</Application>
  <DocSecurity>0</DocSecurity>
  <Lines>617</Lines>
  <Paragraphs>239</Paragraphs>
  <ScaleCrop>false</ScaleCrop>
  <Company>Author-it Software Corporation Ltd.</Company>
  <LinksUpToDate>false</LinksUpToDate>
  <CharactersWithSpaces>16498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UEGNSG109B Control field pipeline operations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2012-05-26T22:00:00Z</dcterms:created>
  <dcterms:modified xsi:type="dcterms:W3CDTF">2012-05-26T22:00:00Z</dcterms:modified>
</cp:coreProperties>
</file>