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AC8" w:rsidP="004A6AC8">
      <w:pPr>
        <w:pStyle w:val="Title"/>
      </w:pPr>
      <w:r>
        <w:fldChar w:fldCharType="begin"/>
      </w:r>
      <w:r>
        <w:instrText xml:space="preserve"> TITLE   \* MERGEFORMAT </w:instrText>
      </w:r>
      <w:r>
        <w:fldChar w:fldCharType="separate"/>
      </w:r>
      <w:r>
        <w:t>UEGNSG108B Operate and monitor pipeline control systems</w:t>
      </w:r>
      <w:r>
        <w:fldChar w:fldCharType="end"/>
      </w:r>
    </w:p>
    <w:p w:rsidR="004A6AC8" w:rsidP="004A6AC8">
      <w:pPr>
        <w:pStyle w:val="Version"/>
        <w:sectPr w:rsidSect="002E1A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1A24" w:rsidP="002E1A24">
      <w:pPr>
        <w:pStyle w:val="SuperHeading"/>
      </w:pPr>
      <w:r w:rsidRPr="002E1A24">
        <w:t>UEGNSG108B Operate and monitor pipeline control systems</w:t>
      </w:r>
    </w:p>
    <w:p w:rsidR="00000000" w:rsidRPr="002E1A24" w:rsidP="002E1A24">
      <w:pPr>
        <w:pStyle w:val="Heading1"/>
      </w:pPr>
      <w:bookmarkStart w:id="1" w:name="O_399886"/>
      <w:bookmarkEnd w:id="1"/>
      <w:r w:rsidRPr="002E1A24">
        <w:t>Modification History</w:t>
      </w:r>
    </w:p>
    <w:p w:rsidR="00000000" w:rsidRPr="002E1A24" w:rsidP="002E1A24">
      <w:pPr>
        <w:pStyle w:val="BodyText"/>
      </w:pPr>
      <w:r w:rsidRPr="002E1A24">
        <w:t>Not applicable.</w:t>
      </w:r>
    </w:p>
    <w:p w:rsidR="00000000" w:rsidRPr="002E1A24" w:rsidP="002E1A24">
      <w:pPr>
        <w:pStyle w:val="AllowPageBreak"/>
      </w:pPr>
    </w:p>
    <w:p w:rsidR="00000000" w:rsidRPr="002E1A24" w:rsidP="002E1A24">
      <w:pPr>
        <w:pStyle w:val="Heading1"/>
      </w:pPr>
      <w:bookmarkStart w:id="2" w:name="O_399884"/>
      <w:bookmarkEnd w:id="2"/>
      <w:r w:rsidRPr="002E1A24">
        <w:t>Unit Descriptor</w:t>
      </w:r>
    </w:p>
    <w:tbl>
      <w:tblPr>
        <w:tblW w:w="0" w:type="auto"/>
        <w:tblLayout w:type="fixed"/>
        <w:tblCellMar>
          <w:left w:w="62" w:type="dxa"/>
          <w:right w:w="62" w:type="dxa"/>
        </w:tblCellMar>
        <w:tblLook w:val="0000"/>
      </w:tblPr>
      <w:tblGrid>
        <w:gridCol w:w="2700"/>
        <w:gridCol w:w="5760"/>
      </w:tblGrid>
      <w:tr w:rsidTr="004A6A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rPr>
                <w:rStyle w:val="SpecialBold"/>
              </w:rPr>
              <w:t>1)</w:t>
            </w:r>
            <w:r w:rsidRPr="002E1A24">
              <w:t xml:space="preserve"> </w:t>
            </w:r>
            <w:r w:rsidRPr="002E1A24">
              <w:rPr>
                <w:rStyle w:val="SpecialBold"/>
              </w:rPr>
              <w:t>Scope:</w:t>
            </w:r>
          </w:p>
        </w:tc>
      </w:tr>
      <w:tr w:rsidTr="004A6A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E1A2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rPr>
                <w:rStyle w:val="SpecialBold"/>
              </w:rPr>
              <w:t>1.1) Descriptor</w:t>
            </w:r>
          </w:p>
        </w:tc>
      </w:tr>
      <w:tr w:rsidTr="004A6A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t>This Unit covers operating and monitoring of pipeline systems (including valve systems, instrument and control systems prime movers, compression systems). This competency standard refers to Pipeline Control Systems; Prime Movers; Instrument and Control Sys</w:t>
            </w:r>
            <w:r w:rsidRPr="002E1A24">
              <w:t>tems; Valve Systems; Emergency Response procedures; Relevant Persons; Tools, Equipment and Testing Devices; Types of Faults and Reports.</w:t>
            </w:r>
          </w:p>
        </w:tc>
      </w:tr>
    </w:tbl>
    <w:p w:rsidR="00000000" w:rsidRPr="002E1A24" w:rsidP="002E1A24">
      <w:pPr>
        <w:pStyle w:val="BodyText"/>
      </w:pPr>
    </w:p>
    <w:p w:rsidR="00000000" w:rsidRPr="002E1A24" w:rsidP="002E1A24">
      <w:pPr>
        <w:pStyle w:val="AllowPageBreak"/>
      </w:pPr>
    </w:p>
    <w:p w:rsidR="00000000" w:rsidRPr="002E1A24" w:rsidP="002E1A24">
      <w:pPr>
        <w:pStyle w:val="Heading1"/>
      </w:pPr>
      <w:bookmarkStart w:id="3" w:name="O_399873"/>
      <w:bookmarkEnd w:id="3"/>
      <w:r w:rsidRPr="002E1A24">
        <w:t>Application of the Unit</w:t>
      </w:r>
    </w:p>
    <w:tbl>
      <w:tblPr>
        <w:tblW w:w="0" w:type="auto"/>
        <w:tblLayout w:type="fixed"/>
        <w:tblCellMar>
          <w:left w:w="62" w:type="dxa"/>
          <w:right w:w="62" w:type="dxa"/>
        </w:tblCellMar>
        <w:tblLook w:val="0000"/>
      </w:tblPr>
      <w:tblGrid>
        <w:gridCol w:w="2672"/>
        <w:gridCol w:w="5699"/>
      </w:tblGrid>
      <w:tr w:rsidTr="004A6AC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rPr>
                <w:rStyle w:val="SpecialBold"/>
              </w:rPr>
              <w:t>2)</w:t>
            </w:r>
          </w:p>
        </w:tc>
      </w:tr>
      <w:tr w:rsidTr="004A6AC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t>This competency standard shall apply to any basic and safe work site where Gas Industry operations occur. It could also apply, where applicable to other workplaces in the electricity supply industry (transmission and distribution and generation), the elect</w:t>
            </w:r>
            <w:r w:rsidRPr="002E1A24">
              <w:t>rotechnology industry and the water industry, subject to all Occupational Health and Safety and duty of care requirements being met for the workplace.</w:t>
            </w:r>
          </w:p>
        </w:tc>
      </w:tr>
    </w:tbl>
    <w:p w:rsidR="00000000" w:rsidRPr="002E1A24" w:rsidP="002E1A24">
      <w:pPr>
        <w:pStyle w:val="BodyText"/>
      </w:pPr>
    </w:p>
    <w:p w:rsidR="00000000" w:rsidRPr="002E1A24" w:rsidP="002E1A24">
      <w:pPr>
        <w:pStyle w:val="AllowPageBreak"/>
      </w:pPr>
    </w:p>
    <w:p w:rsidR="00000000" w:rsidRPr="002E1A24" w:rsidP="002E1A24">
      <w:pPr>
        <w:pStyle w:val="Heading1"/>
      </w:pPr>
      <w:bookmarkStart w:id="4" w:name="O_399880"/>
      <w:bookmarkEnd w:id="4"/>
      <w:r w:rsidRPr="002E1A24">
        <w:t>Licensing/Regulatory Information</w:t>
      </w:r>
    </w:p>
    <w:tbl>
      <w:tblPr>
        <w:tblW w:w="0" w:type="auto"/>
        <w:tblLayout w:type="fixed"/>
        <w:tblCellMar>
          <w:left w:w="62" w:type="dxa"/>
          <w:right w:w="62" w:type="dxa"/>
        </w:tblCellMar>
        <w:tblLook w:val="0000"/>
      </w:tblPr>
      <w:tblGrid>
        <w:gridCol w:w="2700"/>
        <w:gridCol w:w="5760"/>
      </w:tblGrid>
      <w:tr w:rsidTr="004A6A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rPr>
                <w:rStyle w:val="SpecialBold"/>
              </w:rPr>
              <w:t xml:space="preserve">3) </w:t>
            </w:r>
          </w:p>
        </w:tc>
      </w:tr>
      <w:tr w:rsidTr="004A6A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t>The skills and knowledge de</w:t>
            </w:r>
            <w:r w:rsidRPr="002E1A24">
              <w:t xml:space="preserve">scribed in this unit are not subject to licence regulation other than those directly related to Occupational Health and Safety, </w:t>
            </w:r>
            <w:r w:rsidRPr="002E1A24">
              <w:t>gas/electricity/water industry safety and compliance, industrial relations, environmental protection, telecommunications, anti d</w:t>
            </w:r>
            <w:r w:rsidRPr="002E1A24">
              <w:t>iscrimination and training. Commonwealth, State/Territory or Local Government legislation and regulations may exist that limit the age at which a person can operate certain equipment.</w:t>
            </w:r>
          </w:p>
        </w:tc>
      </w:tr>
    </w:tbl>
    <w:p w:rsidR="00000000" w:rsidRPr="002E1A24" w:rsidP="002E1A24">
      <w:pPr>
        <w:pStyle w:val="BodyText"/>
      </w:pPr>
    </w:p>
    <w:p w:rsidR="00000000" w:rsidRPr="002E1A24" w:rsidP="002E1A24">
      <w:pPr>
        <w:pStyle w:val="AllowPageBreak"/>
      </w:pPr>
    </w:p>
    <w:p w:rsidR="00000000" w:rsidRPr="002E1A24" w:rsidP="002E1A24">
      <w:pPr>
        <w:pStyle w:val="Heading1"/>
      </w:pPr>
      <w:bookmarkStart w:id="5" w:name="O_399881"/>
      <w:bookmarkEnd w:id="5"/>
      <w:r w:rsidRPr="002E1A24">
        <w:t>Pre-Requisites</w:t>
      </w:r>
    </w:p>
    <w:tbl>
      <w:tblPr>
        <w:tblW w:w="0" w:type="auto"/>
        <w:tblLayout w:type="fixed"/>
        <w:tblCellMar>
          <w:left w:w="62" w:type="dxa"/>
          <w:right w:w="62" w:type="dxa"/>
        </w:tblCellMar>
        <w:tblLook w:val="0000"/>
      </w:tblPr>
      <w:tblGrid>
        <w:gridCol w:w="2700"/>
        <w:gridCol w:w="1800"/>
        <w:gridCol w:w="3960"/>
      </w:tblGrid>
      <w:tr w:rsidTr="004A6A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rPr>
                <w:rStyle w:val="SpecialBold"/>
              </w:rPr>
              <w:t xml:space="preserve">4) </w:t>
            </w:r>
          </w:p>
        </w:tc>
      </w:tr>
      <w:tr w:rsidTr="004A6A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rPr>
                <w:rStyle w:val="SpecialBold"/>
              </w:rPr>
              <w:t>4.1)</w:t>
            </w:r>
          </w:p>
        </w:tc>
      </w:tr>
      <w:tr w:rsidTr="004A6A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Granting of competency in this unit shall be made only after competency in the following unit(s) has/have been confirmed:</w:t>
            </w:r>
          </w:p>
        </w:tc>
      </w:tr>
      <w:tr w:rsidTr="004A6A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Nil</w:t>
            </w:r>
          </w:p>
        </w:tc>
        <w:tc>
          <w:tcPr>
            <w:tcW w:w="3960" w:type="dxa"/>
            <w:tcBorders>
              <w:top w:val="nil"/>
              <w:left w:val="nil"/>
              <w:bottom w:val="nil"/>
              <w:right w:val="nil"/>
            </w:tcBorders>
            <w:tcMar>
              <w:top w:w="0" w:type="dxa"/>
              <w:left w:w="62" w:type="dxa"/>
              <w:bottom w:w="0" w:type="dxa"/>
              <w:right w:w="62" w:type="dxa"/>
            </w:tcMar>
          </w:tcPr>
          <w:p w:rsidR="00000000" w:rsidRPr="002E1A24" w:rsidP="002E1A24">
            <w:pPr>
              <w:pStyle w:val="BodyText"/>
            </w:pPr>
          </w:p>
        </w:tc>
      </w:tr>
    </w:tbl>
    <w:p w:rsidR="00000000" w:rsidRPr="002E1A24" w:rsidP="002E1A2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A6A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rPr>
                <w:rStyle w:val="SpecialBold"/>
              </w:rPr>
              <w:t xml:space="preserve">4.2) </w:t>
            </w:r>
          </w:p>
          <w:p w:rsidR="00000000" w:rsidP="002E1A24">
            <w:pPr>
              <w:pStyle w:val="BodyText"/>
              <w:rPr>
                <w:lang w:val="en-NZ"/>
              </w:rPr>
            </w:pPr>
            <w:r w:rsidRPr="002E1A24">
              <w:t>Participants are best equipped to achieve this unit if they have reading, writing and numeracy skills indicated by the following scales. Description of each scale is given in Volume 2, Part 3 'Literacy and Numeracy'</w:t>
            </w:r>
          </w:p>
        </w:tc>
      </w:tr>
      <w:tr w:rsidTr="004A6A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Reading</w:t>
            </w:r>
          </w:p>
        </w:tc>
        <w:tc>
          <w:tcPr>
            <w:tcW w:w="81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4</w:t>
            </w:r>
          </w:p>
        </w:tc>
        <w:tc>
          <w:tcPr>
            <w:tcW w:w="99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Writing</w:t>
            </w: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4</w:t>
            </w:r>
          </w:p>
        </w:tc>
        <w:tc>
          <w:tcPr>
            <w:tcW w:w="12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Numeracy</w:t>
            </w:r>
          </w:p>
        </w:tc>
        <w:tc>
          <w:tcPr>
            <w:tcW w:w="72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t>4</w:t>
            </w:r>
          </w:p>
        </w:tc>
      </w:tr>
    </w:tbl>
    <w:p w:rsidR="00000000" w:rsidRPr="002E1A24" w:rsidP="002E1A24">
      <w:pPr>
        <w:pStyle w:val="BodyText"/>
      </w:pPr>
    </w:p>
    <w:p w:rsidR="00000000" w:rsidRPr="002E1A24" w:rsidP="002E1A24">
      <w:pPr>
        <w:pStyle w:val="AllowPageBreak"/>
      </w:pPr>
    </w:p>
    <w:p w:rsidR="00000000" w:rsidRPr="002E1A24" w:rsidP="002E1A24">
      <w:pPr>
        <w:pStyle w:val="Heading1"/>
      </w:pPr>
      <w:bookmarkStart w:id="6" w:name="O_399877"/>
      <w:bookmarkEnd w:id="6"/>
      <w:r w:rsidRPr="002E1A24">
        <w:t>Employability Skills Information</w:t>
      </w:r>
    </w:p>
    <w:tbl>
      <w:tblPr>
        <w:tblW w:w="0" w:type="auto"/>
        <w:tblLayout w:type="fixed"/>
        <w:tblCellMar>
          <w:left w:w="62" w:type="dxa"/>
          <w:right w:w="62" w:type="dxa"/>
        </w:tblCellMar>
        <w:tblLook w:val="0000"/>
      </w:tblPr>
      <w:tblGrid>
        <w:gridCol w:w="2700"/>
        <w:gridCol w:w="5760"/>
      </w:tblGrid>
      <w:tr w:rsidTr="004A6AC8">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rPr>
                <w:rStyle w:val="SpecialBold"/>
              </w:rPr>
              <w:t xml:space="preserve">5) </w:t>
            </w:r>
          </w:p>
        </w:tc>
      </w:tr>
      <w:tr w:rsidTr="004A6A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This unit contains Employability Skills</w:t>
            </w:r>
          </w:p>
        </w:tc>
      </w:tr>
      <w:tr w:rsidTr="004A6A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E1A24">
              <w:t>requirements.</w:t>
            </w:r>
          </w:p>
        </w:tc>
      </w:tr>
    </w:tbl>
    <w:p w:rsidR="00000000" w:rsidRPr="002E1A24" w:rsidP="002E1A24">
      <w:pPr>
        <w:pStyle w:val="BodyText"/>
      </w:pPr>
    </w:p>
    <w:p w:rsidR="00000000" w:rsidRPr="002E1A24" w:rsidP="002E1A24">
      <w:pPr>
        <w:pStyle w:val="AllowPageBreak"/>
      </w:pPr>
    </w:p>
    <w:p w:rsidR="00000000" w:rsidRPr="002E1A24" w:rsidP="002E1A24">
      <w:pPr>
        <w:pStyle w:val="Heading1"/>
      </w:pPr>
      <w:bookmarkStart w:id="7" w:name="O_399876"/>
      <w:bookmarkEnd w:id="7"/>
      <w:r w:rsidRPr="002E1A24">
        <w:t>Elements and Performance Criteria Pre-Content</w:t>
      </w:r>
    </w:p>
    <w:tbl>
      <w:tblPr>
        <w:tblW w:w="0" w:type="auto"/>
        <w:tblLayout w:type="fixed"/>
        <w:tblCellMar>
          <w:left w:w="62" w:type="dxa"/>
          <w:right w:w="62" w:type="dxa"/>
        </w:tblCellMar>
        <w:tblLook w:val="0000"/>
      </w:tblPr>
      <w:tblGrid>
        <w:gridCol w:w="2700"/>
        <w:gridCol w:w="5760"/>
      </w:tblGrid>
      <w:tr w:rsidTr="004A6A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rPr>
                <w:rStyle w:val="SpecialBold"/>
              </w:rPr>
              <w:t>6)</w:t>
            </w:r>
            <w:r w:rsidRPr="002E1A2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t>Performance Criteria describe the required performance needed to demonstrate achievement of the element</w:t>
            </w:r>
            <w:r w:rsidRPr="002E1A24">
              <w:t>. Assessment of performance is to be consistent with the Evidence Guide.</w:t>
            </w:r>
          </w:p>
        </w:tc>
      </w:tr>
    </w:tbl>
    <w:p w:rsidR="00000000" w:rsidRPr="002E1A24" w:rsidP="002E1A24">
      <w:pPr>
        <w:pStyle w:val="BodyText"/>
      </w:pPr>
    </w:p>
    <w:p w:rsidR="00000000" w:rsidRPr="002E1A24" w:rsidP="002E1A24">
      <w:pPr>
        <w:pStyle w:val="AllowPageBreak"/>
      </w:pPr>
    </w:p>
    <w:p w:rsidR="00000000" w:rsidRPr="002E1A24" w:rsidP="002E1A24">
      <w:pPr>
        <w:pStyle w:val="Heading1"/>
      </w:pPr>
      <w:bookmarkStart w:id="8" w:name="O_399875"/>
      <w:bookmarkEnd w:id="8"/>
      <w:r w:rsidRPr="002E1A2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A6AC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rPr>
                <w:rStyle w:val="SpecialBold"/>
              </w:rPr>
              <w:t>PERFORMANCE CRITERIA</w:t>
            </w:r>
          </w:p>
        </w:tc>
      </w:tr>
      <w:tr w:rsidTr="004A6AC8">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1</w:t>
            </w:r>
          </w:p>
        </w:tc>
        <w:tc>
          <w:tcPr>
            <w:tcW w:w="2296"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Plan for operation</w:t>
            </w: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1.1</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Operational area is checked for hazards and the works schedule(s), including drawings, plans, requirements, established procedures and material lists are detailed, analysed if necessary by site inspection and the extent of the preparation of the work deter</w:t>
            </w:r>
            <w:r w:rsidRPr="002E1A24">
              <w:t>mined for planning and coordination</w:t>
            </w:r>
          </w:p>
        </w:tc>
      </w:tr>
      <w:tr w:rsidTr="004A6AC8">
        <w:tblPrEx>
          <w:tblW w:w="0" w:type="auto"/>
          <w:tblLayout w:type="fixed"/>
          <w:tblCellMar>
            <w:left w:w="62" w:type="dxa"/>
            <w:right w:w="62" w:type="dxa"/>
          </w:tblCellMar>
          <w:tblLook w:val="0000"/>
        </w:tblPrEx>
        <w:trPr>
          <w:trHeight w:val="1325"/>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1.2</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 xml:space="preserve">Work is prioritised and sequenced for the most efficient and effective outcome following consultation with others for completion within acceptable </w:t>
            </w:r>
            <w:r w:rsidRPr="002E1A24">
              <w:t>timeframes to a quality standard and in accordance with established procedures</w:t>
            </w:r>
          </w:p>
        </w:tc>
      </w:tr>
      <w:tr w:rsidTr="004A6A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1.3</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Risk control measures are identified, prioritised and evaluated against the work schedule</w:t>
            </w:r>
          </w:p>
        </w:tc>
      </w:tr>
      <w:tr w:rsidTr="004A6A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1.4</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Relevant requirements and established procedures for the work are communicated to all persons and identified for all work sites</w:t>
            </w:r>
          </w:p>
        </w:tc>
      </w:tr>
      <w:tr w:rsidTr="004A6A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1.5</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OHS, environmental and sustainable energy policies and procedures related to the work are identified to ensure safe syste</w:t>
            </w:r>
            <w:r w:rsidRPr="002E1A24">
              <w:t>ms of work are followed</w:t>
            </w:r>
          </w:p>
        </w:tc>
      </w:tr>
      <w:tr w:rsidTr="004A6A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1.6</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Relevant work permits are secured to coordinate the performance of work according to requirements and established procedures</w:t>
            </w:r>
          </w:p>
        </w:tc>
      </w:tr>
      <w:tr w:rsidTr="004A6A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1.7</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 xml:space="preserve">Resources including persons, equipment, tools and personal protective equipment required for </w:t>
            </w:r>
            <w:r w:rsidRPr="002E1A24">
              <w:t>the job are identified, scheduled, coordinated and confirmed in a safe and technical working order</w:t>
            </w:r>
          </w:p>
        </w:tc>
      </w:tr>
      <w:tr w:rsidTr="004A6A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1.8</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Clients are provided with possible solutions and options within the scope, acceptable cost and requirements</w:t>
            </w:r>
          </w:p>
        </w:tc>
      </w:tr>
      <w:tr w:rsidTr="004A6A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1.9</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Liaison and communication issues with authorised persons, authorities, clients and land owners are resolved and activities coordinated to carry out work</w:t>
            </w:r>
          </w:p>
        </w:tc>
      </w:tr>
      <w:tr w:rsidTr="004A6A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1.10</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 xml:space="preserve">Persons participating in the work, including plant operators and contractors are fully briefed </w:t>
            </w:r>
            <w:r w:rsidRPr="002E1A24">
              <w:t>and respective responsibilities coordinated and authorised where applicable in accordance with establish procedures</w:t>
            </w:r>
          </w:p>
        </w:tc>
      </w:tr>
      <w:tr w:rsidTr="004A6AC8">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1.11</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Status of the system is sought through communication with pipeline control centre in accordance with established procedures</w:t>
            </w:r>
          </w:p>
        </w:tc>
      </w:tr>
      <w:tr w:rsidTr="004A6A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2</w:t>
            </w:r>
          </w:p>
        </w:tc>
        <w:tc>
          <w:tcPr>
            <w:tcW w:w="2296"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Operate and monitor system</w:t>
            </w: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2.1</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OHS policies and procedures and safe work practices are followed to eliminate or minimise incidents and hazards</w:t>
            </w:r>
          </w:p>
        </w:tc>
      </w:tr>
      <w:tr w:rsidTr="004A6A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2.2</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First Aid and other related work procedures are performed according to requirements and established proced</w:t>
            </w:r>
            <w:r w:rsidRPr="002E1A24">
              <w:t>ures</w:t>
            </w:r>
          </w:p>
        </w:tc>
      </w:tr>
      <w:tr w:rsidTr="004A6AC8">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2.3</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Lifting, climbing, working in confined spaces and aloft, use of power tools, techniques and practices are safely exercised according to requirements</w:t>
            </w:r>
          </w:p>
        </w:tc>
      </w:tr>
      <w:tr w:rsidTr="004A6A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2.4</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Equipment faults are identified through inspection and testing of operational equipment in accordance with a work schedule and to requirements</w:t>
            </w:r>
          </w:p>
        </w:tc>
      </w:tr>
      <w:tr w:rsidTr="004A6A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2.5</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Hazard warnings and safety signs are recognised and hazards assessed and OHS risks are reported to the imm</w:t>
            </w:r>
            <w:r w:rsidRPr="002E1A24">
              <w:t>ediate authorised persons for directions according to established procedures</w:t>
            </w:r>
          </w:p>
        </w:tc>
      </w:tr>
      <w:tr w:rsidTr="004A6A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2.6</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Operating conditions of equipment are monitored through gauge levels, temperatures, flow indicators in order to determine performance of equipment and system</w:t>
            </w:r>
          </w:p>
        </w:tc>
      </w:tr>
      <w:tr w:rsidTr="004A6AC8">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2.7</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Information concerning the operation of the pipeline system is monitored and conveyed to relevant persons to ensure safe and efficient operation of the pipeline system</w:t>
            </w:r>
          </w:p>
        </w:tc>
      </w:tr>
      <w:tr w:rsidTr="004A6A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2.8</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Fault finding and troubleshooting techniques are applied to operational systems a</w:t>
            </w:r>
            <w:r w:rsidRPr="002E1A24">
              <w:t>nd equipment to identify any repairs or maintenance that is required according to requirements and established procedures</w:t>
            </w:r>
          </w:p>
        </w:tc>
      </w:tr>
      <w:tr w:rsidTr="004A6A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2.9</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Essential Knowledge and Associated Skills are applied to ensure completion in an agreed timeframe and to quality standards with</w:t>
            </w:r>
            <w:r w:rsidRPr="002E1A24">
              <w:t xml:space="preserve"> a minimum of waste according to requirements</w:t>
            </w:r>
          </w:p>
        </w:tc>
      </w:tr>
      <w:tr w:rsidTr="004A6AC8">
        <w:tblPrEx>
          <w:tblW w:w="0" w:type="auto"/>
          <w:tblLayout w:type="fixed"/>
          <w:tblCellMar>
            <w:left w:w="62" w:type="dxa"/>
            <w:right w:w="62" w:type="dxa"/>
          </w:tblCellMar>
          <w:tblLook w:val="0000"/>
        </w:tblPrEx>
        <w:trPr>
          <w:trHeight w:val="828"/>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2.10</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 xml:space="preserve">Solutions to non-routine problems are identified and actioned, according to requirements, using acquired Essential Knowledge and Associated Skills </w:t>
            </w:r>
          </w:p>
        </w:tc>
      </w:tr>
      <w:tr w:rsidTr="004A6A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2.11</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Ongoing checks of quality of the work are undertaken in accordance with requirements and established procedures to ensure a quality like outcome is achieved for the client and to a community and industry standard</w:t>
            </w:r>
          </w:p>
        </w:tc>
      </w:tr>
      <w:tr w:rsidTr="004A6AC8">
        <w:tblPrEx>
          <w:tblW w:w="0" w:type="auto"/>
          <w:tblLayout w:type="fixed"/>
          <w:tblCellMar>
            <w:left w:w="62" w:type="dxa"/>
            <w:right w:w="62" w:type="dxa"/>
          </w:tblCellMar>
          <w:tblLook w:val="0000"/>
        </w:tblPrEx>
        <w:trPr>
          <w:trHeight w:val="1114"/>
        </w:trPr>
        <w:tc>
          <w:tcPr>
            <w:tcW w:w="404"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3</w:t>
            </w:r>
          </w:p>
        </w:tc>
        <w:tc>
          <w:tcPr>
            <w:tcW w:w="2296"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Shutdown system and equipment</w:t>
            </w: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3.1</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Work u</w:t>
            </w:r>
            <w:r w:rsidRPr="002E1A24">
              <w:t>ndertaken is checked against works schedule for conformance with requirements and anomalies which are reported and solutions identified in accordance with established procedures</w:t>
            </w:r>
          </w:p>
        </w:tc>
      </w:tr>
      <w:tr w:rsidTr="004A6A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3.2</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Accidents and injuries are reported and followed up in accordance with requirements and established procedures</w:t>
            </w:r>
          </w:p>
        </w:tc>
      </w:tr>
      <w:tr w:rsidTr="004A6AC8">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3.3</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Work site is rehabilitated/cleaned up and confirmed safe and in accordance with established procedures</w:t>
            </w:r>
          </w:p>
        </w:tc>
      </w:tr>
      <w:tr w:rsidTr="004A6A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3.4</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Tools, equipment and any surplus resources and materials are where appropriate, cleaned, checked and returned to storage in accordance with established procedures</w:t>
            </w:r>
          </w:p>
        </w:tc>
      </w:tr>
      <w:tr w:rsidTr="004A6A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3.5</w:t>
            </w:r>
          </w:p>
        </w:tc>
        <w:tc>
          <w:tcPr>
            <w:tcW w:w="48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Relevant work permit(s) are signed off accordance with requirements</w:t>
            </w:r>
          </w:p>
        </w:tc>
      </w:tr>
      <w:tr w:rsidTr="004A6A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3.6</w:t>
            </w:r>
          </w:p>
        </w:tc>
        <w:tc>
          <w:tcPr>
            <w:tcW w:w="486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t>Works compl</w:t>
            </w:r>
            <w:r w:rsidRPr="002E1A24">
              <w:t>etion records, reports as installed/modified drawing(s) and documentation and information is confirmed, processed and the appropriate persons notified</w:t>
            </w:r>
          </w:p>
        </w:tc>
      </w:tr>
    </w:tbl>
    <w:p w:rsidR="00000000" w:rsidRPr="002E1A24" w:rsidP="002E1A24">
      <w:pPr>
        <w:pStyle w:val="BodyText"/>
      </w:pPr>
    </w:p>
    <w:p w:rsidR="00000000" w:rsidRPr="002E1A24" w:rsidP="002E1A24">
      <w:pPr>
        <w:pStyle w:val="AllowPageBreak"/>
      </w:pPr>
    </w:p>
    <w:p w:rsidR="00000000" w:rsidRPr="002E1A24" w:rsidP="002E1A24">
      <w:pPr>
        <w:pStyle w:val="Heading1"/>
      </w:pPr>
      <w:bookmarkStart w:id="9" w:name="O_399883"/>
      <w:bookmarkEnd w:id="9"/>
      <w:r w:rsidRPr="002E1A24">
        <w:t>Required Skills and Knowledge</w:t>
      </w:r>
    </w:p>
    <w:tbl>
      <w:tblPr>
        <w:tblW w:w="0" w:type="auto"/>
        <w:tblLayout w:type="fixed"/>
        <w:tblCellMar>
          <w:left w:w="62" w:type="dxa"/>
          <w:right w:w="62" w:type="dxa"/>
        </w:tblCellMar>
        <w:tblLook w:val="0000"/>
      </w:tblPr>
      <w:tblGrid>
        <w:gridCol w:w="8460"/>
      </w:tblGrid>
      <w:tr w:rsidTr="004A6AC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rPr>
                <w:rStyle w:val="SpecialBold"/>
              </w:rPr>
              <w:t>REQUIRED SKILLS AND KNOWLEDGE</w:t>
            </w:r>
          </w:p>
        </w:tc>
      </w:tr>
      <w:tr w:rsidTr="004A6A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rPr>
                <w:rStyle w:val="SpecialBold"/>
              </w:rPr>
              <w:t>8)</w:t>
            </w:r>
            <w:r w:rsidRPr="002E1A24">
              <w:t xml:space="preserve"> This describes the essential skills and knowledge and their level, required for this unit.</w:t>
            </w:r>
          </w:p>
        </w:tc>
      </w:tr>
      <w:tr w:rsidTr="004A6A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Evidence shall show that knowledge has been acquired of safe working practices for operating and monitoring pipeline control systems.</w:t>
            </w:r>
          </w:p>
        </w:tc>
      </w:tr>
      <w:tr w:rsidTr="004A6AC8">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t>All knowledge and skills det</w:t>
            </w:r>
            <w:r w:rsidRPr="002E1A24">
              <w:t>ailed in this unit should be contextualised to current industry practices and technologies.</w:t>
            </w:r>
          </w:p>
        </w:tc>
      </w:tr>
    </w:tbl>
    <w:p w:rsidR="00000000" w:rsidRPr="002E1A24" w:rsidP="002E1A24">
      <w:pPr>
        <w:pStyle w:val="BodyText"/>
      </w:pPr>
    </w:p>
    <w:tbl>
      <w:tblPr>
        <w:tblW w:w="0" w:type="auto"/>
        <w:tblLayout w:type="fixed"/>
        <w:tblCellMar>
          <w:left w:w="62" w:type="dxa"/>
          <w:right w:w="62" w:type="dxa"/>
        </w:tblCellMar>
        <w:tblLook w:val="0000"/>
      </w:tblPr>
      <w:tblGrid>
        <w:gridCol w:w="1440"/>
        <w:gridCol w:w="990"/>
        <w:gridCol w:w="6030"/>
      </w:tblGrid>
      <w:tr w:rsidTr="004A6AC8">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rPr>
                <w:rStyle w:val="SpecialBold"/>
              </w:rPr>
              <w:t>KS01-G108B</w:t>
            </w:r>
          </w:p>
        </w:tc>
        <w:tc>
          <w:tcPr>
            <w:tcW w:w="7020" w:type="dxa"/>
            <w:gridSpan w:val="2"/>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rPr>
                <w:rStyle w:val="SpecialBold"/>
              </w:rPr>
              <w:t>Pipeline control systems</w:t>
            </w:r>
          </w:p>
        </w:tc>
      </w:tr>
      <w:tr w:rsidTr="004A6AC8">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G 4.1.1</w:t>
            </w:r>
          </w:p>
        </w:tc>
        <w:tc>
          <w:tcPr>
            <w:tcW w:w="603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t>Operating and supervising in the Gas Industry</w:t>
            </w:r>
          </w:p>
          <w:p w:rsidR="00000000" w:rsidRPr="002E1A24" w:rsidP="002E1A24">
            <w:pPr>
              <w:pStyle w:val="BodyText"/>
            </w:pPr>
            <w:r w:rsidRPr="002E1A24">
              <w:t>Evidence shall show an understanding of supervising and operating in a Gas Industry environment, indicated by the following:</w:t>
            </w:r>
          </w:p>
          <w:p w:rsidR="00000000" w:rsidRPr="002E1A24" w:rsidP="002E1A24">
            <w:pPr>
              <w:pStyle w:val="ListBullet"/>
            </w:pPr>
            <w:r w:rsidRPr="002E1A24">
              <w:t>understanding and application of enterprise applicable standard operating procedures</w:t>
            </w:r>
          </w:p>
          <w:p w:rsidR="00000000" w:rsidRPr="002E1A24" w:rsidP="002E1A24">
            <w:pPr>
              <w:pStyle w:val="ListBullet"/>
            </w:pPr>
            <w:r w:rsidRPr="002E1A24">
              <w:t>understanding and application of relevant enterprise permit to work systems</w:t>
            </w:r>
          </w:p>
          <w:p w:rsidR="00000000" w:rsidRPr="002E1A24" w:rsidP="002E1A24">
            <w:pPr>
              <w:pStyle w:val="ListBullet"/>
            </w:pPr>
            <w:r w:rsidRPr="002E1A24">
              <w:t xml:space="preserve">understanding and application of alarm and communication systems </w:t>
            </w:r>
          </w:p>
          <w:p w:rsidR="00000000" w:rsidRPr="002E1A24" w:rsidP="002E1A24">
            <w:pPr>
              <w:pStyle w:val="ListBullet"/>
            </w:pPr>
            <w:r w:rsidRPr="002E1A24">
              <w:t>understanding and application of relevant OHS and environmental legislative requirements including applicable emer</w:t>
            </w:r>
            <w:r w:rsidRPr="002E1A24">
              <w:t>gency procedures</w:t>
            </w:r>
          </w:p>
          <w:p w:rsidR="00000000" w:rsidP="002E1A24">
            <w:pPr>
              <w:pStyle w:val="ListBullet"/>
              <w:rPr>
                <w:lang w:val="en-NZ"/>
              </w:rPr>
            </w:pPr>
            <w:r w:rsidRPr="002E1A24">
              <w:t>demonstrate an understanding and application of planning, prioritisation and working autonomously in the Gas Industry.</w:t>
            </w:r>
          </w:p>
        </w:tc>
      </w:tr>
      <w:tr w:rsidTr="004A6AC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G 4.1.2</w:t>
            </w:r>
            <w:r w:rsidRPr="002E1A24">
              <w:tab/>
            </w:r>
          </w:p>
        </w:tc>
        <w:tc>
          <w:tcPr>
            <w:tcW w:w="603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t>Understand the effective operation of Gas Industry plant,  equipment and materials</w:t>
            </w:r>
          </w:p>
          <w:p w:rsidR="00000000" w:rsidRPr="002E1A24" w:rsidP="002E1A24">
            <w:pPr>
              <w:pStyle w:val="BodyText"/>
            </w:pPr>
            <w:r w:rsidRPr="002E1A24">
              <w:t>Evidence shall show an und</w:t>
            </w:r>
            <w:r w:rsidRPr="002E1A24">
              <w:t>erstanding of the effective operation of Gas Industry plant, equipment and materials, indicated by the following:</w:t>
            </w:r>
          </w:p>
          <w:p w:rsidR="00000000" w:rsidRPr="002E1A24" w:rsidP="002E1A24">
            <w:pPr>
              <w:pStyle w:val="ListBullet"/>
            </w:pPr>
            <w:r w:rsidRPr="002E1A24">
              <w:t>understand and apply of relevant industry engineering terminology and units</w:t>
            </w:r>
          </w:p>
          <w:p w:rsidR="00000000" w:rsidRPr="002E1A24" w:rsidP="002E1A24">
            <w:pPr>
              <w:pStyle w:val="ListBullet"/>
            </w:pPr>
            <w:r w:rsidRPr="002E1A24">
              <w:t>understanding of pipeline system operating parameters</w:t>
            </w:r>
          </w:p>
          <w:p w:rsidR="00000000" w:rsidRPr="002E1A24" w:rsidP="002E1A24">
            <w:pPr>
              <w:pStyle w:val="ListBullet"/>
            </w:pPr>
            <w:r w:rsidRPr="002E1A24">
              <w:t>demonstrate</w:t>
            </w:r>
            <w:r w:rsidRPr="002E1A24">
              <w:t xml:space="preserve"> operational knowledge of systems such as pumps, compressors, regulation, shutdown equipment, measurement systems by on-site or remote operation as applicable.</w:t>
            </w:r>
          </w:p>
          <w:p w:rsidR="00000000" w:rsidRPr="002E1A24" w:rsidP="002E1A24">
            <w:pPr>
              <w:pStyle w:val="ListBullet"/>
            </w:pPr>
            <w:r w:rsidRPr="002E1A24">
              <w:t>understanding of relevant inspection and testing procedures for applicable plant and equipment</w:t>
            </w:r>
          </w:p>
          <w:p w:rsidR="00000000" w:rsidRPr="002E1A24" w:rsidP="002E1A24">
            <w:pPr>
              <w:pStyle w:val="ListBullet"/>
            </w:pPr>
            <w:r w:rsidRPr="002E1A24">
              <w:t>u</w:t>
            </w:r>
            <w:r w:rsidRPr="002E1A24">
              <w:t>nderstanding the process of commissioning and decommissioning of relevant equipment such as pipework, vessels and compressors, including on-site and remote operation as applicable.</w:t>
            </w:r>
          </w:p>
          <w:p w:rsidR="00000000" w:rsidRPr="002E1A24" w:rsidP="002E1A24">
            <w:pPr>
              <w:pStyle w:val="ListBullet"/>
            </w:pPr>
            <w:r w:rsidRPr="002E1A24">
              <w:t>Understanding the characteristics of gas flows including compr</w:t>
            </w:r>
            <w:r w:rsidRPr="002E1A24">
              <w:t>essed and non-compressed operations</w:t>
            </w:r>
          </w:p>
          <w:p w:rsidR="00000000" w:rsidRPr="002E1A24" w:rsidP="002E1A24">
            <w:pPr>
              <w:pStyle w:val="ListBullet"/>
            </w:pPr>
            <w:r w:rsidRPr="002E1A24">
              <w:t>Understanding the characteristics, operation, capabilities and limitations of applicable tools and equipment including prime movers, compression and control systems, pipeline facilities and associated equipment</w:t>
            </w:r>
          </w:p>
          <w:p w:rsidR="00000000" w:rsidP="002E1A24">
            <w:pPr>
              <w:pStyle w:val="ListBullet"/>
              <w:rPr>
                <w:lang w:val="en-NZ"/>
              </w:rPr>
            </w:pPr>
            <w:r w:rsidRPr="002E1A24">
              <w:t>understan</w:t>
            </w:r>
            <w:r w:rsidRPr="002E1A24">
              <w:t>ding the operation of gas analysis and measuring equipment</w:t>
            </w:r>
          </w:p>
        </w:tc>
      </w:tr>
      <w:tr w:rsidTr="004A6AC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G 4.1.3</w:t>
            </w:r>
          </w:p>
        </w:tc>
        <w:tc>
          <w:tcPr>
            <w:tcW w:w="603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t>Communicating effectively in the Gas Industry at a supervisory level</w:t>
            </w:r>
          </w:p>
          <w:p w:rsidR="00000000" w:rsidRPr="002E1A24" w:rsidP="002E1A24">
            <w:pPr>
              <w:pStyle w:val="BodyText"/>
            </w:pPr>
            <w:r w:rsidRPr="002E1A24">
              <w:t>Evidence shall show an understanding of communication techniques required in supervisory roles in the Gas Industry, in</w:t>
            </w:r>
            <w:r w:rsidRPr="002E1A24">
              <w:t>dicated by the following:</w:t>
            </w:r>
          </w:p>
          <w:p w:rsidR="00000000" w:rsidRPr="002E1A24" w:rsidP="002E1A24">
            <w:pPr>
              <w:pStyle w:val="ListBullet"/>
            </w:pPr>
            <w:r w:rsidRPr="002E1A24">
              <w:t>communicate effectively with a variety of Gas Industry stakeholders, using strategies for dealing with difficult situations. The communication  includes oral, written or electronic communications, with various stakeholders includ</w:t>
            </w:r>
            <w:r w:rsidRPr="002E1A24">
              <w:t>ing:</w:t>
            </w:r>
          </w:p>
          <w:p w:rsidR="00000000" w:rsidRPr="002E1A24" w:rsidP="002E1A24">
            <w:pPr>
              <w:pStyle w:val="ListBullet2"/>
            </w:pPr>
            <w:r w:rsidRPr="002E1A24">
              <w:t>workplace colleagues</w:t>
            </w:r>
          </w:p>
          <w:p w:rsidR="00000000" w:rsidRPr="002E1A24" w:rsidP="002E1A24">
            <w:pPr>
              <w:pStyle w:val="ListBullet2"/>
            </w:pPr>
            <w:r w:rsidRPr="002E1A24">
              <w:t>workplace managers</w:t>
            </w:r>
          </w:p>
          <w:p w:rsidR="00000000" w:rsidRPr="002E1A24" w:rsidP="002E1A24">
            <w:pPr>
              <w:pStyle w:val="ListBullet2"/>
            </w:pPr>
            <w:r w:rsidRPr="002E1A24">
              <w:t>relevant customers and suppliers</w:t>
            </w:r>
          </w:p>
          <w:p w:rsidR="00000000" w:rsidRPr="002E1A24" w:rsidP="002E1A24">
            <w:pPr>
              <w:pStyle w:val="ListBullet2"/>
            </w:pPr>
            <w:r w:rsidRPr="002E1A24">
              <w:t>regulatory bodies</w:t>
            </w:r>
          </w:p>
          <w:p w:rsidR="00000000" w:rsidRPr="002E1A24" w:rsidP="002E1A24">
            <w:pPr>
              <w:pStyle w:val="ListBullet2"/>
            </w:pPr>
            <w:r w:rsidRPr="002E1A24">
              <w:t>property/land owners (including traditional land owners) and tenants</w:t>
            </w:r>
          </w:p>
          <w:p w:rsidR="00000000" w:rsidP="002E1A24">
            <w:pPr>
              <w:pStyle w:val="ListBullet2"/>
              <w:rPr>
                <w:lang w:val="en-NZ"/>
              </w:rPr>
            </w:pPr>
            <w:r w:rsidRPr="002E1A24">
              <w:t>emergency response organisations</w:t>
            </w:r>
          </w:p>
        </w:tc>
      </w:tr>
      <w:tr w:rsidTr="004A6AC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G 4.1.4</w:t>
            </w:r>
          </w:p>
        </w:tc>
        <w:tc>
          <w:tcPr>
            <w:tcW w:w="603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t>Understand Gas Industry products, processes and characteristics</w:t>
            </w:r>
          </w:p>
          <w:p w:rsidR="00000000" w:rsidRPr="002E1A24" w:rsidP="002E1A24">
            <w:pPr>
              <w:pStyle w:val="BodyText"/>
            </w:pPr>
            <w:r w:rsidRPr="002E1A24">
              <w:t>Evidence shall show a comprehensive understanding of Gas Industry products and characteristics, indicated by the following:</w:t>
            </w:r>
          </w:p>
          <w:p w:rsidR="00000000" w:rsidRPr="002E1A24" w:rsidP="002E1A24">
            <w:pPr>
              <w:pStyle w:val="ListBullet"/>
            </w:pPr>
            <w:r w:rsidRPr="002E1A24">
              <w:t>understand the Gas Industry products and the characteristics and to</w:t>
            </w:r>
            <w:r w:rsidRPr="002E1A24">
              <w:t>lerances of the product including:</w:t>
            </w:r>
          </w:p>
          <w:p w:rsidR="00000000" w:rsidRPr="002E1A24" w:rsidP="002E1A24">
            <w:pPr>
              <w:pStyle w:val="ListBullet2"/>
            </w:pPr>
            <w:r w:rsidRPr="002E1A24">
              <w:t>principles of applicable gas laws</w:t>
            </w:r>
          </w:p>
          <w:p w:rsidR="00000000" w:rsidRPr="002E1A24" w:rsidP="002E1A24">
            <w:pPr>
              <w:pStyle w:val="ListBullet3"/>
            </w:pPr>
            <w:r w:rsidRPr="002E1A24">
              <w:t>gas pressure</w:t>
            </w:r>
          </w:p>
          <w:p w:rsidR="00000000" w:rsidRPr="002E1A24" w:rsidP="002E1A24">
            <w:pPr>
              <w:pStyle w:val="ListBullet3"/>
            </w:pPr>
            <w:r w:rsidRPr="002E1A24">
              <w:t>gas temperature</w:t>
            </w:r>
          </w:p>
          <w:p w:rsidR="00000000" w:rsidRPr="002E1A24" w:rsidP="002E1A24">
            <w:pPr>
              <w:pStyle w:val="ListBullet3"/>
            </w:pPr>
            <w:r w:rsidRPr="002E1A24">
              <w:t>compressibility</w:t>
            </w:r>
          </w:p>
          <w:p w:rsidR="00000000" w:rsidRPr="002E1A24" w:rsidP="002E1A24">
            <w:pPr>
              <w:pStyle w:val="ListBullet2"/>
            </w:pPr>
            <w:r w:rsidRPr="002E1A24">
              <w:t xml:space="preserve">relative density – specific gravity </w:t>
            </w:r>
          </w:p>
          <w:p w:rsidR="00000000" w:rsidRPr="002E1A24" w:rsidP="002E1A24">
            <w:pPr>
              <w:pStyle w:val="ListBullet2"/>
            </w:pPr>
            <w:r w:rsidRPr="002E1A24">
              <w:t>hydrocarbon and water dew points</w:t>
            </w:r>
          </w:p>
          <w:p w:rsidR="00000000" w:rsidRPr="002E1A24" w:rsidP="002E1A24">
            <w:pPr>
              <w:pStyle w:val="ListBullet2"/>
            </w:pPr>
            <w:r w:rsidRPr="002E1A24">
              <w:t>components of applicable natural gases including LPG</w:t>
            </w:r>
          </w:p>
          <w:p w:rsidR="00000000" w:rsidRPr="002E1A24" w:rsidP="002E1A24">
            <w:pPr>
              <w:pStyle w:val="ListBullet2"/>
            </w:pPr>
            <w:r w:rsidRPr="002E1A24">
              <w:t>standard gas conditions</w:t>
            </w:r>
          </w:p>
          <w:p w:rsidR="00000000" w:rsidRPr="002E1A24" w:rsidP="002E1A24">
            <w:pPr>
              <w:pStyle w:val="ListBullet2"/>
            </w:pPr>
            <w:r w:rsidRPr="002E1A24">
              <w:t>combustion</w:t>
            </w:r>
          </w:p>
          <w:p w:rsidR="00000000" w:rsidRPr="002E1A24" w:rsidP="002E1A24">
            <w:pPr>
              <w:pStyle w:val="ListBullet2"/>
            </w:pPr>
            <w:r w:rsidRPr="002E1A24">
              <w:t>venting and purging principles</w:t>
            </w:r>
          </w:p>
          <w:p w:rsidR="00000000" w:rsidP="002E1A24">
            <w:pPr>
              <w:pStyle w:val="ListBullet2"/>
              <w:rPr>
                <w:lang w:val="en-NZ"/>
              </w:rPr>
            </w:pPr>
            <w:r w:rsidRPr="002E1A24">
              <w:t>Effects of temperature and pressure on infrastructure</w:t>
            </w:r>
          </w:p>
        </w:tc>
      </w:tr>
      <w:tr w:rsidTr="004A6AC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G 4.1.5</w:t>
            </w:r>
          </w:p>
        </w:tc>
        <w:tc>
          <w:tcPr>
            <w:tcW w:w="603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t>Interpret Gas Industry drawings</w:t>
            </w:r>
          </w:p>
          <w:p w:rsidR="00000000" w:rsidRPr="002E1A24" w:rsidP="002E1A24">
            <w:pPr>
              <w:pStyle w:val="BodyText"/>
            </w:pPr>
            <w:r w:rsidRPr="002E1A24">
              <w:t>Evidence shall show an ability to interpret and understand Gas Industry technical drawings, indicated by the following:</w:t>
            </w:r>
          </w:p>
          <w:p w:rsidR="00000000" w:rsidRPr="002E1A24" w:rsidP="002E1A24">
            <w:pPr>
              <w:pStyle w:val="ListBullet"/>
            </w:pPr>
            <w:r w:rsidRPr="002E1A24">
              <w:t>understanding and interpreting relevant technical drawings including, but not limited to:</w:t>
            </w:r>
          </w:p>
          <w:p w:rsidR="00000000" w:rsidRPr="002E1A24" w:rsidP="002E1A24">
            <w:pPr>
              <w:pStyle w:val="ListBullet2"/>
            </w:pPr>
            <w:r w:rsidRPr="002E1A24">
              <w:t>Process and Instrumentation Diagrams (PID)</w:t>
            </w:r>
          </w:p>
          <w:p w:rsidR="00000000" w:rsidRPr="002E1A24" w:rsidP="002E1A24">
            <w:pPr>
              <w:pStyle w:val="ListBullet2"/>
            </w:pPr>
            <w:r w:rsidRPr="002E1A24">
              <w:t>Facility and pipeline construction and as-built drawings</w:t>
            </w:r>
          </w:p>
          <w:p w:rsidR="00000000" w:rsidRPr="002E1A24" w:rsidP="002E1A24">
            <w:pPr>
              <w:pStyle w:val="ListBullet2"/>
            </w:pPr>
            <w:r w:rsidRPr="002E1A24">
              <w:t>Geographical Information System (GIS) drawings and data</w:t>
            </w:r>
          </w:p>
          <w:p w:rsidR="00000000" w:rsidRPr="002E1A24" w:rsidP="002E1A24">
            <w:pPr>
              <w:pStyle w:val="ListBullet2"/>
            </w:pPr>
            <w:r w:rsidRPr="002E1A24">
              <w:t>Electrical drawings</w:t>
            </w:r>
          </w:p>
          <w:p w:rsidR="00000000" w:rsidRPr="002E1A24" w:rsidP="002E1A24">
            <w:pPr>
              <w:pStyle w:val="ListBullet2"/>
            </w:pPr>
            <w:r w:rsidRPr="002E1A24">
              <w:t>Survey maps</w:t>
            </w:r>
          </w:p>
          <w:p w:rsidR="00000000" w:rsidRPr="002E1A24" w:rsidP="002E1A24">
            <w:pPr>
              <w:pStyle w:val="ListBullet2"/>
            </w:pPr>
            <w:r w:rsidRPr="002E1A24">
              <w:t xml:space="preserve">Pipeline route maps and alignment sheets </w:t>
            </w:r>
          </w:p>
        </w:tc>
      </w:tr>
    </w:tbl>
    <w:p w:rsidR="004A6AC8" w:rsidP="002E1A24">
      <w:pPr>
        <w:pStyle w:val="BodyText"/>
      </w:pPr>
    </w:p>
    <w:p w:rsidR="004A6AC8" w:rsidP="002E1A24">
      <w:pPr>
        <w:pStyle w:val="BodyText"/>
      </w:pPr>
    </w:p>
    <w:p w:rsidR="00000000" w:rsidRPr="002E1A24" w:rsidP="002E1A24">
      <w:pPr>
        <w:pStyle w:val="Heading1"/>
      </w:pPr>
      <w:bookmarkStart w:id="10" w:name="O_399878"/>
      <w:bookmarkEnd w:id="10"/>
      <w:r w:rsidRPr="002E1A24">
        <w:t>Evidence Guide</w:t>
      </w:r>
    </w:p>
    <w:tbl>
      <w:tblPr>
        <w:tblW w:w="0" w:type="auto"/>
        <w:tblLayout w:type="fixed"/>
        <w:tblCellMar>
          <w:left w:w="62" w:type="dxa"/>
          <w:right w:w="62" w:type="dxa"/>
        </w:tblCellMar>
        <w:tblLook w:val="0000"/>
      </w:tblPr>
      <w:tblGrid>
        <w:gridCol w:w="8460"/>
      </w:tblGrid>
      <w:tr w:rsidTr="004A6AC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rPr>
                <w:rStyle w:val="SpecialBold"/>
              </w:rPr>
              <w:t>EVIDENCE GUIDE</w:t>
            </w:r>
          </w:p>
        </w:tc>
      </w:tr>
      <w:tr w:rsidTr="004A6A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rPr>
                <w:rStyle w:val="SpecialBold"/>
              </w:rPr>
              <w:t>9)</w:t>
            </w:r>
            <w:r w:rsidRPr="002E1A24">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2E1A24" w:rsidP="002E1A24">
      <w:pPr>
        <w:pStyle w:val="BodyText"/>
      </w:pPr>
    </w:p>
    <w:tbl>
      <w:tblPr>
        <w:tblW w:w="0" w:type="auto"/>
        <w:tblLayout w:type="fixed"/>
        <w:tblCellMar>
          <w:left w:w="62" w:type="dxa"/>
          <w:right w:w="62" w:type="dxa"/>
        </w:tblCellMar>
        <w:tblLook w:val="0000"/>
      </w:tblPr>
      <w:tblGrid>
        <w:gridCol w:w="1890"/>
        <w:gridCol w:w="6570"/>
      </w:tblGrid>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rPr>
                <w:rStyle w:val="SpecialBold"/>
              </w:rPr>
              <w:t>9.1)</w:t>
            </w:r>
          </w:p>
          <w:p w:rsidR="00000000" w:rsidP="002E1A24">
            <w:pPr>
              <w:pStyle w:val="BodyText"/>
              <w:rPr>
                <w:lang w:val="en-NZ"/>
              </w:rPr>
            </w:pP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Longitudin</w:t>
            </w:r>
            <w:r w:rsidRPr="002E1A24">
              <w:t>al competency development approaches to assessment, such as Profiling, require data to be reliably gathered in a form that can be consistently interpreted over time. This approach is best utilised in Apprenticeship programs and reduces assessment intervent</w:t>
            </w:r>
            <w:r w:rsidRPr="002E1A24">
              <w:t>ion. It is the Industry’s preferred model for apprenticeships. However, where summative (or final) assessment is used it is to include the application of the competency in the normal work environment or, at a minimum, the application of the competency in a</w:t>
            </w:r>
            <w:r w:rsidRPr="002E1A24">
              <w:t xml:space="preserve"> realistically simulated work environment. It is recognised that, in some circumstances, assessment in part or full can occur outside the workplace. However, it must be in accord with industry and regulatory policy in this regard.</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Methods chosen for a p</w:t>
            </w:r>
            <w:r w:rsidRPr="002E1A24">
              <w:t xml:space="preserve">articular assessment will be influenced by various factors. These include the extent of the assessment, the most effective locations for the assessment activities to take place, access to physical resources, additional safety measures that may be required </w:t>
            </w:r>
            <w:r w:rsidRPr="002E1A24">
              <w:t>and the critical nature of the competencies being assessed.</w:t>
            </w:r>
          </w:p>
        </w:tc>
      </w:tr>
      <w:tr w:rsidTr="004A6AC8">
        <w:tblPrEx>
          <w:tblW w:w="0" w:type="auto"/>
          <w:tblLayout w:type="fixed"/>
          <w:tblCellMar>
            <w:left w:w="62" w:type="dxa"/>
            <w:right w:w="62" w:type="dxa"/>
          </w:tblCellMar>
          <w:tblLook w:val="0000"/>
        </w:tblPrEx>
        <w:trPr>
          <w:trHeight w:val="116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The critical safety nature of working with electricity, electrical equipment, gas or any other hazardous substance/material carries risk in deeming a person competent. Hence, sources of evidence</w:t>
            </w:r>
            <w:r w:rsidRPr="002E1A24">
              <w:t xml:space="preserve"> need to be ‘rich’ in nature so as to minimise error in judgment.</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t>Activities associated with normal every day work have a bearing on the decision as to how much and how detailed the data gathered will contribute to its ‘richness’. Some skills are more cr</w:t>
            </w:r>
            <w:r w:rsidRPr="002E1A24">
              <w:t xml:space="preserve">itical to safety and operational requirements while the same skills may be more or less frequently practised. These points are raised for the assessors to consider when choosing an assessment method and developing assessment instruments. Sample assessment </w:t>
            </w:r>
            <w:r w:rsidRPr="002E1A24">
              <w:t>instruments are included in the Assessment Guidelines of this Training Package.</w:t>
            </w:r>
          </w:p>
        </w:tc>
      </w:tr>
    </w:tbl>
    <w:p w:rsidR="00000000" w:rsidRPr="002E1A24" w:rsidP="002E1A24">
      <w:pPr>
        <w:pStyle w:val="BodyText"/>
      </w:pPr>
    </w:p>
    <w:tbl>
      <w:tblPr>
        <w:tblW w:w="0" w:type="auto"/>
        <w:tblLayout w:type="fixed"/>
        <w:tblCellMar>
          <w:left w:w="62" w:type="dxa"/>
          <w:right w:w="62" w:type="dxa"/>
        </w:tblCellMar>
        <w:tblLook w:val="0000"/>
      </w:tblPr>
      <w:tblGrid>
        <w:gridCol w:w="1890"/>
        <w:gridCol w:w="6570"/>
      </w:tblGrid>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rPr>
                <w:rStyle w:val="SpecialBold"/>
              </w:rPr>
              <w:t>9.2)</w:t>
            </w:r>
          </w:p>
          <w:p w:rsidR="00000000" w:rsidP="002E1A24">
            <w:pPr>
              <w:pStyle w:val="BodyText"/>
              <w:rPr>
                <w:lang w:val="en-NZ"/>
              </w:rPr>
            </w:pP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Before the critical aspects of evidence are considered all prerequisites shall be met.</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 xml:space="preserve">Evidence for competence in this unit shall be considered holistically. Each element and associated Performance Criteria shall be demonstrated on at least two occasions in accordance with the ‘Assessment Guidelines — UEG11’. Evidence shall also comprise: </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E1A24">
            <w:pPr>
              <w:pStyle w:val="ListBullet"/>
              <w:rPr>
                <w:lang w:val="en-NZ"/>
              </w:rPr>
            </w:pPr>
            <w:r w:rsidRPr="002E1A24">
              <w:t>A representative body of Performance Criteria demonstrated within the timeframes typically expected of the discipline, work function and industrial environment. In particular this shall incorporate evidence that shows a candidate is able to:</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E1A24">
            <w:pPr>
              <w:pStyle w:val="ListBullet2"/>
              <w:rPr>
                <w:lang w:val="en-NZ"/>
              </w:rPr>
            </w:pPr>
            <w:r w:rsidRPr="002E1A24">
              <w:t>Implement</w:t>
            </w:r>
            <w:r w:rsidRPr="002E1A24">
              <w:t xml:space="preserve"> Occupational Health and Safety workplace procedures and practices including the use of risk control measures as specified in the Performance Criteria and range</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E1A24">
            <w:pPr>
              <w:pStyle w:val="ListBullet2"/>
              <w:rPr>
                <w:lang w:val="en-NZ"/>
              </w:rPr>
            </w:pPr>
            <w:r w:rsidRPr="002E1A24">
              <w:t xml:space="preserve">Apply sustainable energy principles and practices as specified in the Performance Criteria </w:t>
            </w:r>
            <w:r w:rsidRPr="002E1A24">
              <w:t>and range</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E1A24">
            <w:pPr>
              <w:pStyle w:val="ListBullet2"/>
              <w:rPr>
                <w:lang w:val="en-NZ"/>
              </w:rPr>
            </w:pPr>
            <w:r w:rsidRPr="002E1A24">
              <w:t xml:space="preserve">Demonstrate an understanding of the essential knowledge and associated skills as described in this unit to such an extent that the learner’s performance outcome is reported in accordance with the preferred approach; namely a percentile graded </w:t>
            </w:r>
            <w:r w:rsidRPr="002E1A24">
              <w:t>result, where required by the regulated environment</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E1A24">
            <w:pPr>
              <w:pStyle w:val="ListBullet2"/>
              <w:rPr>
                <w:lang w:val="en-NZ"/>
              </w:rPr>
            </w:pPr>
            <w:r w:rsidRPr="002E1A24">
              <w:t>Demonstrate an appropriate level of employability skills</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E1A24">
            <w:pPr>
              <w:pStyle w:val="ListBullet2"/>
              <w:rPr>
                <w:lang w:val="en-NZ"/>
              </w:rPr>
            </w:pPr>
            <w:r w:rsidRPr="002E1A24">
              <w:t>Conduct work observing the relevant Anti discrimination legislation, regulations, polices and workplace procedures</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2E1A24" w:rsidP="002E1A24">
            <w:pPr>
              <w:pStyle w:val="ListBullet"/>
            </w:pPr>
            <w:r w:rsidRPr="002E1A24">
              <w:t>Demonstrate performance across a representative range of contexts from the prescribed items below:</w:t>
            </w:r>
          </w:p>
        </w:tc>
      </w:tr>
    </w:tbl>
    <w:p w:rsidR="00000000" w:rsidRPr="002E1A24" w:rsidP="002E1A24">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4A6AC8">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2E1A24">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A24">
            <w:pPr>
              <w:pStyle w:val="BodyText"/>
              <w:rPr>
                <w:lang w:val="en-NZ"/>
              </w:rPr>
            </w:pPr>
            <w:r w:rsidRPr="002E1A24">
              <w:rPr>
                <w:rStyle w:val="SpecialBold"/>
              </w:rPr>
              <w:t>Range of tools/equipment/procedures/workplace</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2E1A24">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A24" w:rsidP="002E1A24">
            <w:pPr>
              <w:pStyle w:val="BodyText"/>
            </w:pPr>
            <w:r w:rsidRPr="002E1A24">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A24" w:rsidP="002E1A24">
            <w:pPr>
              <w:pStyle w:val="BodyText"/>
            </w:pPr>
            <w:r w:rsidRPr="002E1A24">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A24">
            <w:pPr>
              <w:pStyle w:val="BodyText"/>
              <w:rPr>
                <w:lang w:val="en-NZ"/>
              </w:rPr>
            </w:pPr>
            <w:r w:rsidRPr="002E1A24">
              <w:rPr>
                <w:rStyle w:val="SpecialBold"/>
              </w:rPr>
              <w:t>Item List</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A24">
            <w:pPr>
              <w:pStyle w:val="BodyText"/>
              <w:rPr>
                <w:lang w:val="en-NZ"/>
              </w:rPr>
            </w:pPr>
            <w:r w:rsidRPr="002E1A24">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A24">
            <w:pPr>
              <w:pStyle w:val="BodyText"/>
              <w:rPr>
                <w:lang w:val="en-NZ"/>
              </w:rPr>
            </w:pPr>
            <w:r w:rsidRPr="002E1A24">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A24" w:rsidP="002E1A24">
            <w:pPr>
              <w:pStyle w:val="BodyText"/>
            </w:pPr>
            <w:r w:rsidRPr="002E1A24">
              <w:t>Interpret technical drawings and symbols</w:t>
            </w:r>
          </w:p>
          <w:p w:rsidR="00000000" w:rsidRPr="002E1A24" w:rsidP="002E1A24">
            <w:pPr>
              <w:pStyle w:val="BodyText"/>
            </w:pPr>
            <w:r w:rsidRPr="002E1A24">
              <w:t>Ensure emergency response procedures are in place</w:t>
            </w:r>
          </w:p>
          <w:p w:rsidR="00000000" w:rsidRPr="002E1A24" w:rsidP="002E1A24">
            <w:pPr>
              <w:pStyle w:val="BodyText"/>
            </w:pPr>
            <w:r w:rsidRPr="002E1A24">
              <w:t>Communicate with other authorities and stakeholders</w:t>
            </w:r>
          </w:p>
          <w:p w:rsidR="00000000" w:rsidRPr="002E1A24" w:rsidP="002E1A24">
            <w:pPr>
              <w:pStyle w:val="BodyText"/>
            </w:pPr>
            <w:r w:rsidRPr="002E1A24">
              <w:t>Communicate schedules/coordinate to persons</w:t>
            </w:r>
          </w:p>
          <w:p w:rsidR="00000000" w:rsidRPr="002E1A24" w:rsidP="002E1A24">
            <w:pPr>
              <w:pStyle w:val="BodyText"/>
            </w:pPr>
            <w:r w:rsidRPr="002E1A24">
              <w:t>Ensure practical application of AS2865</w:t>
            </w:r>
          </w:p>
          <w:p w:rsidR="00000000" w:rsidRPr="002E1A24" w:rsidP="002E1A24">
            <w:pPr>
              <w:pStyle w:val="BodyText"/>
            </w:pPr>
            <w:r w:rsidRPr="002E1A24">
              <w:t>Interpret MSDSs</w:t>
            </w:r>
          </w:p>
          <w:p w:rsidR="00000000" w:rsidRPr="002E1A24" w:rsidP="002E1A24">
            <w:pPr>
              <w:pStyle w:val="BodyText"/>
            </w:pPr>
            <w:r w:rsidRPr="002E1A24">
              <w:t xml:space="preserve">Carry out job </w:t>
            </w:r>
            <w:r w:rsidRPr="002E1A24">
              <w:t>safety analysis</w:t>
            </w:r>
          </w:p>
          <w:p w:rsidR="00000000" w:rsidRPr="002E1A24" w:rsidP="002E1A24">
            <w:pPr>
              <w:pStyle w:val="BodyText"/>
            </w:pPr>
            <w:r w:rsidRPr="002E1A24">
              <w:t>Obtain work permit</w:t>
            </w:r>
          </w:p>
          <w:p w:rsidR="00000000" w:rsidP="002E1A24">
            <w:pPr>
              <w:pStyle w:val="BodyText"/>
              <w:rPr>
                <w:lang w:val="en-NZ"/>
              </w:rPr>
            </w:pPr>
            <w:r w:rsidRPr="002E1A24">
              <w:t>Use and interpret dial before you dig or its equivalent report</w:t>
            </w:r>
          </w:p>
        </w:tc>
      </w:tr>
      <w:tr w:rsidTr="004A6AC8">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A24">
            <w:pPr>
              <w:pStyle w:val="BodyText"/>
              <w:rPr>
                <w:lang w:val="en-NZ"/>
              </w:rPr>
            </w:pPr>
            <w:r w:rsidRPr="002E1A24">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A24">
            <w:pPr>
              <w:pStyle w:val="BodyText"/>
              <w:rPr>
                <w:lang w:val="en-NZ"/>
              </w:rPr>
            </w:pPr>
            <w:r w:rsidRPr="002E1A24">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A24" w:rsidP="002E1A24">
            <w:pPr>
              <w:pStyle w:val="BodyText"/>
            </w:pPr>
            <w:r w:rsidRPr="002E1A24">
              <w:t>Excavation</w:t>
            </w:r>
          </w:p>
          <w:p w:rsidR="00000000" w:rsidRPr="002E1A24" w:rsidP="002E1A24">
            <w:pPr>
              <w:pStyle w:val="BodyText"/>
            </w:pPr>
            <w:r w:rsidRPr="002E1A24">
              <w:t>Trenching</w:t>
            </w:r>
          </w:p>
          <w:p w:rsidR="00000000" w:rsidRPr="002E1A24" w:rsidP="002E1A24">
            <w:pPr>
              <w:pStyle w:val="BodyText"/>
            </w:pPr>
            <w:r w:rsidRPr="002E1A24">
              <w:t>Shoring</w:t>
            </w:r>
          </w:p>
          <w:p w:rsidR="00000000" w:rsidRPr="002E1A24" w:rsidP="002E1A24">
            <w:pPr>
              <w:pStyle w:val="BodyText"/>
            </w:pPr>
            <w:r w:rsidRPr="002E1A24">
              <w:t>Stitch bore</w:t>
            </w:r>
          </w:p>
          <w:p w:rsidR="00000000" w:rsidRPr="002E1A24" w:rsidP="002E1A24">
            <w:pPr>
              <w:pStyle w:val="BodyText"/>
            </w:pPr>
            <w:r w:rsidRPr="002E1A24">
              <w:t>Horizontal drilling</w:t>
            </w:r>
          </w:p>
          <w:p w:rsidR="00000000" w:rsidP="002E1A24">
            <w:pPr>
              <w:pStyle w:val="BodyText"/>
              <w:rPr>
                <w:lang w:val="en-NZ"/>
              </w:rPr>
            </w:pPr>
            <w:r w:rsidRPr="002E1A24">
              <w:t>Directional drilling</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A24">
            <w:pPr>
              <w:pStyle w:val="BodyText"/>
              <w:rPr>
                <w:lang w:val="en-NZ"/>
              </w:rPr>
            </w:pPr>
            <w:r w:rsidRPr="002E1A24">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A24">
            <w:pPr>
              <w:pStyle w:val="BodyText"/>
              <w:rPr>
                <w:lang w:val="en-NZ"/>
              </w:rPr>
            </w:pPr>
            <w:r w:rsidRPr="002E1A24">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A24" w:rsidP="002E1A24">
            <w:pPr>
              <w:pStyle w:val="BodyText"/>
            </w:pPr>
            <w:r w:rsidRPr="002E1A24">
              <w:t>Nylon (polymide) pipeline laying techniques</w:t>
            </w:r>
          </w:p>
          <w:p w:rsidR="00000000" w:rsidRPr="002E1A24" w:rsidP="002E1A24">
            <w:pPr>
              <w:pStyle w:val="BodyText"/>
            </w:pPr>
            <w:r w:rsidRPr="002E1A24">
              <w:t>Nylon gluing/stop off</w:t>
            </w:r>
          </w:p>
          <w:p w:rsidR="00000000" w:rsidRPr="002E1A24" w:rsidP="002E1A24">
            <w:pPr>
              <w:pStyle w:val="BodyText"/>
            </w:pPr>
            <w:r w:rsidRPr="002E1A24">
              <w:t>Horizontal drilling</w:t>
            </w:r>
          </w:p>
          <w:p w:rsidR="00000000" w:rsidP="002E1A24">
            <w:pPr>
              <w:pStyle w:val="BodyText"/>
              <w:rPr>
                <w:lang w:val="en-NZ"/>
              </w:rPr>
            </w:pPr>
            <w:r w:rsidRPr="002E1A24">
              <w:t>Directional drilling</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A24">
            <w:pPr>
              <w:pStyle w:val="BodyText"/>
              <w:rPr>
                <w:lang w:val="en-NZ"/>
              </w:rPr>
            </w:pPr>
            <w:r w:rsidRPr="002E1A24">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A24">
            <w:pPr>
              <w:pStyle w:val="BodyText"/>
              <w:rPr>
                <w:lang w:val="en-NZ"/>
              </w:rPr>
            </w:pPr>
            <w:r w:rsidRPr="002E1A24">
              <w:t>At least 5</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A24" w:rsidP="002E1A24">
            <w:pPr>
              <w:pStyle w:val="BodyText"/>
            </w:pPr>
            <w:r w:rsidRPr="002E1A24">
              <w:t>PE pipeline laying techniques</w:t>
            </w:r>
          </w:p>
          <w:p w:rsidR="00000000" w:rsidRPr="002E1A24" w:rsidP="002E1A24">
            <w:pPr>
              <w:pStyle w:val="BodyText"/>
            </w:pPr>
            <w:r w:rsidRPr="002E1A24">
              <w:t>Large diameter PE</w:t>
            </w:r>
          </w:p>
          <w:p w:rsidR="00000000" w:rsidRPr="002E1A24" w:rsidP="002E1A24">
            <w:pPr>
              <w:pStyle w:val="BodyText"/>
            </w:pPr>
            <w:r w:rsidRPr="002E1A24">
              <w:t>PE electro fusion</w:t>
            </w:r>
          </w:p>
          <w:p w:rsidR="00000000" w:rsidRPr="002E1A24" w:rsidP="002E1A24">
            <w:pPr>
              <w:pStyle w:val="BodyText"/>
            </w:pPr>
            <w:r w:rsidRPr="002E1A24">
              <w:t>PE butt fusion</w:t>
            </w:r>
          </w:p>
          <w:p w:rsidR="00000000" w:rsidRPr="002E1A24" w:rsidP="002E1A24">
            <w:pPr>
              <w:pStyle w:val="BodyText"/>
            </w:pPr>
            <w:r w:rsidRPr="002E1A24">
              <w:t>Saddle fusion</w:t>
            </w:r>
          </w:p>
          <w:p w:rsidR="00000000" w:rsidRPr="002E1A24" w:rsidP="002E1A24">
            <w:pPr>
              <w:pStyle w:val="BodyText"/>
            </w:pPr>
            <w:r w:rsidRPr="002E1A24">
              <w:t>Socket fusion</w:t>
            </w:r>
          </w:p>
          <w:p w:rsidR="00000000" w:rsidRPr="002E1A24" w:rsidP="002E1A24">
            <w:pPr>
              <w:pStyle w:val="BodyText"/>
            </w:pPr>
            <w:r w:rsidRPr="002E1A24">
              <w:t>PE stop off</w:t>
            </w:r>
          </w:p>
          <w:p w:rsidR="00000000" w:rsidRPr="002E1A24" w:rsidP="002E1A24">
            <w:pPr>
              <w:pStyle w:val="BodyText"/>
            </w:pPr>
            <w:r w:rsidRPr="002E1A24">
              <w:t>Compression couplings or flanges</w:t>
            </w:r>
          </w:p>
          <w:p w:rsidR="00000000" w:rsidRPr="002E1A24" w:rsidP="002E1A24">
            <w:pPr>
              <w:pStyle w:val="BodyText"/>
            </w:pPr>
            <w:r w:rsidRPr="002E1A24">
              <w:t>Connection of PE to nylon</w:t>
            </w:r>
          </w:p>
          <w:p w:rsidR="00000000" w:rsidP="002E1A24">
            <w:pPr>
              <w:pStyle w:val="BodyText"/>
              <w:rPr>
                <w:lang w:val="en-NZ"/>
              </w:rPr>
            </w:pPr>
            <w:r w:rsidRPr="002E1A24">
              <w:t>Practical application of AS3723 Installation and Maintenance of plastic pipe systems</w:t>
            </w:r>
          </w:p>
        </w:tc>
      </w:tr>
      <w:tr w:rsidTr="004A6AC8">
        <w:tblPrEx>
          <w:tblW w:w="0" w:type="auto"/>
          <w:tblLayout w:type="fixed"/>
          <w:tblCellMar>
            <w:left w:w="62" w:type="dxa"/>
            <w:right w:w="62" w:type="dxa"/>
          </w:tblCellMar>
          <w:tblLook w:val="0000"/>
        </w:tblPrEx>
        <w:trPr>
          <w:trHeight w:val="3819"/>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A24">
            <w:pPr>
              <w:pStyle w:val="BodyText"/>
              <w:rPr>
                <w:lang w:val="en-NZ"/>
              </w:rPr>
            </w:pPr>
            <w:r w:rsidRPr="002E1A24">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A24">
            <w:pPr>
              <w:pStyle w:val="BodyText"/>
              <w:rPr>
                <w:lang w:val="en-NZ"/>
              </w:rPr>
            </w:pPr>
            <w:r w:rsidRPr="002E1A24">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A24" w:rsidP="002E1A24">
            <w:pPr>
              <w:pStyle w:val="BodyText"/>
            </w:pPr>
            <w:r w:rsidRPr="002E1A24">
              <w:t>UPVC pipeline laying techniques</w:t>
            </w:r>
          </w:p>
          <w:p w:rsidR="00000000" w:rsidRPr="002E1A24" w:rsidP="002E1A24">
            <w:pPr>
              <w:pStyle w:val="BodyText"/>
            </w:pPr>
            <w:r w:rsidRPr="002E1A24">
              <w:t>UPVC solvent cemented joints</w:t>
            </w:r>
          </w:p>
          <w:p w:rsidR="00000000" w:rsidRPr="002E1A24" w:rsidP="002E1A24">
            <w:pPr>
              <w:pStyle w:val="BodyText"/>
            </w:pPr>
            <w:r w:rsidRPr="002E1A24">
              <w:t>UPVC moulded joints</w:t>
            </w:r>
          </w:p>
          <w:p w:rsidR="00000000" w:rsidRPr="002E1A24" w:rsidP="002E1A24">
            <w:pPr>
              <w:pStyle w:val="BodyText"/>
            </w:pPr>
            <w:r w:rsidRPr="002E1A24">
              <w:t>UPVC stop off</w:t>
            </w:r>
          </w:p>
          <w:p w:rsidR="00000000" w:rsidRPr="002E1A24" w:rsidP="002E1A24">
            <w:pPr>
              <w:pStyle w:val="BodyText"/>
            </w:pPr>
            <w:r w:rsidRPr="002E1A24">
              <w:t>UPVC couplings or flanges</w:t>
            </w:r>
          </w:p>
          <w:p w:rsidR="00000000" w:rsidRPr="002E1A24" w:rsidP="002E1A24">
            <w:pPr>
              <w:pStyle w:val="BodyText"/>
            </w:pPr>
            <w:r w:rsidRPr="002E1A24">
              <w:t>Connection of UPVC to steel</w:t>
            </w:r>
          </w:p>
          <w:p w:rsidR="00000000" w:rsidP="002E1A24">
            <w:pPr>
              <w:pStyle w:val="BodyText"/>
              <w:rPr>
                <w:lang w:val="en-NZ"/>
              </w:rPr>
            </w:pPr>
            <w:r w:rsidRPr="002E1A24">
              <w:t>Practical application of AS3723 Installation and maintenance of plastic pipe systems</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A24">
            <w:pPr>
              <w:pStyle w:val="BodyText"/>
              <w:rPr>
                <w:lang w:val="en-NZ"/>
              </w:rPr>
            </w:pPr>
            <w:r w:rsidRPr="002E1A24">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A24">
            <w:pPr>
              <w:pStyle w:val="BodyText"/>
              <w:rPr>
                <w:lang w:val="en-NZ"/>
              </w:rPr>
            </w:pPr>
            <w:r w:rsidRPr="002E1A24">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A24" w:rsidP="002E1A24">
            <w:pPr>
              <w:pStyle w:val="BodyText"/>
            </w:pPr>
            <w:r w:rsidRPr="002E1A24">
              <w:t>Steel pipeline coating repair</w:t>
            </w:r>
          </w:p>
          <w:p w:rsidR="00000000" w:rsidRPr="002E1A24" w:rsidP="002E1A24">
            <w:pPr>
              <w:pStyle w:val="BodyText"/>
            </w:pPr>
            <w:r w:rsidRPr="002E1A24">
              <w:t>Steel pipeline coating testing (Jeeper)</w:t>
            </w:r>
          </w:p>
          <w:p w:rsidR="00000000" w:rsidP="002E1A24">
            <w:pPr>
              <w:pStyle w:val="BodyText"/>
              <w:rPr>
                <w:lang w:val="en-NZ"/>
              </w:rPr>
            </w:pPr>
            <w:r w:rsidRPr="002E1A24">
              <w:t>Steel, field joint coating</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A24">
            <w:pPr>
              <w:pStyle w:val="BodyText"/>
              <w:rPr>
                <w:lang w:val="en-NZ"/>
              </w:rPr>
            </w:pPr>
            <w:r w:rsidRPr="002E1A24">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A24">
            <w:pPr>
              <w:pStyle w:val="BodyText"/>
              <w:rPr>
                <w:lang w:val="en-NZ"/>
              </w:rPr>
            </w:pPr>
            <w:r w:rsidRPr="002E1A24">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A24" w:rsidP="002E1A24">
            <w:pPr>
              <w:pStyle w:val="BodyText"/>
            </w:pPr>
            <w:r w:rsidRPr="002E1A24">
              <w:t>Connection of PE to steel mains</w:t>
            </w:r>
          </w:p>
          <w:p w:rsidR="00000000" w:rsidRPr="002E1A24" w:rsidP="002E1A24">
            <w:pPr>
              <w:pStyle w:val="BodyText"/>
            </w:pPr>
            <w:r w:rsidRPr="002E1A24">
              <w:t>Steel mains welding</w:t>
            </w:r>
          </w:p>
          <w:p w:rsidR="00000000" w:rsidRPr="002E1A24" w:rsidP="002E1A24">
            <w:pPr>
              <w:pStyle w:val="BodyText"/>
            </w:pPr>
            <w:r w:rsidRPr="002E1A24">
              <w:t>Steel mains repair</w:t>
            </w:r>
          </w:p>
          <w:p w:rsidR="00000000" w:rsidRPr="002E1A24" w:rsidP="002E1A24">
            <w:pPr>
              <w:pStyle w:val="BodyText"/>
            </w:pPr>
            <w:r w:rsidRPr="002E1A24">
              <w:t>Sleeve application</w:t>
            </w:r>
          </w:p>
          <w:p w:rsidR="00000000" w:rsidRPr="002E1A24" w:rsidP="002E1A24">
            <w:pPr>
              <w:pStyle w:val="BodyText"/>
            </w:pPr>
            <w:r w:rsidRPr="002E1A24">
              <w:t>Clamp application</w:t>
            </w:r>
          </w:p>
          <w:p w:rsidR="00000000" w:rsidP="002E1A24">
            <w:pPr>
              <w:pStyle w:val="BodyText"/>
              <w:rPr>
                <w:lang w:val="en-NZ"/>
              </w:rPr>
            </w:pPr>
            <w:r w:rsidRPr="002E1A24">
              <w:t>Hot tap and stopple</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A24">
            <w:pPr>
              <w:pStyle w:val="BodyText"/>
              <w:rPr>
                <w:lang w:val="en-NZ"/>
              </w:rPr>
            </w:pPr>
            <w:r w:rsidRPr="002E1A24">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A24">
            <w:pPr>
              <w:pStyle w:val="BodyText"/>
              <w:rPr>
                <w:lang w:val="en-NZ"/>
              </w:rPr>
            </w:pPr>
            <w:r w:rsidRPr="002E1A24">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A24" w:rsidP="002E1A24">
            <w:pPr>
              <w:pStyle w:val="BodyText"/>
            </w:pPr>
            <w:r w:rsidRPr="002E1A24">
              <w:t xml:space="preserve">Isolate, vent and purge gas pipeline systems </w:t>
            </w:r>
          </w:p>
          <w:p w:rsidR="00000000" w:rsidRPr="002E1A24" w:rsidP="002E1A24">
            <w:pPr>
              <w:pStyle w:val="BodyText"/>
            </w:pPr>
            <w:r w:rsidRPr="002E1A24">
              <w:t>Operation of gas detector</w:t>
            </w:r>
          </w:p>
          <w:p w:rsidR="00000000" w:rsidRPr="002E1A24" w:rsidP="002E1A24">
            <w:pPr>
              <w:pStyle w:val="BodyText"/>
            </w:pPr>
            <w:r w:rsidRPr="002E1A24">
              <w:t>Operate service locator</w:t>
            </w:r>
          </w:p>
          <w:p w:rsidR="00000000" w:rsidP="002E1A24">
            <w:pPr>
              <w:pStyle w:val="BodyText"/>
              <w:rPr>
                <w:lang w:val="en-NZ"/>
              </w:rPr>
            </w:pPr>
            <w:r w:rsidRPr="002E1A24">
              <w:t>Where relevant, calcula</w:t>
            </w:r>
            <w:r w:rsidRPr="002E1A24">
              <w:t>te nitrogen volume needed</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A24">
            <w:pPr>
              <w:pStyle w:val="BodyText"/>
              <w:rPr>
                <w:lang w:val="en-NZ"/>
              </w:rPr>
            </w:pPr>
            <w:r w:rsidRPr="002E1A24">
              <w:t>I</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A24">
            <w:pPr>
              <w:pStyle w:val="BodyText"/>
              <w:rPr>
                <w:lang w:val="en-NZ"/>
              </w:rPr>
            </w:pPr>
            <w:r w:rsidRPr="002E1A24">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A24" w:rsidP="002E1A24">
            <w:pPr>
              <w:pStyle w:val="BodyText"/>
            </w:pPr>
            <w:r w:rsidRPr="002E1A24">
              <w:t>High pressure stop off</w:t>
            </w:r>
          </w:p>
          <w:p w:rsidR="00000000" w:rsidRPr="002E1A24" w:rsidP="002E1A24">
            <w:pPr>
              <w:pStyle w:val="BodyText"/>
            </w:pPr>
            <w:r w:rsidRPr="002E1A24">
              <w:t>312</w:t>
            </w:r>
          </w:p>
          <w:p w:rsidR="00000000" w:rsidRPr="002E1A24" w:rsidP="002E1A24">
            <w:pPr>
              <w:pStyle w:val="BodyText"/>
            </w:pPr>
            <w:r w:rsidRPr="002E1A24">
              <w:t>Bagtube</w:t>
            </w:r>
          </w:p>
          <w:p w:rsidR="00000000" w:rsidP="002E1A24">
            <w:pPr>
              <w:pStyle w:val="BodyText"/>
              <w:rPr>
                <w:lang w:val="en-NZ"/>
              </w:rPr>
            </w:pPr>
            <w:r w:rsidRPr="002E1A24">
              <w:t>Squash off jacks/squash off pliers</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A24">
            <w:pPr>
              <w:pStyle w:val="BodyText"/>
              <w:rPr>
                <w:lang w:val="en-NZ"/>
              </w:rPr>
            </w:pPr>
            <w:r w:rsidRPr="002E1A24">
              <w:t>J</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A24">
            <w:pPr>
              <w:pStyle w:val="BodyText"/>
              <w:rPr>
                <w:lang w:val="en-NZ"/>
              </w:rPr>
            </w:pPr>
            <w:r w:rsidRPr="002E1A24">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A24" w:rsidP="002E1A24">
            <w:pPr>
              <w:pStyle w:val="BodyText"/>
            </w:pPr>
            <w:r w:rsidRPr="002E1A24">
              <w:t xml:space="preserve">Deal with an unplanned event by drawing on essential knowledge and associated skills to provide appropriate solutions incorporated in the holistic assessment with the above listed items </w:t>
            </w:r>
          </w:p>
        </w:tc>
      </w:tr>
    </w:tbl>
    <w:p w:rsidR="00000000" w:rsidRPr="002E1A24" w:rsidP="002E1A24">
      <w:pPr>
        <w:pStyle w:val="BodyText"/>
      </w:pPr>
    </w:p>
    <w:tbl>
      <w:tblPr>
        <w:tblW w:w="0" w:type="auto"/>
        <w:tblLayout w:type="fixed"/>
        <w:tblCellMar>
          <w:left w:w="62" w:type="dxa"/>
          <w:right w:w="62" w:type="dxa"/>
        </w:tblCellMar>
        <w:tblLook w:val="0000"/>
      </w:tblPr>
      <w:tblGrid>
        <w:gridCol w:w="1890"/>
        <w:gridCol w:w="6570"/>
      </w:tblGrid>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rPr>
                <w:rStyle w:val="SpecialBold"/>
              </w:rPr>
              <w:t>9.3)</w:t>
            </w:r>
          </w:p>
          <w:p w:rsidR="00000000" w:rsidP="002E1A24">
            <w:pPr>
              <w:pStyle w:val="BodyText"/>
              <w:rPr>
                <w:lang w:val="en-NZ"/>
              </w:rPr>
            </w:pPr>
          </w:p>
        </w:tc>
      </w:tr>
      <w:tr w:rsidTr="004A6AC8">
        <w:tblPrEx>
          <w:tblW w:w="0" w:type="auto"/>
          <w:tblLayout w:type="fixed"/>
          <w:tblCellMar>
            <w:left w:w="62" w:type="dxa"/>
            <w:right w:w="62" w:type="dxa"/>
          </w:tblCellMar>
          <w:tblLook w:val="0000"/>
        </w:tblPrEx>
        <w:trPr>
          <w:trHeight w:val="90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This unit should be assessed as it relates to normal work practice using procedures, information and resources typical of a workplace. This should include:</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E1A24">
            <w:pPr>
              <w:pStyle w:val="ListBullet"/>
              <w:rPr>
                <w:lang w:val="en-NZ"/>
              </w:rPr>
            </w:pPr>
            <w:r w:rsidRPr="002E1A24">
              <w:t>OHS policy and work procedures and instructions.</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E1A24">
            <w:pPr>
              <w:pStyle w:val="ListBullet"/>
              <w:rPr>
                <w:lang w:val="en-NZ"/>
              </w:rPr>
            </w:pPr>
            <w:r w:rsidRPr="002E1A24">
              <w:t>Suitable work environment, facilities, e</w:t>
            </w:r>
            <w:r w:rsidRPr="002E1A24">
              <w:t>quipment and materials to undertake actual work as prescribed by this Unit</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E1A24">
            <w:pPr>
              <w:pStyle w:val="ListBullet"/>
              <w:rPr>
                <w:lang w:val="en-NZ"/>
              </w:rPr>
            </w:pPr>
            <w:r w:rsidRPr="002E1A24">
              <w:t>Appropriate environmental regulation and work practices.</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E1A24">
            <w:pPr>
              <w:pStyle w:val="ListBullet"/>
              <w:rPr>
                <w:lang w:val="en-NZ"/>
              </w:rPr>
            </w:pPr>
            <w:r w:rsidRPr="002E1A24">
              <w:t>Appropriate organisational requirements.</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E1A24">
            <w:pPr>
              <w:pStyle w:val="ListBullet"/>
              <w:rPr>
                <w:lang w:val="en-NZ"/>
              </w:rPr>
            </w:pPr>
            <w:r w:rsidRPr="002E1A24">
              <w:t>Appropriate work environment, equipment and tools.</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In addition to the re</w:t>
            </w:r>
            <w:r w:rsidRPr="002E1A24">
              <w:t>sources listed above, in Context of and specific resources for assessment, evidence should show demonstrated competency in operating and monitoring pipeline control systems</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 xml:space="preserve">Assessment of this competency must also be undertaken in either an actual workplace or under a simulated work environment. </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t>Assessment must also integrate the employability skills in section 3.1 of this competency standard.</w:t>
            </w:r>
          </w:p>
        </w:tc>
      </w:tr>
    </w:tbl>
    <w:p w:rsidR="00000000" w:rsidRPr="002E1A24" w:rsidP="002E1A24">
      <w:pPr>
        <w:pStyle w:val="BodyText"/>
      </w:pPr>
    </w:p>
    <w:tbl>
      <w:tblPr>
        <w:tblW w:w="0" w:type="auto"/>
        <w:tblLayout w:type="fixed"/>
        <w:tblCellMar>
          <w:left w:w="62" w:type="dxa"/>
          <w:right w:w="62" w:type="dxa"/>
        </w:tblCellMar>
        <w:tblLook w:val="0000"/>
      </w:tblPr>
      <w:tblGrid>
        <w:gridCol w:w="1890"/>
        <w:gridCol w:w="6570"/>
      </w:tblGrid>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rPr>
                <w:rStyle w:val="SpecialBold"/>
              </w:rPr>
              <w:t>9.4)</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This Unit shall be assessed by methods given in Volume 1, Part 3 ‘Assessment Guidelines’.</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t xml:space="preserve">Note: Competent performance with inherent safe working practices is expected in the Industry to which this Unit applies. This requires that the specified Essential </w:t>
            </w:r>
            <w:r w:rsidRPr="002E1A24">
              <w:t>Knowledge and Associated Skills are assessed in a structured environment which is primarily intended for learning/assessment and incorporates all necessary equipment and facilities for learners to develop and demonstrate the Essential Knowledge and Associa</w:t>
            </w:r>
            <w:r w:rsidRPr="002E1A24">
              <w:t>ted Skills described in this unit.</w:t>
            </w:r>
          </w:p>
        </w:tc>
      </w:tr>
    </w:tbl>
    <w:p w:rsidR="00000000" w:rsidRPr="002E1A24" w:rsidP="002E1A24">
      <w:pPr>
        <w:pStyle w:val="BodyText"/>
      </w:pPr>
    </w:p>
    <w:tbl>
      <w:tblPr>
        <w:tblW w:w="0" w:type="auto"/>
        <w:tblLayout w:type="fixed"/>
        <w:tblCellMar>
          <w:left w:w="62" w:type="dxa"/>
          <w:right w:w="62" w:type="dxa"/>
        </w:tblCellMar>
        <w:tblLook w:val="0000"/>
      </w:tblPr>
      <w:tblGrid>
        <w:gridCol w:w="1890"/>
        <w:gridCol w:w="6570"/>
      </w:tblGrid>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rPr>
                <w:rStyle w:val="SpecialBold"/>
              </w:rPr>
              <w:t>9.5)</w:t>
            </w:r>
          </w:p>
        </w:tc>
      </w:tr>
      <w:tr w:rsidTr="004A6AC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t>There are no recommended concurrent assessments with this unit.</w:t>
            </w:r>
          </w:p>
        </w:tc>
      </w:tr>
    </w:tbl>
    <w:p w:rsidR="004A6AC8" w:rsidP="002E1A24">
      <w:pPr>
        <w:pStyle w:val="BodyText"/>
      </w:pPr>
    </w:p>
    <w:p w:rsidR="004A6AC8" w:rsidP="002E1A24">
      <w:pPr>
        <w:pStyle w:val="BodyText"/>
      </w:pPr>
    </w:p>
    <w:p w:rsidR="00000000" w:rsidRPr="002E1A24" w:rsidP="002E1A24">
      <w:pPr>
        <w:pStyle w:val="Heading1"/>
      </w:pPr>
      <w:bookmarkStart w:id="11" w:name="O_399882"/>
      <w:bookmarkEnd w:id="11"/>
      <w:r w:rsidRPr="002E1A24">
        <w:t>Range Statement</w:t>
      </w:r>
    </w:p>
    <w:tbl>
      <w:tblPr>
        <w:tblW w:w="0" w:type="auto"/>
        <w:tblLayout w:type="fixed"/>
        <w:tblCellMar>
          <w:left w:w="62" w:type="dxa"/>
          <w:right w:w="62" w:type="dxa"/>
        </w:tblCellMar>
        <w:tblLook w:val="0000"/>
      </w:tblPr>
      <w:tblGrid>
        <w:gridCol w:w="8460"/>
      </w:tblGrid>
      <w:tr w:rsidTr="004A6AC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rPr>
                <w:rStyle w:val="SpecialBold"/>
              </w:rPr>
              <w:t>RANGE STATEMENT</w:t>
            </w:r>
          </w:p>
        </w:tc>
      </w:tr>
      <w:tr w:rsidTr="004A6A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rPr>
                <w:rStyle w:val="SpecialBold"/>
              </w:rPr>
              <w:t>10)</w:t>
            </w:r>
            <w:r w:rsidRPr="002E1A24">
              <w:t xml:space="preserve"> This relates to the competency standard unit as a whole providing the range of contexts and conditions to which the Performance Criteria apply. It allows for different work environments and situations that will affect performance.</w:t>
            </w:r>
          </w:p>
        </w:tc>
      </w:tr>
      <w:tr w:rsidTr="004A6A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 xml:space="preserve">This Unit shall be demonstrated in relation to operating and monitoring pipeline control systems. The following constants and variables included in the element/Performance Criteria in this unit are fully described in the Definitions Section of this volume </w:t>
            </w:r>
            <w:r w:rsidRPr="002E1A24">
              <w:t>and form an integral part of the Range Statement of this unit:</w:t>
            </w:r>
          </w:p>
        </w:tc>
      </w:tr>
      <w:tr w:rsidTr="004A6A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Pipeline control systems</w:t>
            </w:r>
          </w:p>
        </w:tc>
      </w:tr>
      <w:tr w:rsidTr="004A6A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Prime movers</w:t>
            </w:r>
          </w:p>
        </w:tc>
      </w:tr>
      <w:tr w:rsidTr="004A6A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Instrument and control system</w:t>
            </w:r>
          </w:p>
        </w:tc>
      </w:tr>
      <w:tr w:rsidTr="004A6A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Valve system</w:t>
            </w:r>
          </w:p>
        </w:tc>
      </w:tr>
      <w:tr w:rsidTr="004A6A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Emergency responses</w:t>
            </w:r>
          </w:p>
        </w:tc>
      </w:tr>
      <w:tr w:rsidTr="004A6A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Relevant persons</w:t>
            </w:r>
          </w:p>
        </w:tc>
      </w:tr>
      <w:tr w:rsidTr="004A6A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Tools, equipment and testing devices</w:t>
            </w:r>
          </w:p>
        </w:tc>
      </w:tr>
      <w:tr w:rsidTr="004A6A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t>Types of faults</w:t>
            </w:r>
          </w:p>
        </w:tc>
      </w:tr>
      <w:tr w:rsidTr="004A6A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t xml:space="preserve">Reports </w:t>
            </w:r>
          </w:p>
        </w:tc>
      </w:tr>
    </w:tbl>
    <w:p w:rsidR="00000000" w:rsidRPr="002E1A24" w:rsidP="002E1A24">
      <w:pPr>
        <w:pStyle w:val="BodyText"/>
      </w:pPr>
    </w:p>
    <w:p w:rsidR="00000000" w:rsidRPr="002E1A24" w:rsidP="002E1A24">
      <w:pPr>
        <w:pStyle w:val="AllowPageBreak"/>
      </w:pPr>
    </w:p>
    <w:p w:rsidR="00000000" w:rsidRPr="002E1A24" w:rsidP="002E1A24">
      <w:pPr>
        <w:pStyle w:val="Heading1"/>
      </w:pPr>
      <w:bookmarkStart w:id="12" w:name="O_399885"/>
      <w:bookmarkEnd w:id="12"/>
      <w:r w:rsidRPr="002E1A24">
        <w:t>Unit Sector(s)</w:t>
      </w:r>
    </w:p>
    <w:p w:rsidR="00000000" w:rsidRPr="002E1A24" w:rsidP="002E1A24">
      <w:pPr>
        <w:pStyle w:val="BodyText"/>
      </w:pPr>
      <w:r w:rsidRPr="002E1A24">
        <w:t>Not applicable.</w:t>
      </w:r>
    </w:p>
    <w:p w:rsidR="00000000" w:rsidRPr="002E1A24" w:rsidP="002E1A24">
      <w:pPr>
        <w:pStyle w:val="AllowPageBreak"/>
      </w:pPr>
    </w:p>
    <w:p w:rsidR="00000000" w:rsidRPr="002E1A24" w:rsidP="002E1A24">
      <w:pPr>
        <w:pStyle w:val="Heading1"/>
      </w:pPr>
      <w:bookmarkStart w:id="13" w:name="O_399874"/>
      <w:bookmarkEnd w:id="13"/>
      <w:r w:rsidRPr="002E1A24">
        <w:t>Competency Field</w:t>
      </w:r>
    </w:p>
    <w:tbl>
      <w:tblPr>
        <w:tblW w:w="0" w:type="auto"/>
        <w:tblLayout w:type="fixed"/>
        <w:tblCellMar>
          <w:left w:w="62" w:type="dxa"/>
          <w:right w:w="62" w:type="dxa"/>
        </w:tblCellMar>
        <w:tblLook w:val="0000"/>
      </w:tblPr>
      <w:tblGrid>
        <w:gridCol w:w="2700"/>
        <w:gridCol w:w="5760"/>
      </w:tblGrid>
      <w:tr w:rsidTr="004A6A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E1A24">
            <w:pPr>
              <w:pStyle w:val="BodyText"/>
              <w:rPr>
                <w:lang w:val="en-NZ"/>
              </w:rPr>
            </w:pPr>
            <w:r w:rsidRPr="002E1A24">
              <w:rPr>
                <w:rStyle w:val="SpecialBold"/>
              </w:rPr>
              <w:t xml:space="preserve">11) </w:t>
            </w:r>
          </w:p>
        </w:tc>
      </w:tr>
      <w:tr w:rsidTr="004A6A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E1A24" w:rsidP="002E1A24">
            <w:pPr>
              <w:pStyle w:val="BodyText"/>
            </w:pPr>
            <w:r w:rsidRPr="002E1A24">
              <w:t>Cross discipline.</w:t>
            </w:r>
          </w:p>
        </w:tc>
      </w:tr>
    </w:tbl>
    <w:p w:rsidR="00000000" w:rsidRPr="002E1A24" w:rsidP="002E1A24">
      <w:pPr>
        <w:pStyle w:val="BodyText"/>
      </w:pPr>
    </w:p>
    <w:p w:rsidR="00000000" w:rsidRPr="002E1A24" w:rsidP="002E1A24"/>
    <w:sectPr w:rsidSect="002E1A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A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6AC8" w:rsidP="004A6A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A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AC8" w:rsidP="002E1A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A6AC8" w:rsidP="002E1A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A6AC8" w:rsidP="002E1A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A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6AC8" w:rsidP="004A6A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A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AC8" w:rsidP="002E1A24">
    <w:pPr>
      <w:pStyle w:val="Header"/>
      <w:framePr w:wrap="around"/>
    </w:pPr>
    <w:r>
      <w:fldChar w:fldCharType="begin"/>
    </w:r>
    <w:r>
      <w:instrText xml:space="preserve"> TITLE   \* MERGEFORMAT </w:instrText>
    </w:r>
    <w:r>
      <w:fldChar w:fldCharType="separate"/>
    </w:r>
    <w:r>
      <w:t>UEGNSG108B Operate and monitor pipeline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6AC8" w:rsidP="002E1A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E8AE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480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E682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A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1A24"/>
    <w:pPr>
      <w:spacing w:before="360" w:after="60"/>
      <w:outlineLvl w:val="0"/>
    </w:pPr>
    <w:rPr>
      <w:sz w:val="32"/>
    </w:rPr>
  </w:style>
  <w:style w:type="paragraph" w:styleId="Heading2">
    <w:name w:val="heading 2"/>
    <w:basedOn w:val="HeadingBase"/>
    <w:next w:val="BodyText"/>
    <w:link w:val="Heading2Char"/>
    <w:qFormat/>
    <w:rsid w:val="002E1A24"/>
    <w:pPr>
      <w:keepLines/>
      <w:spacing w:before="240" w:after="120"/>
      <w:outlineLvl w:val="1"/>
    </w:pPr>
    <w:rPr>
      <w:sz w:val="28"/>
      <w:szCs w:val="40"/>
    </w:rPr>
  </w:style>
  <w:style w:type="paragraph" w:styleId="Heading3">
    <w:name w:val="heading 3"/>
    <w:basedOn w:val="HeadingBase"/>
    <w:next w:val="BodyText"/>
    <w:link w:val="Heading3Char"/>
    <w:qFormat/>
    <w:rsid w:val="002E1A24"/>
    <w:pPr>
      <w:spacing w:before="180" w:after="120"/>
      <w:outlineLvl w:val="2"/>
    </w:pPr>
    <w:rPr>
      <w:spacing w:val="-10"/>
      <w:kern w:val="32"/>
    </w:rPr>
  </w:style>
  <w:style w:type="paragraph" w:styleId="Heading4">
    <w:name w:val="heading 4"/>
    <w:basedOn w:val="HeadingBase"/>
    <w:next w:val="BodyText"/>
    <w:link w:val="Heading4Char"/>
    <w:qFormat/>
    <w:rsid w:val="002E1A24"/>
    <w:pPr>
      <w:spacing w:before="160" w:after="120"/>
      <w:outlineLvl w:val="3"/>
    </w:pPr>
    <w:rPr>
      <w:sz w:val="22"/>
    </w:rPr>
  </w:style>
  <w:style w:type="paragraph" w:styleId="Heading5">
    <w:name w:val="heading 5"/>
    <w:basedOn w:val="HeadingBase"/>
    <w:next w:val="Normal"/>
    <w:link w:val="Heading5Char"/>
    <w:qFormat/>
    <w:rsid w:val="002E1A24"/>
    <w:pPr>
      <w:spacing w:before="80"/>
      <w:outlineLvl w:val="4"/>
    </w:pPr>
    <w:rPr>
      <w:color w:val="918585"/>
      <w:sz w:val="20"/>
    </w:rPr>
  </w:style>
  <w:style w:type="paragraph" w:styleId="Heading6">
    <w:name w:val="heading 6"/>
    <w:basedOn w:val="HeadingBase"/>
    <w:next w:val="Normal"/>
    <w:link w:val="Heading6Char"/>
    <w:qFormat/>
    <w:rsid w:val="002E1A24"/>
    <w:pPr>
      <w:spacing w:before="60"/>
      <w:outlineLvl w:val="5"/>
    </w:pPr>
    <w:rPr>
      <w:color w:val="918585"/>
      <w:sz w:val="20"/>
    </w:rPr>
  </w:style>
  <w:style w:type="paragraph" w:styleId="Heading7">
    <w:name w:val="heading 7"/>
    <w:basedOn w:val="Normal"/>
    <w:next w:val="Normal"/>
    <w:link w:val="Heading7Char"/>
    <w:qFormat/>
    <w:rsid w:val="002E1A24"/>
    <w:pPr>
      <w:ind w:left="720"/>
      <w:outlineLvl w:val="6"/>
    </w:pPr>
    <w:rPr>
      <w:i/>
    </w:rPr>
  </w:style>
  <w:style w:type="paragraph" w:styleId="Heading8">
    <w:name w:val="heading 8"/>
    <w:basedOn w:val="Normal"/>
    <w:next w:val="Normal"/>
    <w:link w:val="Heading8Char"/>
    <w:qFormat/>
    <w:rsid w:val="002E1A24"/>
    <w:pPr>
      <w:ind w:left="720"/>
      <w:outlineLvl w:val="7"/>
    </w:pPr>
    <w:rPr>
      <w:i/>
    </w:rPr>
  </w:style>
  <w:style w:type="paragraph" w:styleId="Heading9">
    <w:name w:val="heading 9"/>
    <w:basedOn w:val="Normal"/>
    <w:next w:val="Normal"/>
    <w:link w:val="Heading9Char"/>
    <w:qFormat/>
    <w:rsid w:val="002E1A24"/>
    <w:pPr>
      <w:ind w:left="720"/>
      <w:outlineLvl w:val="8"/>
    </w:pPr>
    <w:rPr>
      <w:i/>
    </w:rPr>
  </w:style>
  <w:style w:type="character" w:default="1" w:styleId="DefaultParagraphFont">
    <w:name w:val="Default Paragraph Font"/>
    <w:uiPriority w:val="1"/>
    <w:unhideWhenUsed/>
    <w:rsid w:val="002E1A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1A24"/>
  </w:style>
  <w:style w:type="character" w:customStyle="1" w:styleId="Heading1Char">
    <w:name w:val="Heading 1 Char"/>
    <w:basedOn w:val="DefaultParagraphFont"/>
    <w:link w:val="Heading1"/>
    <w:rsid w:val="002E1A24"/>
    <w:rPr>
      <w:rFonts w:ascii="Times New Roman" w:eastAsia="Times New Roman" w:hAnsi="Times New Roman" w:cs="Times New Roman"/>
      <w:b/>
      <w:sz w:val="32"/>
      <w:szCs w:val="20"/>
      <w:lang w:eastAsia="en-US"/>
    </w:rPr>
  </w:style>
  <w:style w:type="paragraph" w:styleId="BodyText">
    <w:name w:val="Body Text"/>
    <w:basedOn w:val="Normal"/>
    <w:link w:val="BodyTextChar"/>
    <w:rsid w:val="002E1A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1A24"/>
    <w:rPr>
      <w:rFonts w:ascii="Times New Roman" w:eastAsia="Times New Roman" w:hAnsi="Times New Roman" w:cs="Times New Roman"/>
      <w:sz w:val="24"/>
      <w:lang w:val="en-US" w:eastAsia="en-US"/>
    </w:rPr>
  </w:style>
  <w:style w:type="paragraph" w:styleId="Footer">
    <w:name w:val="footer"/>
    <w:basedOn w:val="Normal"/>
    <w:link w:val="FooterChar"/>
    <w:rsid w:val="002E1A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1A24"/>
    <w:rPr>
      <w:rFonts w:ascii="Times New Roman" w:eastAsia="Times New Roman" w:hAnsi="Times New Roman" w:cs="Times New Roman"/>
      <w:sz w:val="16"/>
      <w:lang w:val="en-US" w:eastAsia="en-US"/>
    </w:rPr>
  </w:style>
  <w:style w:type="paragraph" w:styleId="ListBullet">
    <w:name w:val="List Bullet"/>
    <w:basedOn w:val="List"/>
    <w:rsid w:val="002E1A24"/>
    <w:pPr>
      <w:numPr>
        <w:numId w:val="14"/>
      </w:numPr>
      <w:tabs>
        <w:tab w:val="clear" w:pos="340"/>
      </w:tabs>
      <w:spacing w:before="40" w:after="40"/>
    </w:pPr>
  </w:style>
  <w:style w:type="character" w:customStyle="1" w:styleId="SpecialBold">
    <w:name w:val="Special Bold"/>
    <w:basedOn w:val="DefaultParagraphFont"/>
    <w:rsid w:val="002E1A24"/>
    <w:rPr>
      <w:b/>
      <w:spacing w:val="0"/>
    </w:rPr>
  </w:style>
  <w:style w:type="paragraph" w:styleId="ListBullet2">
    <w:name w:val="List Bullet 2"/>
    <w:basedOn w:val="List2"/>
    <w:rsid w:val="002E1A24"/>
    <w:pPr>
      <w:numPr>
        <w:numId w:val="15"/>
      </w:numPr>
      <w:tabs>
        <w:tab w:val="clear" w:pos="680"/>
      </w:tabs>
    </w:pPr>
  </w:style>
  <w:style w:type="paragraph" w:styleId="Header">
    <w:name w:val="header"/>
    <w:basedOn w:val="Normal"/>
    <w:link w:val="HeaderChar"/>
    <w:rsid w:val="002E1A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1A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1A24"/>
    <w:pPr>
      <w:spacing w:before="240" w:after="120"/>
      <w:outlineLvl w:val="0"/>
    </w:pPr>
    <w:rPr>
      <w:rFonts w:ascii="Times New Roman" w:hAnsi="Times New Roman"/>
      <w:b/>
      <w:sz w:val="28"/>
    </w:rPr>
  </w:style>
  <w:style w:type="paragraph" w:customStyle="1" w:styleId="AllowPageBreak">
    <w:name w:val="AllowPageBreak"/>
    <w:rsid w:val="002E1A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1A24"/>
    <w:pPr>
      <w:numPr>
        <w:numId w:val="3"/>
      </w:numPr>
      <w:tabs>
        <w:tab w:val="clear" w:pos="1021"/>
      </w:tabs>
      <w:ind w:left="1037" w:hanging="357"/>
    </w:pPr>
  </w:style>
  <w:style w:type="character" w:customStyle="1" w:styleId="Heading2Char">
    <w:name w:val="Heading 2 Char"/>
    <w:basedOn w:val="DefaultParagraphFont"/>
    <w:link w:val="Heading2"/>
    <w:rsid w:val="002E1A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1A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1A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1A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1A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1A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1A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1A24"/>
    <w:rPr>
      <w:rFonts w:ascii="Courier New" w:eastAsia="Times New Roman" w:hAnsi="Courier New" w:cs="Times New Roman"/>
      <w:i/>
      <w:szCs w:val="20"/>
      <w:lang w:val="en-US" w:eastAsia="en-US"/>
    </w:rPr>
  </w:style>
  <w:style w:type="paragraph" w:customStyle="1" w:styleId="HeadingBase">
    <w:name w:val="Heading Base"/>
    <w:rsid w:val="002E1A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1A24"/>
    <w:pPr>
      <w:tabs>
        <w:tab w:val="right" w:leader="dot" w:pos="9072"/>
      </w:tabs>
      <w:ind w:left="567"/>
    </w:pPr>
    <w:rPr>
      <w:szCs w:val="22"/>
    </w:rPr>
  </w:style>
  <w:style w:type="paragraph" w:customStyle="1" w:styleId="TOCBase">
    <w:name w:val="TOC Base"/>
    <w:rsid w:val="002E1A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1A24"/>
    <w:pPr>
      <w:tabs>
        <w:tab w:val="right" w:leader="dot" w:pos="9072"/>
      </w:tabs>
      <w:spacing w:before="40" w:after="40"/>
      <w:ind w:left="284"/>
    </w:pPr>
    <w:rPr>
      <w:rFonts w:ascii="Times New Roman" w:hAnsi="Times New Roman"/>
    </w:rPr>
  </w:style>
  <w:style w:type="paragraph" w:styleId="TOC1">
    <w:name w:val="toc 1"/>
    <w:basedOn w:val="TOCBase"/>
    <w:next w:val="Normal"/>
    <w:rsid w:val="002E1A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1A24"/>
    <w:pPr>
      <w:spacing w:before="5040"/>
      <w:jc w:val="center"/>
    </w:pPr>
    <w:rPr>
      <w:sz w:val="48"/>
      <w:szCs w:val="72"/>
      <w:lang w:val="en-US"/>
    </w:rPr>
  </w:style>
  <w:style w:type="character" w:customStyle="1" w:styleId="TitleChar">
    <w:name w:val="Title Char"/>
    <w:basedOn w:val="DefaultParagraphFont"/>
    <w:link w:val="Title"/>
    <w:rsid w:val="002E1A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1A24"/>
    <w:pPr>
      <w:tabs>
        <w:tab w:val="left" w:pos="3600"/>
        <w:tab w:val="left" w:pos="3958"/>
      </w:tabs>
    </w:pPr>
  </w:style>
  <w:style w:type="paragraph" w:styleId="List">
    <w:name w:val="List"/>
    <w:basedOn w:val="BodyText"/>
    <w:next w:val="BodyText"/>
    <w:rsid w:val="002E1A24"/>
    <w:pPr>
      <w:tabs>
        <w:tab w:val="left" w:pos="340"/>
      </w:tabs>
      <w:spacing w:before="60" w:after="60"/>
      <w:ind w:left="340" w:hanging="340"/>
    </w:pPr>
  </w:style>
  <w:style w:type="paragraph" w:customStyle="1" w:styleId="Note">
    <w:name w:val="Note"/>
    <w:basedOn w:val="BodyText"/>
    <w:rsid w:val="002E1A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1A24"/>
    <w:pPr>
      <w:framePr w:wrap="auto" w:hAnchor="text" w:y="6049"/>
    </w:pPr>
    <w:rPr>
      <w:color w:val="000000"/>
      <w:sz w:val="40"/>
    </w:rPr>
  </w:style>
  <w:style w:type="paragraph" w:customStyle="1" w:styleId="TOCTitle">
    <w:name w:val="TOCTitle"/>
    <w:basedOn w:val="Heading1"/>
    <w:rsid w:val="002E1A24"/>
    <w:pPr>
      <w:spacing w:after="240"/>
      <w:jc w:val="center"/>
      <w:outlineLvl w:val="9"/>
    </w:pPr>
    <w:rPr>
      <w:caps/>
    </w:rPr>
  </w:style>
  <w:style w:type="paragraph" w:customStyle="1" w:styleId="Version">
    <w:name w:val="Version"/>
    <w:rsid w:val="002E1A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1A24"/>
    <w:pPr>
      <w:keepNext w:val="0"/>
      <w:tabs>
        <w:tab w:val="right" w:pos="4176"/>
      </w:tabs>
      <w:ind w:left="198" w:hanging="198"/>
    </w:pPr>
    <w:rPr>
      <w:rFonts w:ascii="Garamond" w:hAnsi="Garamond"/>
    </w:rPr>
  </w:style>
  <w:style w:type="paragraph" w:styleId="IndexHeading">
    <w:name w:val="index heading"/>
    <w:basedOn w:val="Normal"/>
    <w:next w:val="Index1"/>
    <w:semiHidden/>
    <w:rsid w:val="002E1A24"/>
    <w:pPr>
      <w:spacing w:before="120" w:after="120"/>
    </w:pPr>
    <w:rPr>
      <w:rFonts w:ascii="Arial" w:hAnsi="Arial"/>
      <w:b/>
      <w:color w:val="918585"/>
      <w:sz w:val="24"/>
    </w:rPr>
  </w:style>
  <w:style w:type="paragraph" w:customStyle="1" w:styleId="Chapter">
    <w:name w:val="Chapter"/>
    <w:basedOn w:val="Normal"/>
    <w:rsid w:val="002E1A24"/>
    <w:pPr>
      <w:spacing w:before="240"/>
    </w:pPr>
    <w:rPr>
      <w:rFonts w:ascii="Times New Roman" w:hAnsi="Times New Roman"/>
      <w:smallCaps/>
      <w:spacing w:val="80"/>
      <w:sz w:val="28"/>
    </w:rPr>
  </w:style>
  <w:style w:type="paragraph" w:customStyle="1" w:styleId="InChapter">
    <w:name w:val="InChapter"/>
    <w:basedOn w:val="Heading3"/>
    <w:rsid w:val="002E1A24"/>
    <w:pPr>
      <w:spacing w:after="240"/>
      <w:outlineLvl w:val="9"/>
    </w:pPr>
    <w:rPr>
      <w:noProof/>
    </w:rPr>
  </w:style>
  <w:style w:type="paragraph" w:styleId="Index2">
    <w:name w:val="index 2"/>
    <w:basedOn w:val="Normal"/>
    <w:next w:val="Normal"/>
    <w:semiHidden/>
    <w:rsid w:val="002E1A24"/>
    <w:pPr>
      <w:tabs>
        <w:tab w:val="right" w:pos="4176"/>
      </w:tabs>
      <w:ind w:left="568" w:hanging="284"/>
    </w:pPr>
    <w:rPr>
      <w:rFonts w:ascii="Garamond" w:hAnsi="Garamond"/>
    </w:rPr>
  </w:style>
  <w:style w:type="paragraph" w:customStyle="1" w:styleId="Byline">
    <w:name w:val="Byline"/>
    <w:rsid w:val="002E1A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1A24"/>
    <w:pPr>
      <w:tabs>
        <w:tab w:val="clear" w:pos="3600"/>
        <w:tab w:val="clear" w:pos="3958"/>
      </w:tabs>
      <w:jc w:val="right"/>
    </w:pPr>
  </w:style>
  <w:style w:type="character" w:styleId="Emphasis">
    <w:name w:val="Emphasis"/>
    <w:basedOn w:val="DefaultParagraphFont"/>
    <w:qFormat/>
    <w:rsid w:val="002E1A24"/>
    <w:rPr>
      <w:i/>
    </w:rPr>
  </w:style>
  <w:style w:type="paragraph" w:styleId="Caption">
    <w:name w:val="caption"/>
    <w:basedOn w:val="BodyText"/>
    <w:next w:val="Normal"/>
    <w:qFormat/>
    <w:rsid w:val="002E1A24"/>
    <w:pPr>
      <w:framePr w:w="2268" w:hSpace="181" w:vSpace="181" w:wrap="around" w:vAnchor="text" w:hAnchor="page" w:x="1135" w:y="285" w:anchorLock="1"/>
    </w:pPr>
    <w:rPr>
      <w:i/>
    </w:rPr>
  </w:style>
  <w:style w:type="paragraph" w:customStyle="1" w:styleId="MiniTOCTitle">
    <w:name w:val="MiniTOCTitle"/>
    <w:basedOn w:val="Heading4"/>
    <w:rsid w:val="002E1A24"/>
    <w:pPr>
      <w:spacing w:before="240"/>
      <w:outlineLvl w:val="9"/>
    </w:pPr>
    <w:rPr>
      <w:noProof/>
      <w:sz w:val="24"/>
    </w:rPr>
  </w:style>
  <w:style w:type="paragraph" w:customStyle="1" w:styleId="MiniTOCItem">
    <w:name w:val="MiniTOCItem"/>
    <w:basedOn w:val="ListBullet"/>
    <w:rsid w:val="002E1A24"/>
    <w:pPr>
      <w:numPr>
        <w:numId w:val="0"/>
      </w:numPr>
      <w:tabs>
        <w:tab w:val="right" w:leader="dot" w:pos="6521"/>
      </w:tabs>
      <w:spacing w:before="0" w:after="0"/>
    </w:pPr>
  </w:style>
  <w:style w:type="paragraph" w:customStyle="1" w:styleId="TOFTitle">
    <w:name w:val="TOFTitle"/>
    <w:basedOn w:val="TOCTitle"/>
    <w:rsid w:val="002E1A24"/>
  </w:style>
  <w:style w:type="paragraph" w:styleId="TableofFigures">
    <w:name w:val="table of figures"/>
    <w:basedOn w:val="Normal"/>
    <w:next w:val="Normal"/>
    <w:semiHidden/>
    <w:rsid w:val="002E1A24"/>
    <w:pPr>
      <w:tabs>
        <w:tab w:val="right" w:leader="dot" w:pos="9072"/>
      </w:tabs>
      <w:ind w:left="970" w:hanging="403"/>
    </w:pPr>
    <w:rPr>
      <w:rFonts w:ascii="Times New Roman" w:hAnsi="Times New Roman"/>
      <w:b/>
    </w:rPr>
  </w:style>
  <w:style w:type="paragraph" w:styleId="ListNumber">
    <w:name w:val="List Number"/>
    <w:basedOn w:val="List"/>
    <w:rsid w:val="002E1A24"/>
    <w:pPr>
      <w:numPr>
        <w:numId w:val="12"/>
      </w:numPr>
    </w:pPr>
  </w:style>
  <w:style w:type="character" w:customStyle="1" w:styleId="WingdingSymbols">
    <w:name w:val="Wingding Symbols"/>
    <w:rsid w:val="002E1A24"/>
    <w:rPr>
      <w:rFonts w:ascii="Wingdings" w:hAnsi="Wingdings"/>
    </w:rPr>
  </w:style>
  <w:style w:type="paragraph" w:customStyle="1" w:styleId="TableHeading">
    <w:name w:val="Table Heading"/>
    <w:basedOn w:val="HeadingBase"/>
    <w:rsid w:val="002E1A24"/>
    <w:pPr>
      <w:keepLines/>
      <w:pBdr>
        <w:bottom w:val="single" w:sz="6" w:space="1" w:color="918585"/>
      </w:pBdr>
      <w:spacing w:before="240"/>
    </w:pPr>
  </w:style>
  <w:style w:type="character" w:customStyle="1" w:styleId="HotSpot">
    <w:name w:val="HotSpot"/>
    <w:rsid w:val="002E1A24"/>
    <w:rPr>
      <w:color w:val="0033CC"/>
      <w:u w:val="none"/>
    </w:rPr>
  </w:style>
  <w:style w:type="paragraph" w:customStyle="1" w:styleId="BodyTextRight">
    <w:name w:val="Body Text Right"/>
    <w:basedOn w:val="BodyText"/>
    <w:rsid w:val="002E1A24"/>
    <w:pPr>
      <w:spacing w:before="0" w:after="0"/>
      <w:jc w:val="right"/>
    </w:pPr>
  </w:style>
  <w:style w:type="paragraph" w:styleId="Index3">
    <w:name w:val="index 3"/>
    <w:basedOn w:val="ListNumber2"/>
    <w:next w:val="Normal"/>
    <w:semiHidden/>
    <w:rsid w:val="002E1A24"/>
    <w:pPr>
      <w:numPr>
        <w:numId w:val="0"/>
      </w:numPr>
      <w:tabs>
        <w:tab w:val="right" w:leader="dot" w:pos="4176"/>
      </w:tabs>
    </w:pPr>
  </w:style>
  <w:style w:type="paragraph" w:styleId="ListNumber2">
    <w:name w:val="List Number 2"/>
    <w:basedOn w:val="List2"/>
    <w:rsid w:val="002E1A24"/>
    <w:pPr>
      <w:numPr>
        <w:numId w:val="11"/>
      </w:numPr>
      <w:tabs>
        <w:tab w:val="clear" w:pos="1060"/>
      </w:tabs>
    </w:pPr>
  </w:style>
  <w:style w:type="paragraph" w:customStyle="1" w:styleId="MarginNote">
    <w:name w:val="Margin Note"/>
    <w:basedOn w:val="BodyText"/>
    <w:rsid w:val="002E1A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1A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1A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1A24"/>
    <w:rPr>
      <w:sz w:val="32"/>
    </w:rPr>
  </w:style>
  <w:style w:type="paragraph" w:customStyle="1" w:styleId="HeadingProcedure">
    <w:name w:val="Heading Procedure"/>
    <w:basedOn w:val="HeadingBase"/>
    <w:next w:val="Normal"/>
    <w:rsid w:val="002E1A24"/>
    <w:pPr>
      <w:tabs>
        <w:tab w:val="left" w:pos="0"/>
      </w:tabs>
      <w:spacing w:before="120" w:after="60"/>
    </w:pPr>
    <w:rPr>
      <w:i/>
      <w:color w:val="918585"/>
      <w:sz w:val="22"/>
    </w:rPr>
  </w:style>
  <w:style w:type="paragraph" w:customStyle="1" w:styleId="TableBodyText">
    <w:name w:val="Table Body Text"/>
    <w:basedOn w:val="BodyText"/>
    <w:rsid w:val="002E1A24"/>
    <w:pPr>
      <w:spacing w:before="60" w:after="60"/>
    </w:pPr>
  </w:style>
  <w:style w:type="paragraph" w:styleId="ListContinue">
    <w:name w:val="List Continue"/>
    <w:basedOn w:val="List"/>
    <w:rsid w:val="002E1A24"/>
    <w:pPr>
      <w:ind w:firstLine="0"/>
    </w:pPr>
  </w:style>
  <w:style w:type="paragraph" w:customStyle="1" w:styleId="ListNote">
    <w:name w:val="List Note"/>
    <w:basedOn w:val="List"/>
    <w:rsid w:val="002E1A24"/>
    <w:pPr>
      <w:pBdr>
        <w:top w:val="single" w:sz="6" w:space="2" w:color="918585"/>
        <w:bottom w:val="single" w:sz="6" w:space="2" w:color="918585"/>
      </w:pBdr>
      <w:tabs>
        <w:tab w:val="left" w:pos="1021"/>
      </w:tabs>
      <w:ind w:firstLine="0"/>
    </w:pPr>
  </w:style>
  <w:style w:type="paragraph" w:customStyle="1" w:styleId="Warning">
    <w:name w:val="Warning"/>
    <w:basedOn w:val="BodyText"/>
    <w:rsid w:val="002E1A24"/>
    <w:pPr>
      <w:shd w:val="clear" w:color="auto" w:fill="D9D9D9"/>
      <w:tabs>
        <w:tab w:val="left" w:pos="992"/>
      </w:tabs>
      <w:ind w:left="119" w:right="119"/>
    </w:pPr>
    <w:rPr>
      <w:sz w:val="20"/>
    </w:rPr>
  </w:style>
  <w:style w:type="paragraph" w:customStyle="1" w:styleId="MarginIcons">
    <w:name w:val="Margin Icons"/>
    <w:basedOn w:val="BodyText"/>
    <w:rsid w:val="002E1A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1A24"/>
    <w:rPr>
      <w:rFonts w:ascii="Courier New" w:hAnsi="Courier New"/>
    </w:rPr>
  </w:style>
  <w:style w:type="paragraph" w:customStyle="1" w:styleId="NoteBullet">
    <w:name w:val="Note Bullet"/>
    <w:basedOn w:val="Note"/>
    <w:rsid w:val="002E1A24"/>
    <w:pPr>
      <w:tabs>
        <w:tab w:val="clear" w:pos="680"/>
      </w:tabs>
      <w:spacing w:before="60" w:after="60"/>
    </w:pPr>
  </w:style>
  <w:style w:type="paragraph" w:customStyle="1" w:styleId="SubHeading2">
    <w:name w:val="SubHeading2"/>
    <w:basedOn w:val="HeadingBase"/>
    <w:rsid w:val="002E1A24"/>
    <w:pPr>
      <w:spacing w:before="240" w:after="60"/>
    </w:pPr>
    <w:rPr>
      <w:sz w:val="20"/>
    </w:rPr>
  </w:style>
  <w:style w:type="paragraph" w:customStyle="1" w:styleId="SubHeading1">
    <w:name w:val="SubHeading1"/>
    <w:basedOn w:val="HeadingBase"/>
    <w:rsid w:val="002E1A24"/>
    <w:pPr>
      <w:spacing w:before="240" w:after="60"/>
    </w:pPr>
    <w:rPr>
      <w:color w:val="918585"/>
      <w:sz w:val="22"/>
    </w:rPr>
  </w:style>
  <w:style w:type="paragraph" w:customStyle="1" w:styleId="SideHeading">
    <w:name w:val="Side Heading"/>
    <w:basedOn w:val="HeadingBase"/>
    <w:rsid w:val="002E1A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1A24"/>
    <w:pPr>
      <w:numPr>
        <w:numId w:val="13"/>
      </w:numPr>
    </w:pPr>
  </w:style>
  <w:style w:type="paragraph" w:styleId="PlainText">
    <w:name w:val="Plain Text"/>
    <w:basedOn w:val="Normal"/>
    <w:link w:val="PlainTextChar"/>
    <w:rsid w:val="002E1A24"/>
    <w:rPr>
      <w:sz w:val="20"/>
    </w:rPr>
  </w:style>
  <w:style w:type="character" w:customStyle="1" w:styleId="PlainTextChar">
    <w:name w:val="Plain Text Char"/>
    <w:basedOn w:val="DefaultParagraphFont"/>
    <w:link w:val="PlainText"/>
    <w:rsid w:val="002E1A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1A24"/>
    <w:rPr>
      <w:b/>
      <w:smallCaps/>
    </w:rPr>
  </w:style>
  <w:style w:type="paragraph" w:customStyle="1" w:styleId="TableListNumber">
    <w:name w:val="Table List Number"/>
    <w:basedOn w:val="ListNumber"/>
    <w:rsid w:val="002E1A24"/>
    <w:pPr>
      <w:numPr>
        <w:numId w:val="0"/>
      </w:numPr>
    </w:pPr>
  </w:style>
  <w:style w:type="paragraph" w:styleId="TOC4">
    <w:name w:val="toc 4"/>
    <w:basedOn w:val="TOCBase"/>
    <w:next w:val="Normal"/>
    <w:semiHidden/>
    <w:rsid w:val="002E1A24"/>
    <w:pPr>
      <w:tabs>
        <w:tab w:val="right" w:leader="dot" w:pos="9071"/>
      </w:tabs>
      <w:ind w:left="1701"/>
    </w:pPr>
  </w:style>
  <w:style w:type="paragraph" w:customStyle="1" w:styleId="ListAlpha">
    <w:name w:val="List Alpha"/>
    <w:basedOn w:val="List"/>
    <w:rsid w:val="002E1A24"/>
    <w:pPr>
      <w:numPr>
        <w:numId w:val="10"/>
      </w:numPr>
    </w:pPr>
  </w:style>
  <w:style w:type="paragraph" w:customStyle="1" w:styleId="ListAlpha2">
    <w:name w:val="List Alpha 2"/>
    <w:basedOn w:val="List2"/>
    <w:rsid w:val="002E1A24"/>
    <w:pPr>
      <w:numPr>
        <w:numId w:val="9"/>
      </w:numPr>
    </w:pPr>
  </w:style>
  <w:style w:type="paragraph" w:styleId="List2">
    <w:name w:val="List 2"/>
    <w:basedOn w:val="BodyText"/>
    <w:rsid w:val="002E1A24"/>
    <w:pPr>
      <w:tabs>
        <w:tab w:val="left" w:pos="680"/>
      </w:tabs>
      <w:spacing w:before="60" w:after="60"/>
      <w:ind w:left="680" w:hanging="340"/>
    </w:pPr>
  </w:style>
  <w:style w:type="paragraph" w:styleId="List3">
    <w:name w:val="List 3"/>
    <w:basedOn w:val="BodyText"/>
    <w:rsid w:val="002E1A24"/>
    <w:pPr>
      <w:tabs>
        <w:tab w:val="left" w:pos="1021"/>
      </w:tabs>
      <w:spacing w:before="60" w:after="60"/>
      <w:ind w:left="1020" w:hanging="340"/>
    </w:pPr>
  </w:style>
  <w:style w:type="paragraph" w:styleId="List4">
    <w:name w:val="List 4"/>
    <w:basedOn w:val="BodyText"/>
    <w:rsid w:val="002E1A24"/>
    <w:pPr>
      <w:tabs>
        <w:tab w:val="left" w:pos="1361"/>
      </w:tabs>
      <w:spacing w:before="60" w:after="60"/>
      <w:ind w:left="1361" w:hanging="340"/>
    </w:pPr>
  </w:style>
  <w:style w:type="paragraph" w:styleId="List5">
    <w:name w:val="List 5"/>
    <w:basedOn w:val="BodyText"/>
    <w:rsid w:val="002E1A24"/>
    <w:pPr>
      <w:tabs>
        <w:tab w:val="left" w:pos="1701"/>
      </w:tabs>
      <w:spacing w:before="60" w:after="60"/>
      <w:ind w:left="1701" w:hanging="340"/>
    </w:pPr>
  </w:style>
  <w:style w:type="paragraph" w:styleId="ListBullet4">
    <w:name w:val="List Bullet 4"/>
    <w:basedOn w:val="List4"/>
    <w:rsid w:val="002E1A24"/>
    <w:pPr>
      <w:numPr>
        <w:numId w:val="4"/>
      </w:numPr>
    </w:pPr>
  </w:style>
  <w:style w:type="paragraph" w:styleId="ListBullet5">
    <w:name w:val="List Bullet 5"/>
    <w:basedOn w:val="List5"/>
    <w:rsid w:val="002E1A24"/>
    <w:pPr>
      <w:numPr>
        <w:numId w:val="5"/>
      </w:numPr>
    </w:pPr>
  </w:style>
  <w:style w:type="paragraph" w:styleId="ListContinue2">
    <w:name w:val="List Continue 2"/>
    <w:basedOn w:val="List2"/>
    <w:rsid w:val="002E1A24"/>
    <w:pPr>
      <w:ind w:firstLine="0"/>
    </w:pPr>
  </w:style>
  <w:style w:type="paragraph" w:styleId="ListContinue3">
    <w:name w:val="List Continue 3"/>
    <w:basedOn w:val="List3"/>
    <w:rsid w:val="002E1A24"/>
    <w:pPr>
      <w:ind w:left="1021" w:firstLine="0"/>
    </w:pPr>
  </w:style>
  <w:style w:type="paragraph" w:styleId="ListContinue4">
    <w:name w:val="List Continue 4"/>
    <w:basedOn w:val="List4"/>
    <w:rsid w:val="002E1A24"/>
    <w:pPr>
      <w:ind w:firstLine="0"/>
    </w:pPr>
  </w:style>
  <w:style w:type="paragraph" w:styleId="ListContinue5">
    <w:name w:val="List Continue 5"/>
    <w:basedOn w:val="List5"/>
    <w:rsid w:val="002E1A24"/>
    <w:pPr>
      <w:ind w:firstLine="0"/>
    </w:pPr>
  </w:style>
  <w:style w:type="paragraph" w:styleId="ListNumber3">
    <w:name w:val="List Number 3"/>
    <w:basedOn w:val="List3"/>
    <w:rsid w:val="002E1A24"/>
    <w:pPr>
      <w:numPr>
        <w:numId w:val="6"/>
      </w:numPr>
    </w:pPr>
  </w:style>
  <w:style w:type="paragraph" w:styleId="ListNumber4">
    <w:name w:val="List Number 4"/>
    <w:basedOn w:val="List4"/>
    <w:rsid w:val="002E1A24"/>
    <w:pPr>
      <w:numPr>
        <w:numId w:val="7"/>
      </w:numPr>
    </w:pPr>
  </w:style>
  <w:style w:type="paragraph" w:styleId="ListNumber5">
    <w:name w:val="List Number 5"/>
    <w:basedOn w:val="List5"/>
    <w:rsid w:val="002E1A24"/>
    <w:pPr>
      <w:numPr>
        <w:numId w:val="8"/>
      </w:numPr>
    </w:pPr>
  </w:style>
  <w:style w:type="paragraph" w:styleId="BlockText">
    <w:name w:val="Block Text"/>
    <w:basedOn w:val="Normal"/>
    <w:rsid w:val="002E1A24"/>
    <w:pPr>
      <w:spacing w:after="120"/>
      <w:ind w:left="1440" w:right="1440"/>
    </w:pPr>
  </w:style>
  <w:style w:type="character" w:customStyle="1" w:styleId="Subscript">
    <w:name w:val="Subscript"/>
    <w:basedOn w:val="DefaultParagraphFont"/>
    <w:rsid w:val="002E1A24"/>
    <w:rPr>
      <w:sz w:val="16"/>
      <w:vertAlign w:val="subscript"/>
    </w:rPr>
  </w:style>
  <w:style w:type="character" w:customStyle="1" w:styleId="Superscript">
    <w:name w:val="Superscript"/>
    <w:basedOn w:val="DefaultParagraphFont"/>
    <w:rsid w:val="002E1A24"/>
    <w:rPr>
      <w:sz w:val="16"/>
      <w:vertAlign w:val="superscript"/>
    </w:rPr>
  </w:style>
  <w:style w:type="character" w:customStyle="1" w:styleId="Symbols">
    <w:name w:val="Symbols"/>
    <w:basedOn w:val="DefaultParagraphFont"/>
    <w:rsid w:val="002E1A24"/>
    <w:rPr>
      <w:rFonts w:ascii="Symbol" w:hAnsi="Symbol"/>
    </w:rPr>
  </w:style>
  <w:style w:type="character" w:customStyle="1" w:styleId="MenuOptions">
    <w:name w:val="Menu Options"/>
    <w:basedOn w:val="DefaultParagraphFont"/>
    <w:rsid w:val="002E1A24"/>
    <w:rPr>
      <w:rFonts w:ascii="Arial Narrow" w:hAnsi="Arial Narrow"/>
      <w:smallCaps/>
    </w:rPr>
  </w:style>
  <w:style w:type="character" w:customStyle="1" w:styleId="Buttons">
    <w:name w:val="Buttons"/>
    <w:basedOn w:val="DefaultParagraphFont"/>
    <w:rsid w:val="002E1A24"/>
    <w:rPr>
      <w:b/>
    </w:rPr>
  </w:style>
  <w:style w:type="character" w:customStyle="1" w:styleId="Underlined">
    <w:name w:val="Underlined"/>
    <w:basedOn w:val="DefaultParagraphFont"/>
    <w:rsid w:val="002E1A24"/>
    <w:rPr>
      <w:u w:val="single"/>
    </w:rPr>
  </w:style>
  <w:style w:type="paragraph" w:customStyle="1" w:styleId="TableBodyTextRight">
    <w:name w:val="Table Body Text Right"/>
    <w:basedOn w:val="TableBodyText"/>
    <w:rsid w:val="002E1A24"/>
    <w:pPr>
      <w:widowControl w:val="0"/>
      <w:autoSpaceDE w:val="0"/>
      <w:autoSpaceDN w:val="0"/>
      <w:adjustRightInd w:val="0"/>
      <w:jc w:val="right"/>
    </w:pPr>
    <w:rPr>
      <w:rFonts w:cs="Arial"/>
      <w:szCs w:val="18"/>
    </w:rPr>
  </w:style>
  <w:style w:type="paragraph" w:customStyle="1" w:styleId="CopyrightText">
    <w:name w:val="Copyright Text"/>
    <w:basedOn w:val="BodyText"/>
    <w:rsid w:val="002E1A24"/>
    <w:rPr>
      <w:sz w:val="18"/>
    </w:rPr>
  </w:style>
  <w:style w:type="paragraph" w:customStyle="1" w:styleId="BodySmallRight">
    <w:name w:val="Body Small Right"/>
    <w:basedOn w:val="BodyTextRight"/>
    <w:rsid w:val="002E1A24"/>
    <w:rPr>
      <w:sz w:val="18"/>
      <w:szCs w:val="18"/>
    </w:rPr>
  </w:style>
  <w:style w:type="paragraph" w:customStyle="1" w:styleId="MarginEdition">
    <w:name w:val="Margin Edition"/>
    <w:basedOn w:val="MarginNote"/>
    <w:rsid w:val="002E1A24"/>
    <w:pPr>
      <w:spacing w:before="0" w:after="0"/>
    </w:pPr>
    <w:rPr>
      <w:rFonts w:ascii="Times New Roman" w:hAnsi="Times New Roman"/>
      <w:color w:val="999999"/>
    </w:rPr>
  </w:style>
  <w:style w:type="paragraph" w:customStyle="1" w:styleId="Spacer">
    <w:name w:val="Spacer"/>
    <w:basedOn w:val="Normal"/>
    <w:rsid w:val="002E1A24"/>
    <w:rPr>
      <w:sz w:val="2"/>
      <w:szCs w:val="2"/>
    </w:rPr>
  </w:style>
  <w:style w:type="character" w:customStyle="1" w:styleId="Small">
    <w:name w:val="Small"/>
    <w:basedOn w:val="DefaultParagraphFont"/>
    <w:rsid w:val="002E1A24"/>
    <w:rPr>
      <w:sz w:val="16"/>
    </w:rPr>
  </w:style>
  <w:style w:type="paragraph" w:customStyle="1" w:styleId="WideTable">
    <w:name w:val="Wide Table"/>
    <w:basedOn w:val="Normal"/>
    <w:rsid w:val="002E1A24"/>
    <w:pPr>
      <w:ind w:left="-1418"/>
    </w:pPr>
    <w:rPr>
      <w:sz w:val="2"/>
      <w:szCs w:val="2"/>
    </w:rPr>
  </w:style>
  <w:style w:type="character" w:styleId="PageNumber">
    <w:name w:val="page number"/>
    <w:basedOn w:val="DefaultParagraphFont"/>
    <w:rsid w:val="002E1A24"/>
  </w:style>
  <w:style w:type="paragraph" w:styleId="Quote">
    <w:name w:val="Quote"/>
    <w:basedOn w:val="Heading1"/>
    <w:link w:val="QuoteChar"/>
    <w:qFormat/>
    <w:rsid w:val="002E1A24"/>
    <w:rPr>
      <w:b w:val="0"/>
      <w:sz w:val="72"/>
      <w:szCs w:val="72"/>
      <w:lang w:val="en-NZ"/>
    </w:rPr>
  </w:style>
  <w:style w:type="character" w:customStyle="1" w:styleId="QuoteChar">
    <w:name w:val="Quote Char"/>
    <w:basedOn w:val="DefaultParagraphFont"/>
    <w:link w:val="Quote"/>
    <w:rsid w:val="002E1A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1A24"/>
    <w:pPr>
      <w:pageBreakBefore/>
    </w:pPr>
  </w:style>
  <w:style w:type="paragraph" w:customStyle="1" w:styleId="Border">
    <w:name w:val="Border"/>
    <w:basedOn w:val="Normal"/>
    <w:qFormat/>
    <w:rsid w:val="002E1A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1A24"/>
    <w:rPr>
      <w:b/>
      <w:bCs/>
      <w:i/>
      <w:iCs/>
      <w:color w:val="auto"/>
    </w:rPr>
  </w:style>
  <w:style w:type="paragraph" w:styleId="IntenseQuote">
    <w:name w:val="Intense Quote"/>
    <w:basedOn w:val="Normal"/>
    <w:next w:val="Normal"/>
    <w:link w:val="IntenseQuoteChar"/>
    <w:uiPriority w:val="30"/>
    <w:qFormat/>
    <w:rsid w:val="002E1A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1A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1A24"/>
    <w:rPr>
      <w:smallCaps/>
      <w:color w:val="auto"/>
      <w:u w:val="single"/>
    </w:rPr>
  </w:style>
  <w:style w:type="character" w:styleId="IntenseReference">
    <w:name w:val="Intense Reference"/>
    <w:basedOn w:val="DefaultParagraphFont"/>
    <w:uiPriority w:val="32"/>
    <w:qFormat/>
    <w:rsid w:val="002E1A24"/>
    <w:rPr>
      <w:b/>
      <w:bCs/>
      <w:smallCaps/>
      <w:color w:val="auto"/>
      <w:spacing w:val="5"/>
      <w:u w:val="single"/>
    </w:rPr>
  </w:style>
  <w:style w:type="paragraph" w:customStyle="1" w:styleId="2ColumnHeading">
    <w:name w:val="2Column Heading"/>
    <w:basedOn w:val="BodyText"/>
    <w:qFormat/>
    <w:rsid w:val="002E1A24"/>
    <w:pPr>
      <w:spacing w:after="60"/>
      <w:ind w:left="-2268"/>
    </w:pPr>
    <w:rPr>
      <w:b/>
    </w:rPr>
  </w:style>
  <w:style w:type="paragraph" w:customStyle="1" w:styleId="Heading1TOC">
    <w:name w:val="Heading1 TOC"/>
    <w:basedOn w:val="Normal"/>
    <w:qFormat/>
    <w:rsid w:val="002E1A24"/>
    <w:pPr>
      <w:spacing w:before="240" w:after="120"/>
    </w:pPr>
    <w:rPr>
      <w:rFonts w:ascii="Times New Roman" w:hAnsi="Times New Roman"/>
      <w:b/>
      <w:sz w:val="32"/>
    </w:rPr>
  </w:style>
  <w:style w:type="paragraph" w:customStyle="1" w:styleId="Heading2TOC">
    <w:name w:val="Heading2 TOC"/>
    <w:basedOn w:val="Normal"/>
    <w:qFormat/>
    <w:rsid w:val="002E1A24"/>
    <w:pPr>
      <w:spacing w:before="240" w:after="60"/>
    </w:pPr>
    <w:rPr>
      <w:rFonts w:ascii="Times New Roman" w:hAnsi="Times New Roman"/>
      <w:b/>
      <w:sz w:val="28"/>
    </w:rPr>
  </w:style>
  <w:style w:type="character" w:customStyle="1" w:styleId="Underline">
    <w:name w:val="Underline"/>
    <w:basedOn w:val="DefaultParagraphFont"/>
    <w:qFormat/>
    <w:rsid w:val="002E1A24"/>
    <w:rPr>
      <w:u w:val="single"/>
    </w:rPr>
  </w:style>
  <w:style w:type="character" w:customStyle="1" w:styleId="BoldandItalics">
    <w:name w:val="Bold and Italics"/>
    <w:qFormat/>
    <w:rsid w:val="002E1A24"/>
    <w:rPr>
      <w:b/>
      <w:i/>
      <w:u w:val="none"/>
    </w:rPr>
  </w:style>
  <w:style w:type="paragraph" w:styleId="BalloonText">
    <w:name w:val="Balloon Text"/>
    <w:basedOn w:val="Normal"/>
    <w:link w:val="BalloonTextChar"/>
    <w:rsid w:val="002E1A24"/>
    <w:rPr>
      <w:rFonts w:ascii="Tahoma" w:hAnsi="Tahoma" w:cs="Tahoma"/>
      <w:sz w:val="16"/>
      <w:szCs w:val="16"/>
    </w:rPr>
  </w:style>
  <w:style w:type="character" w:customStyle="1" w:styleId="BalloonTextChar">
    <w:name w:val="Balloon Text Char"/>
    <w:basedOn w:val="DefaultParagraphFont"/>
    <w:link w:val="BalloonText"/>
    <w:rsid w:val="002E1A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1A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1A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2719</Words>
  <Characters>16746</Characters>
  <Application>Microsoft Office Word</Application>
  <DocSecurity>0</DocSecurity>
  <Lines>739</Lines>
  <Paragraphs>303</Paragraphs>
  <ScaleCrop>false</ScaleCrop>
  <Company>Author-it Software Corporation Ltd.</Company>
  <LinksUpToDate>false</LinksUpToDate>
  <CharactersWithSpaces>19231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UEGNSG108B Operate and monitor pipeline control systems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2012-05-26T22:00:00Z</dcterms:created>
  <dcterms:modified xsi:type="dcterms:W3CDTF">2012-05-26T22:00:00Z</dcterms:modified>
</cp:coreProperties>
</file>