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FAB" w:rsidP="00861FAB">
      <w:pPr>
        <w:pStyle w:val="Title"/>
      </w:pPr>
      <w:r>
        <w:fldChar w:fldCharType="begin"/>
      </w:r>
      <w:r>
        <w:instrText xml:space="preserve"> TITLE   \* MERGEFORMAT </w:instrText>
      </w:r>
      <w:r>
        <w:fldChar w:fldCharType="separate"/>
      </w:r>
      <w:r>
        <w:t>UEGNSG106B Coordinate repair of pipeline, facilities and equipment</w:t>
      </w:r>
      <w:r>
        <w:fldChar w:fldCharType="end"/>
      </w:r>
    </w:p>
    <w:p w:rsidR="00861FAB" w:rsidP="00861FAB">
      <w:pPr>
        <w:pStyle w:val="Version"/>
        <w:sectPr w:rsidSect="009D04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496" w:rsidP="009D0496">
      <w:pPr>
        <w:pStyle w:val="SuperHeading"/>
      </w:pPr>
      <w:r w:rsidRPr="009D0496">
        <w:t>UEGNSG106B Coordinate repair of pipeline, facilities and equipment</w:t>
      </w:r>
    </w:p>
    <w:p w:rsidR="00000000" w:rsidRPr="009D0496" w:rsidP="009D0496">
      <w:pPr>
        <w:pStyle w:val="Heading1"/>
      </w:pPr>
      <w:bookmarkStart w:id="1" w:name="O_399840"/>
      <w:bookmarkEnd w:id="1"/>
      <w:r w:rsidRPr="009D0496">
        <w:t>Modification History</w:t>
      </w:r>
    </w:p>
    <w:p w:rsidR="00000000" w:rsidRPr="009D0496" w:rsidP="009D0496">
      <w:pPr>
        <w:pStyle w:val="BodyText"/>
      </w:pPr>
      <w:r w:rsidRPr="009D0496">
        <w:t>Not applicable.</w:t>
      </w:r>
    </w:p>
    <w:p w:rsidR="00000000" w:rsidRPr="009D0496" w:rsidP="009D0496">
      <w:pPr>
        <w:pStyle w:val="AllowPageBreak"/>
      </w:pPr>
    </w:p>
    <w:p w:rsidR="00000000" w:rsidRPr="009D0496" w:rsidP="009D0496">
      <w:pPr>
        <w:pStyle w:val="Heading1"/>
      </w:pPr>
      <w:bookmarkStart w:id="2" w:name="O_399838"/>
      <w:bookmarkEnd w:id="2"/>
      <w:r w:rsidRPr="009D0496">
        <w:t>Unit Descriptor</w:t>
      </w:r>
    </w:p>
    <w:tbl>
      <w:tblPr>
        <w:tblW w:w="0" w:type="auto"/>
        <w:tblLayout w:type="fixed"/>
        <w:tblCellMar>
          <w:left w:w="62" w:type="dxa"/>
          <w:right w:w="62" w:type="dxa"/>
        </w:tblCellMar>
        <w:tblLook w:val="0000"/>
      </w:tblPr>
      <w:tblGrid>
        <w:gridCol w:w="2700"/>
        <w:gridCol w:w="5760"/>
      </w:tblGrid>
      <w:tr w:rsidTr="00861F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1) Scope:</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04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1.1) Descriptor</w:t>
            </w:r>
          </w:p>
        </w:tc>
      </w:tr>
      <w:tr w:rsidTr="00861FA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 xml:space="preserve">This Unit describes the skills and knowledge required to coordinate the repair of gas pipelines, facilities and equipment. The competency standard will also cover the types of faults that are found; the facilities and equipment used; the documentation and </w:t>
            </w:r>
            <w:r w:rsidRPr="009D0496">
              <w:t>the reports and record keeping that is performed.</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3" w:name="O_399827"/>
      <w:bookmarkEnd w:id="3"/>
      <w:r w:rsidRPr="009D0496">
        <w:t>Application of the Unit</w:t>
      </w:r>
    </w:p>
    <w:tbl>
      <w:tblPr>
        <w:tblW w:w="0" w:type="auto"/>
        <w:tblLayout w:type="fixed"/>
        <w:tblCellMar>
          <w:left w:w="62" w:type="dxa"/>
          <w:right w:w="62" w:type="dxa"/>
        </w:tblCellMar>
        <w:tblLook w:val="0000"/>
      </w:tblPr>
      <w:tblGrid>
        <w:gridCol w:w="2672"/>
        <w:gridCol w:w="5699"/>
      </w:tblGrid>
      <w:tr w:rsidTr="00861F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2)</w:t>
            </w:r>
          </w:p>
        </w:tc>
      </w:tr>
      <w:tr w:rsidTr="00861F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This competency standard shall apply to any basic and safe work site where Gas Industry operations occur. It could also apply, where applicable to other workplaces in the electricity supply industry (transmission and distribution and generation), the elect</w:t>
            </w:r>
            <w:r w:rsidRPr="009D0496">
              <w:t>rotechnology industry and the water industry, subject to all Occupational Health and Safety and duty of care requirements being met for the workplace.</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4" w:name="O_399834"/>
      <w:bookmarkEnd w:id="4"/>
      <w:r w:rsidRPr="009D0496">
        <w:t>Licensing/Regulatory Information</w:t>
      </w:r>
    </w:p>
    <w:tbl>
      <w:tblPr>
        <w:tblW w:w="0" w:type="auto"/>
        <w:tblLayout w:type="fixed"/>
        <w:tblCellMar>
          <w:left w:w="62" w:type="dxa"/>
          <w:right w:w="62" w:type="dxa"/>
        </w:tblCellMar>
        <w:tblLook w:val="0000"/>
      </w:tblPr>
      <w:tblGrid>
        <w:gridCol w:w="2700"/>
        <w:gridCol w:w="5760"/>
      </w:tblGrid>
      <w:tr w:rsidTr="00861F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 xml:space="preserve">3) </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The skills and knowledge described in this unit are not subject to licence regulation other than those directly related to Occupational Health and Safety, gas/electricity/water industry safety and compliance, industrial relations, environmental protection,</w:t>
            </w:r>
            <w:r w:rsidRPr="009D0496">
              <w:t xml:space="preserve"> </w:t>
            </w:r>
            <w:r w:rsidRPr="009D0496">
              <w:t>telecommunications, anti discrimination and training. Commonwealth, State/Territory or Local Government legislation and regulations may exist that limit the age at which a person can operate certain equipment.</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5" w:name="O_399835"/>
      <w:bookmarkEnd w:id="5"/>
      <w:r w:rsidRPr="009D0496">
        <w:t>Pre-Requisites</w:t>
      </w:r>
    </w:p>
    <w:tbl>
      <w:tblPr>
        <w:tblW w:w="0" w:type="auto"/>
        <w:tblLayout w:type="fixed"/>
        <w:tblCellMar>
          <w:left w:w="62" w:type="dxa"/>
          <w:right w:w="62" w:type="dxa"/>
        </w:tblCellMar>
        <w:tblLook w:val="0000"/>
      </w:tblPr>
      <w:tblGrid>
        <w:gridCol w:w="2700"/>
        <w:gridCol w:w="1800"/>
        <w:gridCol w:w="3960"/>
      </w:tblGrid>
      <w:tr w:rsidTr="00861F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 xml:space="preserve">4) </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4.1)</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Granting of competency in this unit shall be made only after competency in the following unit(s) has/have been confirmed:</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Nil</w:t>
            </w:r>
          </w:p>
        </w:tc>
        <w:tc>
          <w:tcPr>
            <w:tcW w:w="3960" w:type="dxa"/>
            <w:tcBorders>
              <w:top w:val="nil"/>
              <w:left w:val="nil"/>
              <w:bottom w:val="nil"/>
              <w:right w:val="nil"/>
            </w:tcBorders>
            <w:tcMar>
              <w:top w:w="0" w:type="dxa"/>
              <w:left w:w="62" w:type="dxa"/>
              <w:bottom w:w="0" w:type="dxa"/>
              <w:right w:w="62" w:type="dxa"/>
            </w:tcMar>
          </w:tcPr>
          <w:p w:rsidR="00000000" w:rsidRPr="009D0496" w:rsidP="009D0496">
            <w:pPr>
              <w:pStyle w:val="BodyText"/>
            </w:pPr>
          </w:p>
        </w:tc>
      </w:tr>
    </w:tbl>
    <w:p w:rsidR="00000000" w:rsidRPr="009D0496" w:rsidP="009D049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 xml:space="preserve">4.2) </w:t>
            </w:r>
          </w:p>
          <w:p w:rsidR="00000000" w:rsidP="009D0496">
            <w:pPr>
              <w:pStyle w:val="BodyText"/>
              <w:rPr>
                <w:lang w:val="en-NZ"/>
              </w:rPr>
            </w:pPr>
            <w:r w:rsidRPr="009D0496">
              <w:t>Participants are best equipped to achieve this unit if they have reading, writing and numeracy skills indicated by the following scales. Description of each scale is given in Volume 2, Part 3 'Literacy and Numeracy'</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Reading</w:t>
            </w:r>
          </w:p>
        </w:tc>
        <w:tc>
          <w:tcPr>
            <w:tcW w:w="81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w:t>
            </w:r>
          </w:p>
        </w:tc>
        <w:tc>
          <w:tcPr>
            <w:tcW w:w="9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Writing</w:t>
            </w: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w:t>
            </w:r>
          </w:p>
        </w:tc>
        <w:tc>
          <w:tcPr>
            <w:tcW w:w="12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Numeracy</w:t>
            </w:r>
          </w:p>
        </w:tc>
        <w:tc>
          <w:tcPr>
            <w:tcW w:w="72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3</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6" w:name="O_399831"/>
      <w:bookmarkEnd w:id="6"/>
      <w:r w:rsidRPr="009D0496">
        <w:t>Employability Skills Information</w:t>
      </w:r>
    </w:p>
    <w:tbl>
      <w:tblPr>
        <w:tblW w:w="0" w:type="auto"/>
        <w:tblLayout w:type="fixed"/>
        <w:tblCellMar>
          <w:left w:w="62" w:type="dxa"/>
          <w:right w:w="62" w:type="dxa"/>
        </w:tblCellMar>
        <w:tblLook w:val="0000"/>
      </w:tblPr>
      <w:tblGrid>
        <w:gridCol w:w="2700"/>
        <w:gridCol w:w="5760"/>
      </w:tblGrid>
      <w:tr w:rsidTr="00861F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 xml:space="preserve">5) </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This unit contains Employability Skills</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D0496">
              <w:t>requirements.</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7" w:name="O_399830"/>
      <w:bookmarkEnd w:id="7"/>
      <w:r w:rsidRPr="009D0496">
        <w:t>Elements and Performance Criteria Pre-Content</w:t>
      </w:r>
    </w:p>
    <w:tbl>
      <w:tblPr>
        <w:tblW w:w="0" w:type="auto"/>
        <w:tblLayout w:type="fixed"/>
        <w:tblCellMar>
          <w:left w:w="62" w:type="dxa"/>
          <w:right w:w="62" w:type="dxa"/>
        </w:tblCellMar>
        <w:tblLook w:val="0000"/>
      </w:tblPr>
      <w:tblGrid>
        <w:gridCol w:w="2700"/>
        <w:gridCol w:w="5760"/>
      </w:tblGrid>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6)</w:t>
            </w:r>
            <w:r w:rsidRPr="009D049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Performance Criteria describe the required performance needed to demonstrate achievement of the element</w:t>
            </w:r>
            <w:r w:rsidRPr="009D0496">
              <w:t>. Assessment of performance is to be consistent with the Evidence Guide.</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8" w:name="O_399829"/>
      <w:bookmarkEnd w:id="8"/>
      <w:r w:rsidRPr="009D049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61FA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PERFORMANCE CRITERIA</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w:t>
            </w:r>
          </w:p>
        </w:tc>
        <w:tc>
          <w:tcPr>
            <w:tcW w:w="2296"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Prepare for the coordination of repair of pipelines, facilities and equipment</w:t>
            </w: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1.1</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Work schedule(s), including drawings, plans, requirements, established procedures and material lists are received, analysed and confirmed if necessary by site inspection</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1.2</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Relevant requirements and established procedures for the work are communicated to all persons and identified for all work sites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1.3</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OHS, environmental and sustainable energy policies and procedures related to the coordination of repair of pipelines, fac</w:t>
            </w:r>
            <w:r w:rsidRPr="009D0496">
              <w:t>ilities and equipment are obtained and confirmed for the purposes of the work performed and communicated</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1.4</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Work is prioritised and sequenced following consultation with others for completion within acceptable timeframes and in accordance with establis</w:t>
            </w:r>
            <w:r w:rsidRPr="009D0496">
              <w:t>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1.5</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Hazards are identified, OHS risks assessed and control measures are prioritised, implemented and monitored including emergency exits kept clear according to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1.6</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Relevant work permits are obtained to access and perform work according to requirements and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1.7</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Resources including persons, equipment, tools and personal protective equipment required for the job are identified, scheduled and obt</w:t>
            </w:r>
            <w:r w:rsidRPr="009D0496">
              <w:t>ained and confirmed to be in working order</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1.8</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Relevant persons at work site are confirmed to be current in First Aid and other related work procedures according to requirements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1.9</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Liaison and communication issues with authorised persons, authoritie</w:t>
            </w:r>
            <w:r w:rsidRPr="009D0496">
              <w:t>s, clients and land owners are resolved to carry out work where necessary</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1.10</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Site is prepared according to the work schedule and to minimise risk and damage to property, commerce and individuals in accordance with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1.11</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Persons participating in the work, including plant operators and contractors are fully briefed and respective responsibilities confirmed where applicable in accordance with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1.12</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Road signs, barriers and warning devices are positio</w:t>
            </w:r>
            <w:r w:rsidRPr="009D0496">
              <w:t>ned in accordance with requirements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w:t>
            </w:r>
          </w:p>
        </w:tc>
        <w:tc>
          <w:tcPr>
            <w:tcW w:w="2296"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Coordinate repair of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2.1</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OHS policies and procedures and safe work practices are followed to eliminate or minimise incidents and hazards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2.2</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Lifting, climbing, working in confined</w:t>
            </w:r>
            <w:r w:rsidRPr="009D0496">
              <w:t xml:space="preserve"> spaces or aloft, and use of power tools, techniques and practices are safely followed and currency according to requirements confirmed</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2.3</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Essential Knowledge an</w:t>
            </w:r>
            <w:r w:rsidRPr="009D0496">
              <w:t>d Associated Skills are applied for coordinating the repair of pipelines, facilities and equipment to ensure completion in an agreed timeframe and to quality standards with a minimum of waste according to requirements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2.4</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Performing the coordinating the</w:t>
            </w:r>
            <w:r w:rsidRPr="009D0496">
              <w:t xml:space="preserve"> repair of pipelines, facilities and equipment is carried out in accordance with the work schedule and to requirements and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2.5</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Pipeline facilities/equipment and conditions and all environment hazards, safety risks and control meas</w:t>
            </w:r>
            <w:r w:rsidRPr="009D0496">
              <w:t>ures are monitored and preventative action taken and referred to appropriate authorities in accordance with requirements and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2.6</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Unplanned events in coordinating the repair of pipelines, facilities and equipment are undertaken wit</w:t>
            </w:r>
            <w:r w:rsidRPr="009D0496">
              <w:t>hin the scope of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2.7</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Known solutions to a variety of problems are applied using acquired Essential Knowledge and Associated Skills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2.8</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Ongoing checks of quality of the work are undertaken in accordance with given instructions and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w:t>
            </w:r>
          </w:p>
        </w:tc>
        <w:tc>
          <w:tcPr>
            <w:tcW w:w="2296"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Recommission systems and equipment</w:t>
            </w: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3.1</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Repaired/installed equipment is brought back on line at the desired operational parameters and w</w:t>
            </w:r>
            <w:r w:rsidRPr="009D0496">
              <w:t>ork undertaken is checked against works schedule for conformance with requirements and in accordance with established procedures</w:t>
            </w:r>
          </w:p>
        </w:tc>
      </w:tr>
      <w:tr w:rsidTr="00861FAB">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3.2</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Accidents and injuries are reported in accordance with requirements and established procedures where applicable</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3.3</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Work site is rehabilitated, cleaned up and made safe in accordance with given instructions and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3.4</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Tools, equipment and any surplus resources and materials are, where appropriate, cleaned, checked and returned to storage in accord</w:t>
            </w:r>
            <w:r w:rsidRPr="009D0496">
              <w:t>ance with established procedures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3.5</w:t>
            </w:r>
          </w:p>
        </w:tc>
        <w:tc>
          <w:tcPr>
            <w:tcW w:w="48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Relevant work permit(s) are signed off and equipment is returned to service in accordance with requirements</w:t>
            </w:r>
          </w:p>
        </w:tc>
      </w:tr>
      <w:tr w:rsidTr="00861F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3.6</w:t>
            </w:r>
          </w:p>
        </w:tc>
        <w:tc>
          <w:tcPr>
            <w:tcW w:w="48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Work completion records, reports and documentation and information is final</w:t>
            </w:r>
            <w:r w:rsidRPr="009D0496">
              <w:t>ised and processed and appropriate persons notified</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9" w:name="O_399837"/>
      <w:bookmarkEnd w:id="9"/>
      <w:r w:rsidRPr="009D0496">
        <w:t>Required Skills and Knowledge</w:t>
      </w:r>
    </w:p>
    <w:tbl>
      <w:tblPr>
        <w:tblW w:w="0" w:type="auto"/>
        <w:tblLayout w:type="fixed"/>
        <w:tblCellMar>
          <w:left w:w="62" w:type="dxa"/>
          <w:right w:w="62" w:type="dxa"/>
        </w:tblCellMar>
        <w:tblLook w:val="0000"/>
      </w:tblPr>
      <w:tblGrid>
        <w:gridCol w:w="8460"/>
      </w:tblGrid>
      <w:tr w:rsidTr="00861F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REQUIRED SKILLS AND KNOWLEDGE</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8)</w:t>
            </w:r>
            <w:r w:rsidRPr="009D0496">
              <w:t xml:space="preserve"> This describes the essential skills and knowledge and their level, required for this unit.</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Evidence shall show that knowledge has been acquired of safe working practices for the coordination and repair of pipeline, facilities and equipment.</w:t>
            </w:r>
          </w:p>
        </w:tc>
      </w:tr>
      <w:tr w:rsidTr="00861FAB">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All knowledge and skills detailed in this unit should be contextualised to current industry practices and</w:t>
            </w:r>
            <w:r w:rsidRPr="009D0496">
              <w:t xml:space="preserve"> technologies.</w:t>
            </w:r>
          </w:p>
        </w:tc>
      </w:tr>
    </w:tbl>
    <w:p w:rsidR="00000000" w:rsidRPr="009D0496" w:rsidP="009D0496">
      <w:pPr>
        <w:pStyle w:val="BodyText"/>
      </w:pPr>
    </w:p>
    <w:tbl>
      <w:tblPr>
        <w:tblW w:w="0" w:type="auto"/>
        <w:tblLayout w:type="fixed"/>
        <w:tblCellMar>
          <w:left w:w="62" w:type="dxa"/>
          <w:right w:w="62" w:type="dxa"/>
        </w:tblCellMar>
        <w:tblLook w:val="0000"/>
      </w:tblPr>
      <w:tblGrid>
        <w:gridCol w:w="1440"/>
        <w:gridCol w:w="990"/>
        <w:gridCol w:w="6030"/>
      </w:tblGrid>
      <w:tr w:rsidTr="00861FA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 xml:space="preserve">KS01-G106B </w:t>
            </w:r>
          </w:p>
        </w:tc>
        <w:tc>
          <w:tcPr>
            <w:tcW w:w="702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Pipeline, facilities and equipment repairs</w:t>
            </w:r>
          </w:p>
        </w:tc>
      </w:tr>
      <w:tr w:rsidTr="00861F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 xml:space="preserve">G 3.2.38 </w:t>
            </w:r>
          </w:p>
        </w:tc>
        <w:tc>
          <w:tcPr>
            <w:tcW w:w="603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Plan and prepare coordination of repair of pipelines, facilities and equipment</w:t>
            </w:r>
          </w:p>
          <w:p w:rsidR="00000000" w:rsidRPr="009D0496" w:rsidP="009D0496">
            <w:pPr>
              <w:pStyle w:val="BodyText"/>
            </w:pPr>
            <w:r w:rsidRPr="009D0496">
              <w:t>Evidence shall show an understanding of the requirements to plan and prepare coordination of repairs to pipelines, facilities and equipment on a Gas Industry pipelines (Distribution), indicated by the following:</w:t>
            </w:r>
          </w:p>
          <w:p w:rsidR="00000000" w:rsidRPr="009D0496" w:rsidP="009D0496">
            <w:pPr>
              <w:pStyle w:val="ListBullet"/>
            </w:pPr>
            <w:r w:rsidRPr="009D0496">
              <w:t>identification of the types of problems and</w:t>
            </w:r>
            <w:r w:rsidRPr="009D0496">
              <w:t xml:space="preserve"> faults that may require repair </w:t>
            </w:r>
          </w:p>
          <w:p w:rsidR="00000000" w:rsidRPr="009D0496" w:rsidP="009D0496">
            <w:pPr>
              <w:pStyle w:val="ListBullet"/>
            </w:pPr>
            <w:r w:rsidRPr="009D0496">
              <w:t>obtaining, interpreting and using relevant technical drawings, plans or specifications during preparation and planning of repair work</w:t>
            </w:r>
          </w:p>
          <w:p w:rsidR="00000000" w:rsidRPr="009D0496" w:rsidP="009D0496">
            <w:pPr>
              <w:pStyle w:val="ListBullet"/>
            </w:pPr>
            <w:r w:rsidRPr="009D0496">
              <w:t xml:space="preserve">identification of hazards (including confined spaces) and explanation of ohs, procedures </w:t>
            </w:r>
            <w:r w:rsidRPr="009D0496">
              <w:t>and environmental requirements that require implementation prior to and during repair work</w:t>
            </w:r>
          </w:p>
          <w:p w:rsidR="00000000" w:rsidRPr="009D0496" w:rsidP="009D0496">
            <w:pPr>
              <w:pStyle w:val="ListBullet"/>
            </w:pPr>
            <w:r w:rsidRPr="009D0496">
              <w:t>identification of procedures, persons, equipment and processes required for the repair work and plan the coordination of resources</w:t>
            </w:r>
          </w:p>
          <w:p w:rsidR="00000000" w:rsidRPr="009D0496" w:rsidP="009D0496">
            <w:pPr>
              <w:pStyle w:val="ListBullet"/>
            </w:pPr>
            <w:r w:rsidRPr="009D0496">
              <w:t>required work permits</w:t>
            </w:r>
          </w:p>
          <w:p w:rsidR="00000000" w:rsidP="009D0496">
            <w:pPr>
              <w:pStyle w:val="ListBullet"/>
              <w:rPr>
                <w:lang w:val="en-NZ"/>
              </w:rPr>
            </w:pPr>
            <w:r w:rsidRPr="009D0496">
              <w:t>locating and</w:t>
            </w:r>
            <w:r w:rsidRPr="009D0496">
              <w:t xml:space="preserve"> securing of emergency equipment and ensuring all persons are familiar with emergency plans.</w:t>
            </w:r>
          </w:p>
        </w:tc>
      </w:tr>
      <w:tr w:rsidTr="00861F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 xml:space="preserve">G 3.2.39 </w:t>
            </w:r>
          </w:p>
        </w:tc>
        <w:tc>
          <w:tcPr>
            <w:tcW w:w="603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Secure work area and equipment prior to repair</w:t>
            </w:r>
          </w:p>
          <w:p w:rsidR="00000000" w:rsidRPr="009D0496" w:rsidP="009D0496">
            <w:pPr>
              <w:pStyle w:val="BodyText"/>
            </w:pPr>
            <w:r w:rsidRPr="009D0496">
              <w:t>Evidence shall show an understanding of the requirements to secure work area and equipment prior to repa</w:t>
            </w:r>
            <w:r w:rsidRPr="009D0496">
              <w:t>ir on a Gas Industry pipeline (Distribution), indicated by the following:</w:t>
            </w:r>
          </w:p>
          <w:p w:rsidR="00000000" w:rsidRPr="009D0496" w:rsidP="009D0496">
            <w:pPr>
              <w:pStyle w:val="ListBullet"/>
            </w:pPr>
            <w:r w:rsidRPr="009D0496">
              <w:t>discuss the requirements for and use of work permits, safety plans, non-routine procedures and safety checks</w:t>
            </w:r>
          </w:p>
          <w:p w:rsidR="00000000" w:rsidRPr="009D0496" w:rsidP="009D0496">
            <w:pPr>
              <w:pStyle w:val="ListBullet"/>
            </w:pPr>
            <w:r w:rsidRPr="009D0496">
              <w:t>implementation and adherence to procedures, ohs and environmental requirements to ensure a safe worksite is established and maintained</w:t>
            </w:r>
          </w:p>
          <w:p w:rsidR="00000000" w:rsidRPr="009D0496" w:rsidP="009D0496">
            <w:pPr>
              <w:pStyle w:val="ListBullet"/>
            </w:pPr>
            <w:r w:rsidRPr="009D0496">
              <w:t>equipment for repair work is depressurised, tagged and locked out</w:t>
            </w:r>
          </w:p>
          <w:p w:rsidR="00000000" w:rsidRPr="009D0496" w:rsidP="009D0496">
            <w:pPr>
              <w:pStyle w:val="ListBullet"/>
            </w:pPr>
            <w:r w:rsidRPr="009D0496">
              <w:t>routine checks and documentation of facilities/equipmen</w:t>
            </w:r>
            <w:r w:rsidRPr="009D0496">
              <w:t>t and overall repair process</w:t>
            </w:r>
          </w:p>
          <w:p w:rsidR="00000000" w:rsidP="009D0496">
            <w:pPr>
              <w:pStyle w:val="ListBullet"/>
              <w:rPr>
                <w:lang w:val="en-NZ"/>
              </w:rPr>
            </w:pPr>
            <w:r w:rsidRPr="009D0496">
              <w:t>verification that facilities/equipment are safe for repair work to commence by ensuring that all procedures have been followed and requirements met.</w:t>
            </w:r>
          </w:p>
        </w:tc>
      </w:tr>
      <w:tr w:rsidTr="00861F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 xml:space="preserve">G 3.2.40 </w:t>
            </w:r>
          </w:p>
        </w:tc>
        <w:tc>
          <w:tcPr>
            <w:tcW w:w="603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Coordinate repair of pipelines, facilities and equipment</w:t>
            </w:r>
          </w:p>
          <w:p w:rsidR="00000000" w:rsidRPr="009D0496" w:rsidP="009D0496">
            <w:pPr>
              <w:pStyle w:val="BodyText"/>
            </w:pPr>
            <w:r w:rsidRPr="009D0496">
              <w:t xml:space="preserve">Evidence </w:t>
            </w:r>
            <w:r w:rsidRPr="009D0496">
              <w:t>shall show an understanding of the requirements to coordinate repairs of pipelines, facilities and equipment on a Gas Industry pipeline (Distribution), indicated by the following:</w:t>
            </w:r>
          </w:p>
          <w:p w:rsidR="00000000" w:rsidRPr="009D0496" w:rsidP="009D0496">
            <w:pPr>
              <w:pStyle w:val="ListBullet"/>
            </w:pPr>
            <w:r w:rsidRPr="009D0496">
              <w:t>different types of repair procedures relevant to repairing pipelines, facil</w:t>
            </w:r>
            <w:r w:rsidRPr="009D0496">
              <w:t>ities and equipment</w:t>
            </w:r>
          </w:p>
          <w:p w:rsidR="00000000" w:rsidRPr="009D0496" w:rsidP="009D0496">
            <w:pPr>
              <w:pStyle w:val="ListBullet"/>
            </w:pPr>
            <w:r w:rsidRPr="009D0496">
              <w:t>management plan and repair procedures relevant to the required work</w:t>
            </w:r>
          </w:p>
          <w:p w:rsidR="00000000" w:rsidRPr="009D0496" w:rsidP="009D0496">
            <w:pPr>
              <w:pStyle w:val="ListBullet"/>
            </w:pPr>
            <w:r w:rsidRPr="009D0496">
              <w:t>procedures to monitor systems, equipment and environmental conditions to ensure procedures, OHS and environmental requirements are maintained during repair work</w:t>
            </w:r>
          </w:p>
          <w:p w:rsidR="00000000" w:rsidRPr="009D0496" w:rsidP="009D0496">
            <w:pPr>
              <w:pStyle w:val="ListBullet"/>
            </w:pPr>
            <w:r w:rsidRPr="009D0496">
              <w:t xml:space="preserve">repair </w:t>
            </w:r>
            <w:r w:rsidRPr="009D0496">
              <w:t>work and validate the standard to ensure it meets OHS and environmental and legislative requirements</w:t>
            </w:r>
          </w:p>
          <w:p w:rsidR="00000000" w:rsidRPr="009D0496" w:rsidP="009D0496">
            <w:pPr>
              <w:pStyle w:val="ListBullet"/>
            </w:pPr>
            <w:r w:rsidRPr="009D0496">
              <w:t xml:space="preserve">progress of repair work to evaluate required amendments or modifications and communicate changes to appropriate persons/regulatory authority </w:t>
            </w:r>
          </w:p>
          <w:p w:rsidR="00000000" w:rsidP="009D0496">
            <w:pPr>
              <w:pStyle w:val="ListBullet"/>
              <w:rPr>
                <w:lang w:val="en-NZ"/>
              </w:rPr>
            </w:pPr>
            <w:r w:rsidRPr="009D0496">
              <w:t>completion/adjustment documentation to reflect the repair work carried out.</w:t>
            </w:r>
          </w:p>
        </w:tc>
      </w:tr>
      <w:tr w:rsidTr="00861FA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 xml:space="preserve">G 3.2.41 </w:t>
            </w:r>
          </w:p>
        </w:tc>
        <w:tc>
          <w:tcPr>
            <w:tcW w:w="603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Recommission systems and equipment</w:t>
            </w:r>
          </w:p>
          <w:p w:rsidR="00000000" w:rsidRPr="009D0496" w:rsidP="009D0496">
            <w:pPr>
              <w:pStyle w:val="BodyText"/>
            </w:pPr>
            <w:r w:rsidRPr="009D0496">
              <w:t>Evidence shall show an understanding of the requirements to recommission systems and equipment on a Gas Industry pipeline (Distributi</w:t>
            </w:r>
            <w:r w:rsidRPr="009D0496">
              <w:t>on), indicated by the following:</w:t>
            </w:r>
          </w:p>
          <w:p w:rsidR="00000000" w:rsidRPr="009D0496" w:rsidP="009D0496">
            <w:pPr>
              <w:pStyle w:val="ListBullet"/>
            </w:pPr>
            <w:r w:rsidRPr="009D0496">
              <w:t>procedures to recommission repaired systems and equipment</w:t>
            </w:r>
          </w:p>
          <w:p w:rsidR="00000000" w:rsidRPr="009D0496" w:rsidP="009D0496">
            <w:pPr>
              <w:pStyle w:val="ListBullet"/>
            </w:pPr>
            <w:r w:rsidRPr="009D0496">
              <w:t>identification of the persons and authorities that need to be notified in relation to the recommissioning of the systems and the procedures to carry out the notific</w:t>
            </w:r>
            <w:r w:rsidRPr="009D0496">
              <w:t>ation</w:t>
            </w:r>
          </w:p>
          <w:p w:rsidR="00000000" w:rsidRPr="009D0496" w:rsidP="009D0496">
            <w:pPr>
              <w:pStyle w:val="ListBullet"/>
            </w:pPr>
            <w:r w:rsidRPr="009D0496">
              <w:t>cancel/sign off of relevant work permits</w:t>
            </w:r>
          </w:p>
          <w:p w:rsidR="00000000" w:rsidRPr="009D0496" w:rsidP="009D0496">
            <w:pPr>
              <w:pStyle w:val="ListBullet"/>
            </w:pPr>
            <w:r w:rsidRPr="009D0496">
              <w:t>restoration of sites in compliance with OHS and environmental legislative and operational requirements</w:t>
            </w:r>
          </w:p>
          <w:p w:rsidR="00000000" w:rsidRPr="009D0496" w:rsidP="009D0496">
            <w:pPr>
              <w:pStyle w:val="ListBullet"/>
            </w:pPr>
            <w:r w:rsidRPr="009D0496">
              <w:t>completion and filing of records and documentation that accurately indicate extent of work performed, resu</w:t>
            </w:r>
            <w:r w:rsidRPr="009D0496">
              <w:t>lts of repair and completion of work with the appropriate persons and departments.</w:t>
            </w:r>
          </w:p>
        </w:tc>
      </w:tr>
    </w:tbl>
    <w:p w:rsidR="00861FAB" w:rsidP="009D0496">
      <w:pPr>
        <w:pStyle w:val="BodyText"/>
      </w:pPr>
    </w:p>
    <w:p w:rsidR="00861FAB" w:rsidP="009D0496">
      <w:pPr>
        <w:pStyle w:val="BodyText"/>
      </w:pPr>
    </w:p>
    <w:p w:rsidR="00000000" w:rsidRPr="009D0496" w:rsidP="009D0496">
      <w:pPr>
        <w:pStyle w:val="Heading1"/>
      </w:pPr>
      <w:bookmarkStart w:id="10" w:name="O_399832"/>
      <w:bookmarkEnd w:id="10"/>
      <w:r w:rsidRPr="009D0496">
        <w:t>Evidence Guide</w:t>
      </w:r>
    </w:p>
    <w:tbl>
      <w:tblPr>
        <w:tblW w:w="0" w:type="auto"/>
        <w:tblLayout w:type="fixed"/>
        <w:tblCellMar>
          <w:left w:w="62" w:type="dxa"/>
          <w:right w:w="62" w:type="dxa"/>
        </w:tblCellMar>
        <w:tblLook w:val="0000"/>
      </w:tblPr>
      <w:tblGrid>
        <w:gridCol w:w="8460"/>
      </w:tblGrid>
      <w:tr w:rsidTr="00861F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EVIDENCE GUIDE</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9)</w:t>
            </w:r>
            <w:r w:rsidRPr="009D0496">
              <w:t xml:space="preserve"> The Evidence Guide forms an integral part of this Unit and shall be used in conjunction with </w:t>
            </w:r>
            <w:r w:rsidRPr="009D0496">
              <w:t>all components parts of this unit and performed in accordance with the Assessment Guidelines of this Training Package.</w:t>
            </w:r>
          </w:p>
        </w:tc>
      </w:tr>
    </w:tbl>
    <w:p w:rsidR="00000000" w:rsidRPr="009D0496" w:rsidP="009D0496">
      <w:pPr>
        <w:pStyle w:val="BodyText"/>
      </w:pPr>
    </w:p>
    <w:tbl>
      <w:tblPr>
        <w:tblW w:w="0" w:type="auto"/>
        <w:tblLayout w:type="fixed"/>
        <w:tblCellMar>
          <w:left w:w="62" w:type="dxa"/>
          <w:right w:w="62" w:type="dxa"/>
        </w:tblCellMar>
        <w:tblLook w:val="0000"/>
      </w:tblPr>
      <w:tblGrid>
        <w:gridCol w:w="1890"/>
        <w:gridCol w:w="6570"/>
      </w:tblGrid>
      <w:tr w:rsidTr="00861FAB">
        <w:tblPrEx>
          <w:tblW w:w="0" w:type="auto"/>
          <w:tblLayout w:type="fixed"/>
          <w:tblCellMar>
            <w:left w:w="62" w:type="dxa"/>
            <w:right w:w="62" w:type="dxa"/>
          </w:tblCellMar>
          <w:tblLook w:val="0000"/>
        </w:tblPrEx>
        <w:trPr>
          <w:trHeight w:val="827"/>
        </w:trPr>
        <w:tc>
          <w:tcPr>
            <w:tcW w:w="189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9.1)</w:t>
            </w:r>
          </w:p>
          <w:p w:rsidR="00000000" w:rsidP="009D0496">
            <w:pPr>
              <w:pStyle w:val="BodyText"/>
              <w:rPr>
                <w:lang w:val="en-NZ"/>
              </w:rPr>
            </w:pP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Longitudinal competency development approaches to assessment, such as Profiling, require data to be reliably gathered in a form that can be consistently interpreted over time. This approach is best utilised in Apprenticeship programs and reduces assessment</w:t>
            </w:r>
            <w:r w:rsidRPr="009D0496">
              <w:t xml:space="preserve"> </w:t>
            </w:r>
          </w:p>
        </w:tc>
      </w:tr>
      <w:tr w:rsidTr="00861FAB">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 xml:space="preserve">intervention. It is the Industry’s preferred model for apprenticeships. However, where summative (or final) assessment is used it is to include the application of the competency in the normal work </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environment or, at a minimum, the application of the</w:t>
            </w:r>
            <w:r w:rsidRPr="009D0496">
              <w:t xml:space="preserve"> competency in a realistically simulated work environment. It is recognised that, in some circumstances, assessment in part or full can occur outside the workplace. However, it must be in accord with industry and regulatory policy in this regard.</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Methods</w:t>
            </w:r>
            <w:r w:rsidRPr="009D0496">
              <w:t xml:space="preserve"> chosen for a particular assessment will be influenced by various factors. These include the extent of the assessment, the most effective locations for the assessment activities to take place, access to physical resources, additional safety measures that m</w:t>
            </w:r>
            <w:r w:rsidRPr="009D0496">
              <w:t>ay be required and the critical nature of the competencies being assessed.</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 xml:space="preserve">The critical safety nature of working with electricity, electrical equipment, gas or any other hazardous substance/material carries risk in </w:t>
            </w:r>
            <w:r w:rsidRPr="009D0496">
              <w:t>deeming a person competent. Hence, sources of evidence need to be ‘rich’ in nature so as to minimise error in judgment.</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Activities associated with normal every day work have a bearing on the decision as to how much and how detailed the data gathered will</w:t>
            </w:r>
            <w:r w:rsidRPr="009D0496">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9D0496">
              <w:t xml:space="preserve"> developing assessment instruments. Sample assessment instruments are included in the Assessment Guidelines of this Training Package.</w:t>
            </w:r>
          </w:p>
        </w:tc>
      </w:tr>
    </w:tbl>
    <w:p w:rsidR="00000000" w:rsidRPr="009D0496" w:rsidP="009D0496">
      <w:pPr>
        <w:pStyle w:val="BodyText"/>
      </w:pPr>
    </w:p>
    <w:tbl>
      <w:tblPr>
        <w:tblW w:w="0" w:type="auto"/>
        <w:tblLayout w:type="fixed"/>
        <w:tblCellMar>
          <w:left w:w="62" w:type="dxa"/>
          <w:right w:w="62" w:type="dxa"/>
        </w:tblCellMar>
        <w:tblLook w:val="0000"/>
      </w:tblPr>
      <w:tblGrid>
        <w:gridCol w:w="1890"/>
        <w:gridCol w:w="6570"/>
      </w:tblGrid>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9.2)</w:t>
            </w:r>
          </w:p>
          <w:p w:rsidR="00000000" w:rsidP="009D0496">
            <w:pPr>
              <w:pStyle w:val="BodyText"/>
              <w:rPr>
                <w:lang w:val="en-NZ"/>
              </w:rPr>
            </w:pP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Before the critical aspects of evidence are considered all prerequisites shall be met.</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Evidence for competence in this unit shall be considered holistically. Each element and associated Performance Criteria shall be demonstrated on at least two occasions</w:t>
            </w:r>
            <w:r w:rsidRPr="009D0496">
              <w:t xml:space="preserve"> in accordance with the ‘Assessment Guidelines — UEG11’. Evidence shall also comprise: </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
              <w:rPr>
                <w:lang w:val="en-NZ"/>
              </w:rPr>
            </w:pPr>
            <w:r w:rsidRPr="009D0496">
              <w:t>A representative body of Performance Criteria demonstrated within the timeframes typically expected of the discipline, work function and industrial environment. In p</w:t>
            </w:r>
            <w:r w:rsidRPr="009D0496">
              <w:t>articular this shall incorporate evidence that shows a candidate is able to:</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2"/>
              <w:rPr>
                <w:lang w:val="en-NZ"/>
              </w:rPr>
            </w:pPr>
            <w:r w:rsidRPr="009D0496">
              <w:t>Implement Occupational Health and Safety workplace procedures and practices including the use of risk control measures as specified in the Performance Criteria and range</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2"/>
              <w:rPr>
                <w:lang w:val="en-NZ"/>
              </w:rPr>
            </w:pPr>
            <w:r w:rsidRPr="009D0496">
              <w:t>Apply sustainable energy principles and practices as specified in the Performance Criteria and range</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2"/>
              <w:rPr>
                <w:lang w:val="en-NZ"/>
              </w:rPr>
            </w:pPr>
            <w:r w:rsidRPr="009D0496">
              <w:t>Demonstrate an understanding of the essential knowledge and associated skills as described in this unit to such an extent that the learner’</w:t>
            </w:r>
            <w:r w:rsidRPr="009D0496">
              <w:t>s performance outcome is reported in accordance with the preferred approach; namely a percentile graded result, where required by the regulated environment</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2"/>
              <w:rPr>
                <w:lang w:val="en-NZ"/>
              </w:rPr>
            </w:pPr>
            <w:r w:rsidRPr="009D0496">
              <w:t>Demonstrate an appropriate level of employability skills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2"/>
              <w:rPr>
                <w:lang w:val="en-NZ"/>
              </w:rPr>
            </w:pPr>
            <w:r w:rsidRPr="009D0496">
              <w:t>Conduct work observing the relevant A</w:t>
            </w:r>
            <w:r w:rsidRPr="009D0496">
              <w:t>nti discrimination legislation, regulations, polices and workplace procedures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ListBullet"/>
            </w:pPr>
            <w:r w:rsidRPr="009D0496">
              <w:t>Demonstrate performance across a representative range of contexts from the prescribed items below:</w:t>
            </w:r>
          </w:p>
        </w:tc>
      </w:tr>
    </w:tbl>
    <w:p w:rsidR="00000000" w:rsidRPr="009D0496" w:rsidP="009D0496">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61FA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D0496">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rPr>
                <w:rStyle w:val="SpecialBold"/>
              </w:rPr>
              <w:t>Range of tools/equipment/procedures/workplace</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9D0496">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rPr>
                <w:rStyle w:val="SpecialBold"/>
              </w:rPr>
              <w:t>Item List</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Interpret technical drawings and symbols</w:t>
            </w:r>
          </w:p>
          <w:p w:rsidR="00000000" w:rsidRPr="009D0496" w:rsidP="009D0496">
            <w:pPr>
              <w:pStyle w:val="BodyText"/>
            </w:pPr>
            <w:r w:rsidRPr="009D0496">
              <w:t>Ensure emergency response procedures are in place</w:t>
            </w:r>
          </w:p>
          <w:p w:rsidR="00000000" w:rsidRPr="009D0496" w:rsidP="009D0496">
            <w:pPr>
              <w:pStyle w:val="BodyText"/>
            </w:pPr>
            <w:r w:rsidRPr="009D0496">
              <w:t>Communicate with other authorities and stakeholders</w:t>
            </w:r>
          </w:p>
          <w:p w:rsidR="00000000" w:rsidRPr="009D0496" w:rsidP="009D0496">
            <w:pPr>
              <w:pStyle w:val="BodyText"/>
            </w:pPr>
            <w:r w:rsidRPr="009D0496">
              <w:t>Communicate schedules /coordinate to persons</w:t>
            </w:r>
          </w:p>
          <w:p w:rsidR="00000000" w:rsidRPr="009D0496" w:rsidP="009D0496">
            <w:pPr>
              <w:pStyle w:val="BodyText"/>
            </w:pPr>
            <w:r w:rsidRPr="009D0496">
              <w:t>Carry out job safety analysis</w:t>
            </w:r>
          </w:p>
          <w:p w:rsidR="00000000" w:rsidRPr="009D0496" w:rsidP="009D0496">
            <w:pPr>
              <w:pStyle w:val="BodyText"/>
            </w:pPr>
            <w:r w:rsidRPr="009D0496">
              <w:t>Obtain work permit</w:t>
            </w:r>
          </w:p>
          <w:p w:rsidR="00000000" w:rsidRPr="009D0496" w:rsidP="009D0496">
            <w:pPr>
              <w:pStyle w:val="BodyText"/>
            </w:pPr>
            <w:r w:rsidRPr="009D0496">
              <w:t>Ensure practical application of AS2865</w:t>
            </w:r>
          </w:p>
          <w:p w:rsidR="00000000" w:rsidRPr="009D0496" w:rsidP="009D0496">
            <w:pPr>
              <w:pStyle w:val="BodyText"/>
            </w:pPr>
            <w:r w:rsidRPr="009D0496">
              <w:t>Interpret MSDSs</w:t>
            </w:r>
          </w:p>
          <w:p w:rsidR="00000000" w:rsidP="009D0496">
            <w:pPr>
              <w:pStyle w:val="BodyText"/>
              <w:rPr>
                <w:lang w:val="en-NZ"/>
              </w:rPr>
            </w:pPr>
            <w:r w:rsidRPr="009D0496">
              <w:t>Use and interpret dial before you dig report</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Excavation</w:t>
            </w:r>
          </w:p>
          <w:p w:rsidR="00000000" w:rsidRPr="009D0496" w:rsidP="009D0496">
            <w:pPr>
              <w:pStyle w:val="BodyText"/>
            </w:pPr>
            <w:r w:rsidRPr="009D0496">
              <w:t>Trenching</w:t>
            </w:r>
          </w:p>
          <w:p w:rsidR="00000000" w:rsidRPr="009D0496" w:rsidP="009D0496">
            <w:pPr>
              <w:pStyle w:val="BodyText"/>
            </w:pPr>
            <w:r w:rsidRPr="009D0496">
              <w:t>Shoring</w:t>
            </w:r>
          </w:p>
          <w:p w:rsidR="00000000" w:rsidRPr="009D0496" w:rsidP="009D0496">
            <w:pPr>
              <w:pStyle w:val="BodyText"/>
            </w:pPr>
            <w:r w:rsidRPr="009D0496">
              <w:t>Stitch bore</w:t>
            </w:r>
          </w:p>
          <w:p w:rsidR="00000000" w:rsidRPr="009D0496" w:rsidP="009D0496">
            <w:pPr>
              <w:pStyle w:val="BodyText"/>
            </w:pPr>
            <w:r w:rsidRPr="009D0496">
              <w:t>Horiz</w:t>
            </w:r>
            <w:r w:rsidRPr="009D0496">
              <w:t>ontal drilling</w:t>
            </w:r>
          </w:p>
          <w:p w:rsidR="00000000" w:rsidP="009D0496">
            <w:pPr>
              <w:pStyle w:val="BodyText"/>
              <w:rPr>
                <w:lang w:val="en-NZ"/>
              </w:rPr>
            </w:pPr>
            <w:r w:rsidRPr="009D0496">
              <w:t>Directional drilling</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Nylon (polymide) pipeline laying techniques</w:t>
            </w:r>
          </w:p>
          <w:p w:rsidR="00000000" w:rsidRPr="009D0496" w:rsidP="009D0496">
            <w:pPr>
              <w:pStyle w:val="BodyText"/>
            </w:pPr>
            <w:r w:rsidRPr="009D0496">
              <w:t xml:space="preserve">Nylon gluing </w:t>
            </w:r>
          </w:p>
          <w:p w:rsidR="00000000" w:rsidRPr="009D0496" w:rsidP="009D0496">
            <w:pPr>
              <w:pStyle w:val="BodyText"/>
            </w:pPr>
            <w:r w:rsidRPr="009D0496">
              <w:t>Nylon stop off</w:t>
            </w:r>
          </w:p>
          <w:p w:rsidR="00000000" w:rsidRPr="009D0496" w:rsidP="009D0496">
            <w:pPr>
              <w:pStyle w:val="BodyText"/>
            </w:pPr>
            <w:r w:rsidRPr="009D0496">
              <w:t>Horizontal drilling</w:t>
            </w:r>
          </w:p>
          <w:p w:rsidR="00000000" w:rsidP="009D0496">
            <w:pPr>
              <w:pStyle w:val="BodyText"/>
              <w:rPr>
                <w:lang w:val="en-NZ"/>
              </w:rPr>
            </w:pPr>
            <w:r w:rsidRPr="009D0496">
              <w:t>Directional drilling</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PE pipeline laying techniques</w:t>
            </w:r>
          </w:p>
          <w:p w:rsidR="00000000" w:rsidRPr="009D0496" w:rsidP="009D0496">
            <w:pPr>
              <w:pStyle w:val="BodyText"/>
            </w:pPr>
            <w:r w:rsidRPr="009D0496">
              <w:t>Large diameter PE</w:t>
            </w:r>
          </w:p>
          <w:p w:rsidR="00000000" w:rsidRPr="009D0496" w:rsidP="009D0496">
            <w:pPr>
              <w:pStyle w:val="BodyText"/>
            </w:pPr>
            <w:r w:rsidRPr="009D0496">
              <w:t>PE electro fusion</w:t>
            </w:r>
          </w:p>
          <w:p w:rsidR="00000000" w:rsidRPr="009D0496" w:rsidP="009D0496">
            <w:pPr>
              <w:pStyle w:val="BodyText"/>
            </w:pPr>
            <w:r w:rsidRPr="009D0496">
              <w:t>PE</w:t>
            </w:r>
            <w:r w:rsidRPr="009D0496">
              <w:t xml:space="preserve"> butt fusion</w:t>
            </w:r>
          </w:p>
          <w:p w:rsidR="00000000" w:rsidRPr="009D0496" w:rsidP="009D0496">
            <w:pPr>
              <w:pStyle w:val="BodyText"/>
            </w:pPr>
            <w:r w:rsidRPr="009D0496">
              <w:t>Saddle fusion</w:t>
            </w:r>
          </w:p>
          <w:p w:rsidR="00000000" w:rsidRPr="009D0496" w:rsidP="009D0496">
            <w:pPr>
              <w:pStyle w:val="BodyText"/>
            </w:pPr>
            <w:r w:rsidRPr="009D0496">
              <w:t>Socket fusion</w:t>
            </w:r>
          </w:p>
          <w:p w:rsidR="00000000" w:rsidRPr="009D0496" w:rsidP="009D0496">
            <w:pPr>
              <w:pStyle w:val="BodyText"/>
            </w:pPr>
            <w:r w:rsidRPr="009D0496">
              <w:t>PE stop off</w:t>
            </w:r>
          </w:p>
          <w:p w:rsidR="00000000" w:rsidRPr="009D0496" w:rsidP="009D0496">
            <w:pPr>
              <w:pStyle w:val="BodyText"/>
            </w:pPr>
            <w:r w:rsidRPr="009D0496">
              <w:t>Compression couplings or flanges</w:t>
            </w:r>
          </w:p>
          <w:p w:rsidR="00000000" w:rsidRPr="009D0496" w:rsidP="009D0496">
            <w:pPr>
              <w:pStyle w:val="BodyText"/>
            </w:pPr>
            <w:r w:rsidRPr="009D0496">
              <w:t>Connection of PE to nylon</w:t>
            </w:r>
          </w:p>
          <w:p w:rsidR="00000000" w:rsidP="009D0496">
            <w:pPr>
              <w:pStyle w:val="BodyText"/>
              <w:rPr>
                <w:lang w:val="en-NZ"/>
              </w:rPr>
            </w:pPr>
            <w:r w:rsidRPr="009D0496">
              <w:t>Practical application of AS3723 Installation and Maintenance of plastic pipe systems</w:t>
            </w:r>
          </w:p>
        </w:tc>
      </w:tr>
      <w:tr w:rsidTr="00861FAB">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UPVC pipeline laying techniques</w:t>
            </w:r>
          </w:p>
          <w:p w:rsidR="00000000" w:rsidRPr="009D0496" w:rsidP="009D0496">
            <w:pPr>
              <w:pStyle w:val="BodyText"/>
            </w:pPr>
            <w:r w:rsidRPr="009D0496">
              <w:t>UPVC solven</w:t>
            </w:r>
            <w:r w:rsidRPr="009D0496">
              <w:t>t cemented joints</w:t>
            </w:r>
          </w:p>
          <w:p w:rsidR="00000000" w:rsidRPr="009D0496" w:rsidP="009D0496">
            <w:pPr>
              <w:pStyle w:val="BodyText"/>
            </w:pPr>
            <w:r w:rsidRPr="009D0496">
              <w:t>UPVC moulded joints</w:t>
            </w:r>
          </w:p>
          <w:p w:rsidR="00000000" w:rsidRPr="009D0496" w:rsidP="009D0496">
            <w:pPr>
              <w:pStyle w:val="BodyText"/>
            </w:pPr>
            <w:r w:rsidRPr="009D0496">
              <w:t>UPVC stop off</w:t>
            </w:r>
          </w:p>
          <w:p w:rsidR="00000000" w:rsidRPr="009D0496" w:rsidP="009D0496">
            <w:pPr>
              <w:pStyle w:val="BodyText"/>
            </w:pPr>
            <w:r w:rsidRPr="009D0496">
              <w:t>UPVC couplings or flanges</w:t>
            </w:r>
          </w:p>
          <w:p w:rsidR="00000000" w:rsidRPr="009D0496" w:rsidP="009D0496">
            <w:pPr>
              <w:pStyle w:val="BodyText"/>
            </w:pPr>
            <w:r w:rsidRPr="009D0496">
              <w:t>Connection of UPVC to steel</w:t>
            </w:r>
          </w:p>
          <w:p w:rsidR="00000000" w:rsidP="009D0496">
            <w:pPr>
              <w:pStyle w:val="BodyText"/>
              <w:rPr>
                <w:lang w:val="en-NZ"/>
              </w:rPr>
            </w:pPr>
            <w:r w:rsidRPr="009D0496">
              <w:t>Practical application of AS3723 Installation and maintenance of plastic pipe systems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Steel pipeline coating repair</w:t>
            </w:r>
          </w:p>
          <w:p w:rsidR="00000000" w:rsidRPr="009D0496" w:rsidP="009D0496">
            <w:pPr>
              <w:pStyle w:val="BodyText"/>
            </w:pPr>
            <w:r w:rsidRPr="009D0496">
              <w:t>Steel pipeline coating testing (Jeeper)</w:t>
            </w:r>
          </w:p>
          <w:p w:rsidR="00000000" w:rsidP="009D0496">
            <w:pPr>
              <w:pStyle w:val="BodyText"/>
              <w:rPr>
                <w:lang w:val="en-NZ"/>
              </w:rPr>
            </w:pPr>
            <w:r w:rsidRPr="009D0496">
              <w:t>Steel, field joint coating</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Connection of PE to steel mains</w:t>
            </w:r>
          </w:p>
          <w:p w:rsidR="00000000" w:rsidRPr="009D0496" w:rsidP="009D0496">
            <w:pPr>
              <w:pStyle w:val="BodyText"/>
            </w:pPr>
            <w:r w:rsidRPr="009D0496">
              <w:t>Steel mains welding</w:t>
            </w:r>
          </w:p>
          <w:p w:rsidR="00000000" w:rsidRPr="009D0496" w:rsidP="009D0496">
            <w:pPr>
              <w:pStyle w:val="BodyText"/>
            </w:pPr>
            <w:r w:rsidRPr="009D0496">
              <w:t>Steel mains repair</w:t>
            </w:r>
          </w:p>
          <w:p w:rsidR="00000000" w:rsidRPr="009D0496" w:rsidP="009D0496">
            <w:pPr>
              <w:pStyle w:val="BodyText"/>
            </w:pPr>
            <w:r w:rsidRPr="009D0496">
              <w:t>Sleeve application</w:t>
            </w:r>
          </w:p>
          <w:p w:rsidR="00000000" w:rsidRPr="009D0496" w:rsidP="009D0496">
            <w:pPr>
              <w:pStyle w:val="BodyText"/>
            </w:pPr>
            <w:r w:rsidRPr="009D0496">
              <w:t>Clamp application</w:t>
            </w:r>
          </w:p>
          <w:p w:rsidR="00000000" w:rsidP="009D0496">
            <w:pPr>
              <w:pStyle w:val="BodyText"/>
              <w:rPr>
                <w:lang w:val="en-NZ"/>
              </w:rPr>
            </w:pPr>
            <w:r w:rsidRPr="009D0496">
              <w:t>Hot tap and stopple</w:t>
            </w:r>
          </w:p>
        </w:tc>
      </w:tr>
      <w:tr w:rsidTr="00861FAB">
        <w:tblPrEx>
          <w:tblW w:w="0" w:type="auto"/>
          <w:tblLayout w:type="fixed"/>
          <w:tblCellMar>
            <w:left w:w="62" w:type="dxa"/>
            <w:right w:w="62" w:type="dxa"/>
          </w:tblCellMar>
          <w:tblLook w:val="0000"/>
        </w:tblPrEx>
        <w:trPr>
          <w:trHeight w:val="229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High pressure stop off</w:t>
            </w:r>
          </w:p>
          <w:p w:rsidR="00000000" w:rsidRPr="009D0496" w:rsidP="009D0496">
            <w:pPr>
              <w:pStyle w:val="BodyText"/>
            </w:pPr>
            <w:r w:rsidRPr="009D0496">
              <w:t>312</w:t>
            </w:r>
          </w:p>
          <w:p w:rsidR="00000000" w:rsidRPr="009D0496" w:rsidP="009D0496">
            <w:pPr>
              <w:pStyle w:val="BodyText"/>
            </w:pPr>
            <w:r w:rsidRPr="009D0496">
              <w:t>Bagtube</w:t>
            </w:r>
          </w:p>
          <w:p w:rsidR="00000000" w:rsidRPr="009D0496" w:rsidP="009D0496">
            <w:pPr>
              <w:pStyle w:val="BodyText"/>
            </w:pPr>
            <w:r w:rsidRPr="009D0496">
              <w:t>Squash off jacks</w:t>
            </w:r>
          </w:p>
          <w:p w:rsidR="00000000" w:rsidP="009D0496">
            <w:pPr>
              <w:pStyle w:val="BodyText"/>
              <w:rPr>
                <w:lang w:val="en-NZ"/>
              </w:rPr>
            </w:pPr>
            <w:r w:rsidRPr="009D0496">
              <w:t>Squash off pliers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496">
            <w:pPr>
              <w:pStyle w:val="BodyText"/>
              <w:rPr>
                <w:lang w:val="en-NZ"/>
              </w:rPr>
            </w:pPr>
            <w:r w:rsidRPr="009D0496">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496" w:rsidP="009D0496">
            <w:pPr>
              <w:pStyle w:val="BodyText"/>
            </w:pPr>
            <w:r w:rsidRPr="009D0496">
              <w:t>Deal with an unplanned event by drawing on essential knowledge and associated skills to provide appropriate solutions incorporated in the holistic assessment with the above listed items</w:t>
            </w:r>
          </w:p>
        </w:tc>
      </w:tr>
    </w:tbl>
    <w:p w:rsidR="00000000" w:rsidRPr="009D0496" w:rsidP="009D0496">
      <w:pPr>
        <w:pStyle w:val="BodyText"/>
      </w:pPr>
    </w:p>
    <w:tbl>
      <w:tblPr>
        <w:tblW w:w="0" w:type="auto"/>
        <w:tblLayout w:type="fixed"/>
        <w:tblCellMar>
          <w:left w:w="62" w:type="dxa"/>
          <w:right w:w="62" w:type="dxa"/>
        </w:tblCellMar>
        <w:tblLook w:val="0000"/>
      </w:tblPr>
      <w:tblGrid>
        <w:gridCol w:w="1890"/>
        <w:gridCol w:w="6570"/>
      </w:tblGrid>
      <w:tr w:rsidTr="00861FAB">
        <w:tblPrEx>
          <w:tblW w:w="0" w:type="auto"/>
          <w:tblLayout w:type="fixed"/>
          <w:tblCellMar>
            <w:left w:w="62" w:type="dxa"/>
            <w:right w:w="62" w:type="dxa"/>
          </w:tblCellMar>
          <w:tblLook w:val="0000"/>
        </w:tblPrEx>
        <w:trPr>
          <w:trHeight w:val="827"/>
        </w:trPr>
        <w:tc>
          <w:tcPr>
            <w:tcW w:w="189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9.3)</w:t>
            </w:r>
          </w:p>
          <w:p w:rsidR="00000000" w:rsidP="009D0496">
            <w:pPr>
              <w:pStyle w:val="BodyText"/>
              <w:rPr>
                <w:lang w:val="en-NZ"/>
              </w:rPr>
            </w:pP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This unit should be assessed as it relates to normal work practice using procedures, information and resources typical of a workplace. This should include:</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
              <w:rPr>
                <w:lang w:val="en-NZ"/>
              </w:rPr>
            </w:pPr>
            <w:r w:rsidRPr="009D0496">
              <w:t>OHS policy and work procedures and instructions.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
              <w:rPr>
                <w:lang w:val="en-NZ"/>
              </w:rPr>
            </w:pPr>
            <w:r w:rsidRPr="009D0496">
              <w:t>Suitable work environment, facilities, equipment and materials to undertake actual work as prescribed by this Unit.</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
              <w:rPr>
                <w:lang w:val="en-NZ"/>
              </w:rPr>
            </w:pPr>
            <w:r w:rsidRPr="009D0496">
              <w:t>Appropriate environmental regulation and work practices.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
              <w:rPr>
                <w:lang w:val="en-NZ"/>
              </w:rPr>
            </w:pPr>
            <w:r w:rsidRPr="009D0496">
              <w:t>Appropriate organisational requirements.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ListBullet"/>
              <w:rPr>
                <w:lang w:val="en-NZ"/>
              </w:rPr>
            </w:pPr>
            <w:r w:rsidRPr="009D0496">
              <w:t>Appropriate work environment, equipment and tools.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In addition to the resources listed above, in Context of and specific resources for assessment, evidence should show demonstrated competency working in coordin</w:t>
            </w:r>
            <w:r w:rsidRPr="009D0496">
              <w:t xml:space="preserve">ating repair of pipeline, facilities and equipment. </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Assessment of this competency must also be undertaken in either an actual workplace or under a simulated work environment. Assessment must also integrate the employability skills.</w:t>
            </w:r>
          </w:p>
        </w:tc>
      </w:tr>
    </w:tbl>
    <w:p w:rsidR="00000000" w:rsidRPr="009D0496" w:rsidP="009D0496">
      <w:pPr>
        <w:pStyle w:val="BodyText"/>
      </w:pPr>
    </w:p>
    <w:tbl>
      <w:tblPr>
        <w:tblW w:w="0" w:type="auto"/>
        <w:tblLayout w:type="fixed"/>
        <w:tblCellMar>
          <w:left w:w="62" w:type="dxa"/>
          <w:right w:w="62" w:type="dxa"/>
        </w:tblCellMar>
        <w:tblLook w:val="0000"/>
      </w:tblPr>
      <w:tblGrid>
        <w:gridCol w:w="1890"/>
        <w:gridCol w:w="6570"/>
      </w:tblGrid>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9.4)</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This Unit shall be assessed by methods given in Volume 1, Part 3 ‘Assessment Guidelines’.</w:t>
            </w:r>
          </w:p>
        </w:tc>
      </w:tr>
      <w:tr w:rsidTr="00861FAB">
        <w:tblPrEx>
          <w:tblW w:w="0" w:type="auto"/>
          <w:tblLayout w:type="fixed"/>
          <w:tblCellMar>
            <w:left w:w="62" w:type="dxa"/>
            <w:right w:w="62" w:type="dxa"/>
          </w:tblCellMar>
          <w:tblLook w:val="0000"/>
        </w:tblPrEx>
        <w:trPr>
          <w:trHeight w:val="172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Note: Competent performance with inherent safe working practices is expected in the Industry to which this Unit applies. This requires t</w:t>
            </w:r>
            <w:r w:rsidRPr="009D0496">
              <w:t>hat the specified Essential Knowledge and Associated Skills are assessed in a structured environment which is primarily intended for learning/assessment and incorporates all necessary equipment and facilities for learners to develop and demonstrate the Ess</w:t>
            </w:r>
            <w:r w:rsidRPr="009D0496">
              <w:t>ential Knowledge and Associated Skills described in this unit.</w:t>
            </w:r>
          </w:p>
        </w:tc>
      </w:tr>
    </w:tbl>
    <w:p w:rsidR="00000000" w:rsidRPr="009D0496" w:rsidP="009D0496">
      <w:pPr>
        <w:pStyle w:val="BodyText"/>
      </w:pPr>
    </w:p>
    <w:tbl>
      <w:tblPr>
        <w:tblW w:w="0" w:type="auto"/>
        <w:tblLayout w:type="fixed"/>
        <w:tblCellMar>
          <w:left w:w="62" w:type="dxa"/>
          <w:right w:w="62" w:type="dxa"/>
        </w:tblCellMar>
        <w:tblLook w:val="0000"/>
      </w:tblPr>
      <w:tblGrid>
        <w:gridCol w:w="1890"/>
        <w:gridCol w:w="1620"/>
        <w:gridCol w:w="4950"/>
      </w:tblGrid>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9.5)</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There are no recommended concurrent assessments with this unit, however in some cases efficiencies may be gained in terms of learning and assessment effort being concurrently managed with allied Units where listed.</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UEGNSG102B</w:t>
            </w:r>
          </w:p>
        </w:tc>
        <w:tc>
          <w:tcPr>
            <w:tcW w:w="495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Carry out work activities i</w:t>
            </w:r>
            <w:r w:rsidRPr="009D0496">
              <w:t>n a utilities industry work environment</w:t>
            </w:r>
          </w:p>
        </w:tc>
      </w:tr>
      <w:tr w:rsidTr="00861FAB">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UEENEEE101A</w:t>
            </w:r>
          </w:p>
        </w:tc>
        <w:tc>
          <w:tcPr>
            <w:tcW w:w="495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Apply Occupational Health and Safety regulations, codes and practices in the workplace</w:t>
            </w:r>
          </w:p>
        </w:tc>
      </w:tr>
      <w:tr w:rsidTr="00861FA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UEGNSG104B</w:t>
            </w:r>
          </w:p>
        </w:tc>
        <w:tc>
          <w:tcPr>
            <w:tcW w:w="495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Comply with environmental policies and procedures</w:t>
            </w:r>
          </w:p>
        </w:tc>
      </w:tr>
      <w:tr w:rsidTr="00861FAB">
        <w:tblPrEx>
          <w:tblW w:w="0" w:type="auto"/>
          <w:tblLayout w:type="fixed"/>
          <w:tblCellMar>
            <w:left w:w="62" w:type="dxa"/>
            <w:right w:w="62" w:type="dxa"/>
          </w:tblCellMar>
          <w:tblLook w:val="0000"/>
        </w:tblPrEx>
        <w:trPr>
          <w:trHeight w:val="39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UEGNSG105B</w:t>
            </w:r>
          </w:p>
        </w:tc>
        <w:tc>
          <w:tcPr>
            <w:tcW w:w="495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Establish the work site</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BSBFLM312B</w:t>
            </w:r>
          </w:p>
        </w:tc>
        <w:tc>
          <w:tcPr>
            <w:tcW w:w="495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Contribute to team effectiveness</w:t>
            </w:r>
          </w:p>
        </w:tc>
      </w:tr>
      <w:tr w:rsidTr="00861F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BSBFLM303C</w:t>
            </w:r>
          </w:p>
        </w:tc>
        <w:tc>
          <w:tcPr>
            <w:tcW w:w="495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Contribute to effective workplace relationships</w:t>
            </w:r>
          </w:p>
        </w:tc>
      </w:tr>
    </w:tbl>
    <w:p w:rsidR="00861FAB" w:rsidP="009D0496">
      <w:pPr>
        <w:pStyle w:val="BodyText"/>
      </w:pPr>
    </w:p>
    <w:p w:rsidR="00861FAB" w:rsidP="009D0496">
      <w:pPr>
        <w:pStyle w:val="BodyText"/>
      </w:pPr>
    </w:p>
    <w:p w:rsidR="00000000" w:rsidRPr="009D0496" w:rsidP="009D0496">
      <w:pPr>
        <w:pStyle w:val="Heading1"/>
      </w:pPr>
      <w:bookmarkStart w:id="11" w:name="O_399836"/>
      <w:bookmarkEnd w:id="11"/>
      <w:r w:rsidRPr="009D0496">
        <w:t>Range Statement</w:t>
      </w:r>
    </w:p>
    <w:tbl>
      <w:tblPr>
        <w:tblW w:w="0" w:type="auto"/>
        <w:tblLayout w:type="fixed"/>
        <w:tblCellMar>
          <w:left w:w="62" w:type="dxa"/>
          <w:right w:w="62" w:type="dxa"/>
        </w:tblCellMar>
        <w:tblLook w:val="0000"/>
      </w:tblPr>
      <w:tblGrid>
        <w:gridCol w:w="8460"/>
      </w:tblGrid>
      <w:tr w:rsidTr="00861F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RANGE STATEMENT</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10)</w:t>
            </w:r>
            <w:r w:rsidRPr="009D0496">
              <w:t xml:space="preserve"> This relates to the competency standard unit as a whole providing the range of contexts and conditions t</w:t>
            </w:r>
            <w:r w:rsidRPr="009D0496">
              <w:t>o which the Performance Criteria apply. It allows for different work environments and situations that will affect performance.</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This Unit shall be demonstrated in relation to coordinating the repair of pipelines, facilities and equipment.</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The following constants and variables included in the element/Performance Criteria in this unit are fully described in the Definitions Section of this volume and form an integral part of the Range Statement of this unit:</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Types of faults (3)</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Facilities an</w:t>
            </w:r>
            <w:r w:rsidRPr="009D0496">
              <w:t>d equipment (3)</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Documentation (3)</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t>Reports (3)</w:t>
            </w:r>
          </w:p>
        </w:tc>
      </w:tr>
      <w:tr w:rsidTr="00861F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Record keeping (3)</w:t>
            </w:r>
          </w:p>
        </w:tc>
      </w:tr>
    </w:tbl>
    <w:p w:rsidR="00000000" w:rsidRPr="009D0496" w:rsidP="009D0496">
      <w:pPr>
        <w:pStyle w:val="BodyText"/>
      </w:pPr>
    </w:p>
    <w:p w:rsidR="00000000" w:rsidRPr="009D0496" w:rsidP="009D0496">
      <w:pPr>
        <w:pStyle w:val="AllowPageBreak"/>
      </w:pPr>
    </w:p>
    <w:p w:rsidR="00000000" w:rsidRPr="009D0496" w:rsidP="009D0496">
      <w:pPr>
        <w:pStyle w:val="Heading1"/>
      </w:pPr>
      <w:bookmarkStart w:id="12" w:name="O_399839"/>
      <w:bookmarkEnd w:id="12"/>
      <w:r w:rsidRPr="009D0496">
        <w:t>Unit Sector(s)</w:t>
      </w:r>
    </w:p>
    <w:p w:rsidR="00000000" w:rsidRPr="009D0496" w:rsidP="009D0496">
      <w:pPr>
        <w:pStyle w:val="BodyText"/>
      </w:pPr>
      <w:r w:rsidRPr="009D0496">
        <w:t>Not applicable.</w:t>
      </w:r>
    </w:p>
    <w:p w:rsidR="00000000" w:rsidRPr="009D0496" w:rsidP="009D0496">
      <w:pPr>
        <w:pStyle w:val="AllowPageBreak"/>
      </w:pPr>
    </w:p>
    <w:p w:rsidR="00000000" w:rsidRPr="009D0496" w:rsidP="009D0496">
      <w:pPr>
        <w:pStyle w:val="Heading1"/>
      </w:pPr>
      <w:bookmarkStart w:id="13" w:name="O_399828"/>
      <w:bookmarkEnd w:id="13"/>
      <w:r w:rsidRPr="009D0496">
        <w:t>Competency Field</w:t>
      </w:r>
    </w:p>
    <w:tbl>
      <w:tblPr>
        <w:tblW w:w="0" w:type="auto"/>
        <w:tblLayout w:type="fixed"/>
        <w:tblCellMar>
          <w:left w:w="62" w:type="dxa"/>
          <w:right w:w="62" w:type="dxa"/>
        </w:tblCellMar>
        <w:tblLook w:val="0000"/>
      </w:tblPr>
      <w:tblGrid>
        <w:gridCol w:w="2700"/>
        <w:gridCol w:w="5760"/>
      </w:tblGrid>
      <w:tr w:rsidTr="00861F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D0496">
            <w:pPr>
              <w:pStyle w:val="BodyText"/>
              <w:rPr>
                <w:lang w:val="en-NZ"/>
              </w:rPr>
            </w:pPr>
            <w:r w:rsidRPr="009D0496">
              <w:rPr>
                <w:rStyle w:val="SpecialBold"/>
              </w:rPr>
              <w:t xml:space="preserve">11) </w:t>
            </w:r>
          </w:p>
        </w:tc>
      </w:tr>
      <w:tr w:rsidTr="00861F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D0496" w:rsidP="009D0496">
            <w:pPr>
              <w:pStyle w:val="BodyText"/>
            </w:pPr>
            <w:r w:rsidRPr="009D0496">
              <w:t>Cross discipline.</w:t>
            </w:r>
          </w:p>
        </w:tc>
      </w:tr>
    </w:tbl>
    <w:p w:rsidR="00000000" w:rsidRPr="009D0496" w:rsidP="009D0496">
      <w:pPr>
        <w:pStyle w:val="BodyText"/>
      </w:pPr>
    </w:p>
    <w:p w:rsidR="00000000" w:rsidRPr="009D0496" w:rsidP="009D0496"/>
    <w:sectPr w:rsidSect="009D04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FAB" w:rsidP="00861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AB" w:rsidP="009D0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61FAB" w:rsidP="009D04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61FAB" w:rsidP="009D04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FAB" w:rsidP="00861F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FAB" w:rsidP="009D0496">
    <w:pPr>
      <w:pStyle w:val="Header"/>
      <w:framePr w:wrap="around"/>
    </w:pPr>
    <w:r>
      <w:fldChar w:fldCharType="begin"/>
    </w:r>
    <w:r>
      <w:instrText xml:space="preserve"> TITLE   \* MERGEFORMAT </w:instrText>
    </w:r>
    <w:r>
      <w:fldChar w:fldCharType="separate"/>
    </w:r>
    <w:r>
      <w:t>UEGNSG106B Coordinate repair of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1FAB" w:rsidP="009D04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8F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42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2D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4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496"/>
    <w:pPr>
      <w:spacing w:before="360" w:after="60"/>
      <w:outlineLvl w:val="0"/>
    </w:pPr>
    <w:rPr>
      <w:sz w:val="32"/>
    </w:rPr>
  </w:style>
  <w:style w:type="paragraph" w:styleId="Heading2">
    <w:name w:val="heading 2"/>
    <w:basedOn w:val="HeadingBase"/>
    <w:next w:val="BodyText"/>
    <w:link w:val="Heading2Char"/>
    <w:qFormat/>
    <w:rsid w:val="009D0496"/>
    <w:pPr>
      <w:keepLines/>
      <w:spacing w:before="240" w:after="120"/>
      <w:outlineLvl w:val="1"/>
    </w:pPr>
    <w:rPr>
      <w:sz w:val="28"/>
      <w:szCs w:val="40"/>
    </w:rPr>
  </w:style>
  <w:style w:type="paragraph" w:styleId="Heading3">
    <w:name w:val="heading 3"/>
    <w:basedOn w:val="HeadingBase"/>
    <w:next w:val="BodyText"/>
    <w:link w:val="Heading3Char"/>
    <w:qFormat/>
    <w:rsid w:val="009D0496"/>
    <w:pPr>
      <w:spacing w:before="180" w:after="120"/>
      <w:outlineLvl w:val="2"/>
    </w:pPr>
    <w:rPr>
      <w:spacing w:val="-10"/>
      <w:kern w:val="32"/>
    </w:rPr>
  </w:style>
  <w:style w:type="paragraph" w:styleId="Heading4">
    <w:name w:val="heading 4"/>
    <w:basedOn w:val="HeadingBase"/>
    <w:next w:val="BodyText"/>
    <w:link w:val="Heading4Char"/>
    <w:qFormat/>
    <w:rsid w:val="009D0496"/>
    <w:pPr>
      <w:spacing w:before="160" w:after="120"/>
      <w:outlineLvl w:val="3"/>
    </w:pPr>
    <w:rPr>
      <w:sz w:val="22"/>
    </w:rPr>
  </w:style>
  <w:style w:type="paragraph" w:styleId="Heading5">
    <w:name w:val="heading 5"/>
    <w:basedOn w:val="HeadingBase"/>
    <w:next w:val="Normal"/>
    <w:link w:val="Heading5Char"/>
    <w:qFormat/>
    <w:rsid w:val="009D0496"/>
    <w:pPr>
      <w:spacing w:before="80"/>
      <w:outlineLvl w:val="4"/>
    </w:pPr>
    <w:rPr>
      <w:color w:val="918585"/>
      <w:sz w:val="20"/>
    </w:rPr>
  </w:style>
  <w:style w:type="paragraph" w:styleId="Heading6">
    <w:name w:val="heading 6"/>
    <w:basedOn w:val="HeadingBase"/>
    <w:next w:val="Normal"/>
    <w:link w:val="Heading6Char"/>
    <w:qFormat/>
    <w:rsid w:val="009D0496"/>
    <w:pPr>
      <w:spacing w:before="60"/>
      <w:outlineLvl w:val="5"/>
    </w:pPr>
    <w:rPr>
      <w:color w:val="918585"/>
      <w:sz w:val="20"/>
    </w:rPr>
  </w:style>
  <w:style w:type="paragraph" w:styleId="Heading7">
    <w:name w:val="heading 7"/>
    <w:basedOn w:val="Normal"/>
    <w:next w:val="Normal"/>
    <w:link w:val="Heading7Char"/>
    <w:qFormat/>
    <w:rsid w:val="009D0496"/>
    <w:pPr>
      <w:ind w:left="720"/>
      <w:outlineLvl w:val="6"/>
    </w:pPr>
    <w:rPr>
      <w:i/>
    </w:rPr>
  </w:style>
  <w:style w:type="paragraph" w:styleId="Heading8">
    <w:name w:val="heading 8"/>
    <w:basedOn w:val="Normal"/>
    <w:next w:val="Normal"/>
    <w:link w:val="Heading8Char"/>
    <w:qFormat/>
    <w:rsid w:val="009D0496"/>
    <w:pPr>
      <w:ind w:left="720"/>
      <w:outlineLvl w:val="7"/>
    </w:pPr>
    <w:rPr>
      <w:i/>
    </w:rPr>
  </w:style>
  <w:style w:type="paragraph" w:styleId="Heading9">
    <w:name w:val="heading 9"/>
    <w:basedOn w:val="Normal"/>
    <w:next w:val="Normal"/>
    <w:link w:val="Heading9Char"/>
    <w:qFormat/>
    <w:rsid w:val="009D0496"/>
    <w:pPr>
      <w:ind w:left="720"/>
      <w:outlineLvl w:val="8"/>
    </w:pPr>
    <w:rPr>
      <w:i/>
    </w:rPr>
  </w:style>
  <w:style w:type="character" w:default="1" w:styleId="DefaultParagraphFont">
    <w:name w:val="Default Paragraph Font"/>
    <w:uiPriority w:val="1"/>
    <w:unhideWhenUsed/>
    <w:rsid w:val="009D0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496"/>
  </w:style>
  <w:style w:type="character" w:customStyle="1" w:styleId="Heading1Char">
    <w:name w:val="Heading 1 Char"/>
    <w:basedOn w:val="DefaultParagraphFont"/>
    <w:link w:val="Heading1"/>
    <w:rsid w:val="009D0496"/>
    <w:rPr>
      <w:rFonts w:ascii="Times New Roman" w:eastAsia="Times New Roman" w:hAnsi="Times New Roman" w:cs="Times New Roman"/>
      <w:b/>
      <w:sz w:val="32"/>
      <w:szCs w:val="20"/>
      <w:lang w:eastAsia="en-US"/>
    </w:rPr>
  </w:style>
  <w:style w:type="paragraph" w:styleId="BodyText">
    <w:name w:val="Body Text"/>
    <w:basedOn w:val="Normal"/>
    <w:link w:val="BodyTextChar"/>
    <w:rsid w:val="009D04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496"/>
    <w:rPr>
      <w:rFonts w:ascii="Times New Roman" w:eastAsia="Times New Roman" w:hAnsi="Times New Roman" w:cs="Times New Roman"/>
      <w:sz w:val="24"/>
      <w:lang w:val="en-US" w:eastAsia="en-US"/>
    </w:rPr>
  </w:style>
  <w:style w:type="paragraph" w:styleId="Footer">
    <w:name w:val="footer"/>
    <w:basedOn w:val="Normal"/>
    <w:link w:val="FooterChar"/>
    <w:rsid w:val="009D0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496"/>
    <w:rPr>
      <w:rFonts w:ascii="Times New Roman" w:eastAsia="Times New Roman" w:hAnsi="Times New Roman" w:cs="Times New Roman"/>
      <w:sz w:val="16"/>
      <w:lang w:val="en-US" w:eastAsia="en-US"/>
    </w:rPr>
  </w:style>
  <w:style w:type="paragraph" w:styleId="ListBullet">
    <w:name w:val="List Bullet"/>
    <w:basedOn w:val="List"/>
    <w:rsid w:val="009D0496"/>
    <w:pPr>
      <w:numPr>
        <w:numId w:val="13"/>
      </w:numPr>
      <w:tabs>
        <w:tab w:val="clear" w:pos="340"/>
      </w:tabs>
      <w:spacing w:before="40" w:after="40"/>
    </w:pPr>
  </w:style>
  <w:style w:type="character" w:customStyle="1" w:styleId="SpecialBold">
    <w:name w:val="Special Bold"/>
    <w:basedOn w:val="DefaultParagraphFont"/>
    <w:rsid w:val="009D0496"/>
    <w:rPr>
      <w:b/>
      <w:spacing w:val="0"/>
    </w:rPr>
  </w:style>
  <w:style w:type="paragraph" w:styleId="ListBullet2">
    <w:name w:val="List Bullet 2"/>
    <w:basedOn w:val="List2"/>
    <w:rsid w:val="009D0496"/>
    <w:pPr>
      <w:numPr>
        <w:numId w:val="14"/>
      </w:numPr>
      <w:tabs>
        <w:tab w:val="clear" w:pos="680"/>
      </w:tabs>
    </w:pPr>
  </w:style>
  <w:style w:type="paragraph" w:styleId="Header">
    <w:name w:val="header"/>
    <w:basedOn w:val="Normal"/>
    <w:link w:val="HeaderChar"/>
    <w:rsid w:val="009D0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4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496"/>
    <w:pPr>
      <w:spacing w:before="240" w:after="120"/>
      <w:outlineLvl w:val="0"/>
    </w:pPr>
    <w:rPr>
      <w:rFonts w:ascii="Times New Roman" w:hAnsi="Times New Roman"/>
      <w:b/>
      <w:sz w:val="28"/>
    </w:rPr>
  </w:style>
  <w:style w:type="paragraph" w:customStyle="1" w:styleId="AllowPageBreak">
    <w:name w:val="AllowPageBreak"/>
    <w:rsid w:val="009D0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4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4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496"/>
    <w:rPr>
      <w:rFonts w:ascii="Courier New" w:eastAsia="Times New Roman" w:hAnsi="Courier New" w:cs="Times New Roman"/>
      <w:i/>
      <w:szCs w:val="20"/>
      <w:lang w:val="en-US" w:eastAsia="en-US"/>
    </w:rPr>
  </w:style>
  <w:style w:type="paragraph" w:customStyle="1" w:styleId="HeadingBase">
    <w:name w:val="Heading Base"/>
    <w:rsid w:val="009D0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496"/>
    <w:pPr>
      <w:tabs>
        <w:tab w:val="right" w:leader="dot" w:pos="9072"/>
      </w:tabs>
      <w:ind w:left="567"/>
    </w:pPr>
    <w:rPr>
      <w:szCs w:val="22"/>
    </w:rPr>
  </w:style>
  <w:style w:type="paragraph" w:customStyle="1" w:styleId="TOCBase">
    <w:name w:val="TOC Base"/>
    <w:rsid w:val="009D0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496"/>
    <w:pPr>
      <w:tabs>
        <w:tab w:val="right" w:leader="dot" w:pos="9072"/>
      </w:tabs>
      <w:spacing w:before="40" w:after="40"/>
      <w:ind w:left="284"/>
    </w:pPr>
    <w:rPr>
      <w:rFonts w:ascii="Times New Roman" w:hAnsi="Times New Roman"/>
    </w:rPr>
  </w:style>
  <w:style w:type="paragraph" w:styleId="TOC1">
    <w:name w:val="toc 1"/>
    <w:basedOn w:val="TOCBase"/>
    <w:next w:val="Normal"/>
    <w:rsid w:val="009D04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496"/>
    <w:pPr>
      <w:spacing w:before="5040"/>
      <w:jc w:val="center"/>
    </w:pPr>
    <w:rPr>
      <w:sz w:val="48"/>
      <w:szCs w:val="72"/>
      <w:lang w:val="en-US"/>
    </w:rPr>
  </w:style>
  <w:style w:type="character" w:customStyle="1" w:styleId="TitleChar">
    <w:name w:val="Title Char"/>
    <w:basedOn w:val="DefaultParagraphFont"/>
    <w:link w:val="Title"/>
    <w:rsid w:val="009D0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496"/>
    <w:pPr>
      <w:tabs>
        <w:tab w:val="left" w:pos="3600"/>
        <w:tab w:val="left" w:pos="3958"/>
      </w:tabs>
    </w:pPr>
  </w:style>
  <w:style w:type="paragraph" w:styleId="List">
    <w:name w:val="List"/>
    <w:basedOn w:val="BodyText"/>
    <w:next w:val="BodyText"/>
    <w:rsid w:val="009D0496"/>
    <w:pPr>
      <w:tabs>
        <w:tab w:val="left" w:pos="340"/>
      </w:tabs>
      <w:spacing w:before="60" w:after="60"/>
      <w:ind w:left="340" w:hanging="340"/>
    </w:pPr>
  </w:style>
  <w:style w:type="paragraph" w:customStyle="1" w:styleId="Note">
    <w:name w:val="Note"/>
    <w:basedOn w:val="BodyText"/>
    <w:rsid w:val="009D0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496"/>
    <w:pPr>
      <w:framePr w:wrap="auto" w:hAnchor="text" w:y="6049"/>
    </w:pPr>
    <w:rPr>
      <w:color w:val="000000"/>
      <w:sz w:val="40"/>
    </w:rPr>
  </w:style>
  <w:style w:type="paragraph" w:customStyle="1" w:styleId="TOCTitle">
    <w:name w:val="TOCTitle"/>
    <w:basedOn w:val="Heading1"/>
    <w:rsid w:val="009D0496"/>
    <w:pPr>
      <w:spacing w:after="240"/>
      <w:jc w:val="center"/>
      <w:outlineLvl w:val="9"/>
    </w:pPr>
    <w:rPr>
      <w:caps/>
    </w:rPr>
  </w:style>
  <w:style w:type="paragraph" w:customStyle="1" w:styleId="Version">
    <w:name w:val="Version"/>
    <w:rsid w:val="009D0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496"/>
    <w:pPr>
      <w:keepNext w:val="0"/>
      <w:tabs>
        <w:tab w:val="right" w:pos="4176"/>
      </w:tabs>
      <w:ind w:left="198" w:hanging="198"/>
    </w:pPr>
    <w:rPr>
      <w:rFonts w:ascii="Garamond" w:hAnsi="Garamond"/>
    </w:rPr>
  </w:style>
  <w:style w:type="paragraph" w:styleId="IndexHeading">
    <w:name w:val="index heading"/>
    <w:basedOn w:val="Normal"/>
    <w:next w:val="Index1"/>
    <w:semiHidden/>
    <w:rsid w:val="009D0496"/>
    <w:pPr>
      <w:spacing w:before="120" w:after="120"/>
    </w:pPr>
    <w:rPr>
      <w:rFonts w:ascii="Arial" w:hAnsi="Arial"/>
      <w:b/>
      <w:color w:val="918585"/>
      <w:sz w:val="24"/>
    </w:rPr>
  </w:style>
  <w:style w:type="paragraph" w:customStyle="1" w:styleId="Chapter">
    <w:name w:val="Chapter"/>
    <w:basedOn w:val="Normal"/>
    <w:rsid w:val="009D0496"/>
    <w:pPr>
      <w:spacing w:before="240"/>
    </w:pPr>
    <w:rPr>
      <w:rFonts w:ascii="Times New Roman" w:hAnsi="Times New Roman"/>
      <w:smallCaps/>
      <w:spacing w:val="80"/>
      <w:sz w:val="28"/>
    </w:rPr>
  </w:style>
  <w:style w:type="paragraph" w:customStyle="1" w:styleId="InChapter">
    <w:name w:val="InChapter"/>
    <w:basedOn w:val="Heading3"/>
    <w:rsid w:val="009D0496"/>
    <w:pPr>
      <w:spacing w:after="240"/>
      <w:outlineLvl w:val="9"/>
    </w:pPr>
    <w:rPr>
      <w:noProof/>
    </w:rPr>
  </w:style>
  <w:style w:type="paragraph" w:styleId="Index2">
    <w:name w:val="index 2"/>
    <w:basedOn w:val="Normal"/>
    <w:next w:val="Normal"/>
    <w:semiHidden/>
    <w:rsid w:val="009D0496"/>
    <w:pPr>
      <w:tabs>
        <w:tab w:val="right" w:pos="4176"/>
      </w:tabs>
      <w:ind w:left="568" w:hanging="284"/>
    </w:pPr>
    <w:rPr>
      <w:rFonts w:ascii="Garamond" w:hAnsi="Garamond"/>
    </w:rPr>
  </w:style>
  <w:style w:type="paragraph" w:customStyle="1" w:styleId="Byline">
    <w:name w:val="Byline"/>
    <w:rsid w:val="009D0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496"/>
    <w:pPr>
      <w:tabs>
        <w:tab w:val="clear" w:pos="3600"/>
        <w:tab w:val="clear" w:pos="3958"/>
      </w:tabs>
      <w:jc w:val="right"/>
    </w:pPr>
  </w:style>
  <w:style w:type="character" w:styleId="Emphasis">
    <w:name w:val="Emphasis"/>
    <w:basedOn w:val="DefaultParagraphFont"/>
    <w:qFormat/>
    <w:rsid w:val="009D0496"/>
    <w:rPr>
      <w:i/>
    </w:rPr>
  </w:style>
  <w:style w:type="paragraph" w:styleId="Caption">
    <w:name w:val="caption"/>
    <w:basedOn w:val="BodyText"/>
    <w:next w:val="Normal"/>
    <w:qFormat/>
    <w:rsid w:val="009D0496"/>
    <w:pPr>
      <w:framePr w:w="2268" w:hSpace="181" w:vSpace="181" w:wrap="around" w:vAnchor="text" w:hAnchor="page" w:x="1135" w:y="285" w:anchorLock="1"/>
    </w:pPr>
    <w:rPr>
      <w:i/>
    </w:rPr>
  </w:style>
  <w:style w:type="paragraph" w:customStyle="1" w:styleId="MiniTOCTitle">
    <w:name w:val="MiniTOCTitle"/>
    <w:basedOn w:val="Heading4"/>
    <w:rsid w:val="009D0496"/>
    <w:pPr>
      <w:spacing w:before="240"/>
      <w:outlineLvl w:val="9"/>
    </w:pPr>
    <w:rPr>
      <w:noProof/>
      <w:sz w:val="24"/>
    </w:rPr>
  </w:style>
  <w:style w:type="paragraph" w:customStyle="1" w:styleId="MiniTOCItem">
    <w:name w:val="MiniTOCItem"/>
    <w:basedOn w:val="ListBullet"/>
    <w:rsid w:val="009D0496"/>
    <w:pPr>
      <w:numPr>
        <w:numId w:val="0"/>
      </w:numPr>
      <w:tabs>
        <w:tab w:val="right" w:leader="dot" w:pos="6521"/>
      </w:tabs>
      <w:spacing w:before="0" w:after="0"/>
    </w:pPr>
  </w:style>
  <w:style w:type="paragraph" w:customStyle="1" w:styleId="TOFTitle">
    <w:name w:val="TOFTitle"/>
    <w:basedOn w:val="TOCTitle"/>
    <w:rsid w:val="009D0496"/>
  </w:style>
  <w:style w:type="paragraph" w:styleId="TableofFigures">
    <w:name w:val="table of figures"/>
    <w:basedOn w:val="Normal"/>
    <w:next w:val="Normal"/>
    <w:semiHidden/>
    <w:rsid w:val="009D0496"/>
    <w:pPr>
      <w:tabs>
        <w:tab w:val="right" w:leader="dot" w:pos="9072"/>
      </w:tabs>
      <w:ind w:left="970" w:hanging="403"/>
    </w:pPr>
    <w:rPr>
      <w:rFonts w:ascii="Times New Roman" w:hAnsi="Times New Roman"/>
      <w:b/>
    </w:rPr>
  </w:style>
  <w:style w:type="paragraph" w:styleId="ListNumber">
    <w:name w:val="List Number"/>
    <w:basedOn w:val="List"/>
    <w:rsid w:val="009D0496"/>
    <w:pPr>
      <w:numPr>
        <w:numId w:val="11"/>
      </w:numPr>
    </w:pPr>
  </w:style>
  <w:style w:type="character" w:customStyle="1" w:styleId="WingdingSymbols">
    <w:name w:val="Wingding Symbols"/>
    <w:rsid w:val="009D0496"/>
    <w:rPr>
      <w:rFonts w:ascii="Wingdings" w:hAnsi="Wingdings"/>
    </w:rPr>
  </w:style>
  <w:style w:type="paragraph" w:customStyle="1" w:styleId="TableHeading">
    <w:name w:val="Table Heading"/>
    <w:basedOn w:val="HeadingBase"/>
    <w:rsid w:val="009D0496"/>
    <w:pPr>
      <w:keepLines/>
      <w:pBdr>
        <w:bottom w:val="single" w:sz="6" w:space="1" w:color="918585"/>
      </w:pBdr>
      <w:spacing w:before="240"/>
    </w:pPr>
  </w:style>
  <w:style w:type="character" w:customStyle="1" w:styleId="HotSpot">
    <w:name w:val="HotSpot"/>
    <w:rsid w:val="009D0496"/>
    <w:rPr>
      <w:color w:val="0033CC"/>
      <w:u w:val="none"/>
    </w:rPr>
  </w:style>
  <w:style w:type="paragraph" w:customStyle="1" w:styleId="BodyTextRight">
    <w:name w:val="Body Text Right"/>
    <w:basedOn w:val="BodyText"/>
    <w:rsid w:val="009D0496"/>
    <w:pPr>
      <w:spacing w:before="0" w:after="0"/>
      <w:jc w:val="right"/>
    </w:pPr>
  </w:style>
  <w:style w:type="paragraph" w:styleId="Index3">
    <w:name w:val="index 3"/>
    <w:basedOn w:val="ListNumber2"/>
    <w:next w:val="Normal"/>
    <w:semiHidden/>
    <w:rsid w:val="009D0496"/>
    <w:pPr>
      <w:numPr>
        <w:numId w:val="0"/>
      </w:numPr>
      <w:tabs>
        <w:tab w:val="right" w:leader="dot" w:pos="4176"/>
      </w:tabs>
    </w:pPr>
  </w:style>
  <w:style w:type="paragraph" w:styleId="ListNumber2">
    <w:name w:val="List Number 2"/>
    <w:basedOn w:val="List2"/>
    <w:rsid w:val="009D0496"/>
    <w:pPr>
      <w:numPr>
        <w:numId w:val="10"/>
      </w:numPr>
      <w:tabs>
        <w:tab w:val="clear" w:pos="1060"/>
      </w:tabs>
    </w:pPr>
  </w:style>
  <w:style w:type="paragraph" w:customStyle="1" w:styleId="MarginNote">
    <w:name w:val="Margin Note"/>
    <w:basedOn w:val="BodyText"/>
    <w:rsid w:val="009D0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4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496"/>
    <w:rPr>
      <w:sz w:val="32"/>
    </w:rPr>
  </w:style>
  <w:style w:type="paragraph" w:customStyle="1" w:styleId="HeadingProcedure">
    <w:name w:val="Heading Procedure"/>
    <w:basedOn w:val="HeadingBase"/>
    <w:next w:val="Normal"/>
    <w:rsid w:val="009D0496"/>
    <w:pPr>
      <w:tabs>
        <w:tab w:val="left" w:pos="0"/>
      </w:tabs>
      <w:spacing w:before="120" w:after="60"/>
    </w:pPr>
    <w:rPr>
      <w:i/>
      <w:color w:val="918585"/>
      <w:sz w:val="22"/>
    </w:rPr>
  </w:style>
  <w:style w:type="paragraph" w:customStyle="1" w:styleId="TableBodyText">
    <w:name w:val="Table Body Text"/>
    <w:basedOn w:val="BodyText"/>
    <w:rsid w:val="009D0496"/>
    <w:pPr>
      <w:spacing w:before="60" w:after="60"/>
    </w:pPr>
  </w:style>
  <w:style w:type="paragraph" w:styleId="ListContinue">
    <w:name w:val="List Continue"/>
    <w:basedOn w:val="List"/>
    <w:rsid w:val="009D0496"/>
    <w:pPr>
      <w:ind w:firstLine="0"/>
    </w:pPr>
  </w:style>
  <w:style w:type="paragraph" w:customStyle="1" w:styleId="ListNote">
    <w:name w:val="List Note"/>
    <w:basedOn w:val="List"/>
    <w:rsid w:val="009D0496"/>
    <w:pPr>
      <w:pBdr>
        <w:top w:val="single" w:sz="6" w:space="2" w:color="918585"/>
        <w:bottom w:val="single" w:sz="6" w:space="2" w:color="918585"/>
      </w:pBdr>
      <w:tabs>
        <w:tab w:val="left" w:pos="1021"/>
      </w:tabs>
      <w:ind w:firstLine="0"/>
    </w:pPr>
  </w:style>
  <w:style w:type="paragraph" w:customStyle="1" w:styleId="Warning">
    <w:name w:val="Warning"/>
    <w:basedOn w:val="BodyText"/>
    <w:rsid w:val="009D0496"/>
    <w:pPr>
      <w:shd w:val="clear" w:color="auto" w:fill="D9D9D9"/>
      <w:tabs>
        <w:tab w:val="left" w:pos="992"/>
      </w:tabs>
      <w:ind w:left="119" w:right="119"/>
    </w:pPr>
    <w:rPr>
      <w:sz w:val="20"/>
    </w:rPr>
  </w:style>
  <w:style w:type="paragraph" w:customStyle="1" w:styleId="MarginIcons">
    <w:name w:val="Margin Icons"/>
    <w:basedOn w:val="BodyText"/>
    <w:rsid w:val="009D0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496"/>
    <w:rPr>
      <w:rFonts w:ascii="Courier New" w:hAnsi="Courier New"/>
    </w:rPr>
  </w:style>
  <w:style w:type="paragraph" w:customStyle="1" w:styleId="NoteBullet">
    <w:name w:val="Note Bullet"/>
    <w:basedOn w:val="Note"/>
    <w:rsid w:val="009D0496"/>
    <w:pPr>
      <w:tabs>
        <w:tab w:val="clear" w:pos="680"/>
      </w:tabs>
      <w:spacing w:before="60" w:after="60"/>
    </w:pPr>
  </w:style>
  <w:style w:type="paragraph" w:customStyle="1" w:styleId="SubHeading2">
    <w:name w:val="SubHeading2"/>
    <w:basedOn w:val="HeadingBase"/>
    <w:rsid w:val="009D0496"/>
    <w:pPr>
      <w:spacing w:before="240" w:after="60"/>
    </w:pPr>
    <w:rPr>
      <w:sz w:val="20"/>
    </w:rPr>
  </w:style>
  <w:style w:type="paragraph" w:customStyle="1" w:styleId="SubHeading1">
    <w:name w:val="SubHeading1"/>
    <w:basedOn w:val="HeadingBase"/>
    <w:rsid w:val="009D0496"/>
    <w:pPr>
      <w:spacing w:before="240" w:after="60"/>
    </w:pPr>
    <w:rPr>
      <w:color w:val="918585"/>
      <w:sz w:val="22"/>
    </w:rPr>
  </w:style>
  <w:style w:type="paragraph" w:customStyle="1" w:styleId="SideHeading">
    <w:name w:val="Side Heading"/>
    <w:basedOn w:val="HeadingBase"/>
    <w:rsid w:val="009D0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496"/>
    <w:pPr>
      <w:numPr>
        <w:numId w:val="12"/>
      </w:numPr>
    </w:pPr>
  </w:style>
  <w:style w:type="paragraph" w:styleId="PlainText">
    <w:name w:val="Plain Text"/>
    <w:basedOn w:val="Normal"/>
    <w:link w:val="PlainTextChar"/>
    <w:rsid w:val="009D0496"/>
    <w:rPr>
      <w:sz w:val="20"/>
    </w:rPr>
  </w:style>
  <w:style w:type="character" w:customStyle="1" w:styleId="PlainTextChar">
    <w:name w:val="Plain Text Char"/>
    <w:basedOn w:val="DefaultParagraphFont"/>
    <w:link w:val="PlainText"/>
    <w:rsid w:val="009D04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496"/>
    <w:rPr>
      <w:b/>
      <w:smallCaps/>
    </w:rPr>
  </w:style>
  <w:style w:type="paragraph" w:customStyle="1" w:styleId="TableListNumber">
    <w:name w:val="Table List Number"/>
    <w:basedOn w:val="ListNumber"/>
    <w:rsid w:val="009D0496"/>
    <w:pPr>
      <w:numPr>
        <w:numId w:val="0"/>
      </w:numPr>
    </w:pPr>
  </w:style>
  <w:style w:type="paragraph" w:styleId="TOC4">
    <w:name w:val="toc 4"/>
    <w:basedOn w:val="TOCBase"/>
    <w:next w:val="Normal"/>
    <w:semiHidden/>
    <w:rsid w:val="009D0496"/>
    <w:pPr>
      <w:tabs>
        <w:tab w:val="right" w:leader="dot" w:pos="9071"/>
      </w:tabs>
      <w:ind w:left="1701"/>
    </w:pPr>
  </w:style>
  <w:style w:type="paragraph" w:customStyle="1" w:styleId="ListAlpha">
    <w:name w:val="List Alpha"/>
    <w:basedOn w:val="List"/>
    <w:rsid w:val="009D0496"/>
    <w:pPr>
      <w:numPr>
        <w:numId w:val="9"/>
      </w:numPr>
    </w:pPr>
  </w:style>
  <w:style w:type="paragraph" w:customStyle="1" w:styleId="ListAlpha2">
    <w:name w:val="List Alpha 2"/>
    <w:basedOn w:val="List2"/>
    <w:rsid w:val="009D0496"/>
    <w:pPr>
      <w:numPr>
        <w:numId w:val="8"/>
      </w:numPr>
    </w:pPr>
  </w:style>
  <w:style w:type="paragraph" w:styleId="List2">
    <w:name w:val="List 2"/>
    <w:basedOn w:val="BodyText"/>
    <w:rsid w:val="009D0496"/>
    <w:pPr>
      <w:tabs>
        <w:tab w:val="left" w:pos="680"/>
      </w:tabs>
      <w:spacing w:before="60" w:after="60"/>
      <w:ind w:left="680" w:hanging="340"/>
    </w:pPr>
  </w:style>
  <w:style w:type="paragraph" w:styleId="List3">
    <w:name w:val="List 3"/>
    <w:basedOn w:val="BodyText"/>
    <w:rsid w:val="009D0496"/>
    <w:pPr>
      <w:tabs>
        <w:tab w:val="left" w:pos="1021"/>
      </w:tabs>
      <w:spacing w:before="60" w:after="60"/>
      <w:ind w:left="1020" w:hanging="340"/>
    </w:pPr>
  </w:style>
  <w:style w:type="paragraph" w:styleId="List4">
    <w:name w:val="List 4"/>
    <w:basedOn w:val="BodyText"/>
    <w:rsid w:val="009D0496"/>
    <w:pPr>
      <w:tabs>
        <w:tab w:val="left" w:pos="1361"/>
      </w:tabs>
      <w:spacing w:before="60" w:after="60"/>
      <w:ind w:left="1361" w:hanging="340"/>
    </w:pPr>
  </w:style>
  <w:style w:type="paragraph" w:styleId="List5">
    <w:name w:val="List 5"/>
    <w:basedOn w:val="BodyText"/>
    <w:rsid w:val="009D0496"/>
    <w:pPr>
      <w:tabs>
        <w:tab w:val="left" w:pos="1701"/>
      </w:tabs>
      <w:spacing w:before="60" w:after="60"/>
      <w:ind w:left="1701" w:hanging="340"/>
    </w:pPr>
  </w:style>
  <w:style w:type="paragraph" w:styleId="ListBullet3">
    <w:name w:val="List Bullet 3"/>
    <w:basedOn w:val="List3"/>
    <w:rsid w:val="009D0496"/>
    <w:pPr>
      <w:numPr>
        <w:numId w:val="15"/>
      </w:numPr>
      <w:tabs>
        <w:tab w:val="clear" w:pos="1021"/>
      </w:tabs>
      <w:ind w:left="1037" w:hanging="357"/>
    </w:pPr>
  </w:style>
  <w:style w:type="paragraph" w:styleId="ListBullet4">
    <w:name w:val="List Bullet 4"/>
    <w:basedOn w:val="List4"/>
    <w:rsid w:val="009D0496"/>
    <w:pPr>
      <w:numPr>
        <w:numId w:val="3"/>
      </w:numPr>
    </w:pPr>
  </w:style>
  <w:style w:type="paragraph" w:styleId="ListBullet5">
    <w:name w:val="List Bullet 5"/>
    <w:basedOn w:val="List5"/>
    <w:rsid w:val="009D0496"/>
    <w:pPr>
      <w:numPr>
        <w:numId w:val="4"/>
      </w:numPr>
    </w:pPr>
  </w:style>
  <w:style w:type="paragraph" w:styleId="ListContinue2">
    <w:name w:val="List Continue 2"/>
    <w:basedOn w:val="List2"/>
    <w:rsid w:val="009D0496"/>
    <w:pPr>
      <w:ind w:firstLine="0"/>
    </w:pPr>
  </w:style>
  <w:style w:type="paragraph" w:styleId="ListContinue3">
    <w:name w:val="List Continue 3"/>
    <w:basedOn w:val="List3"/>
    <w:rsid w:val="009D0496"/>
    <w:pPr>
      <w:ind w:left="1021" w:firstLine="0"/>
    </w:pPr>
  </w:style>
  <w:style w:type="paragraph" w:styleId="ListContinue4">
    <w:name w:val="List Continue 4"/>
    <w:basedOn w:val="List4"/>
    <w:rsid w:val="009D0496"/>
    <w:pPr>
      <w:ind w:firstLine="0"/>
    </w:pPr>
  </w:style>
  <w:style w:type="paragraph" w:styleId="ListContinue5">
    <w:name w:val="List Continue 5"/>
    <w:basedOn w:val="List5"/>
    <w:rsid w:val="009D0496"/>
    <w:pPr>
      <w:ind w:firstLine="0"/>
    </w:pPr>
  </w:style>
  <w:style w:type="paragraph" w:styleId="ListNumber3">
    <w:name w:val="List Number 3"/>
    <w:basedOn w:val="List3"/>
    <w:rsid w:val="009D0496"/>
    <w:pPr>
      <w:numPr>
        <w:numId w:val="5"/>
      </w:numPr>
    </w:pPr>
  </w:style>
  <w:style w:type="paragraph" w:styleId="ListNumber4">
    <w:name w:val="List Number 4"/>
    <w:basedOn w:val="List4"/>
    <w:rsid w:val="009D0496"/>
    <w:pPr>
      <w:numPr>
        <w:numId w:val="6"/>
      </w:numPr>
    </w:pPr>
  </w:style>
  <w:style w:type="paragraph" w:styleId="ListNumber5">
    <w:name w:val="List Number 5"/>
    <w:basedOn w:val="List5"/>
    <w:rsid w:val="009D0496"/>
    <w:pPr>
      <w:numPr>
        <w:numId w:val="7"/>
      </w:numPr>
    </w:pPr>
  </w:style>
  <w:style w:type="paragraph" w:styleId="BlockText">
    <w:name w:val="Block Text"/>
    <w:basedOn w:val="Normal"/>
    <w:rsid w:val="009D0496"/>
    <w:pPr>
      <w:spacing w:after="120"/>
      <w:ind w:left="1440" w:right="1440"/>
    </w:pPr>
  </w:style>
  <w:style w:type="character" w:customStyle="1" w:styleId="Subscript">
    <w:name w:val="Subscript"/>
    <w:basedOn w:val="DefaultParagraphFont"/>
    <w:rsid w:val="009D0496"/>
    <w:rPr>
      <w:sz w:val="16"/>
      <w:vertAlign w:val="subscript"/>
    </w:rPr>
  </w:style>
  <w:style w:type="character" w:customStyle="1" w:styleId="Superscript">
    <w:name w:val="Superscript"/>
    <w:basedOn w:val="DefaultParagraphFont"/>
    <w:rsid w:val="009D0496"/>
    <w:rPr>
      <w:sz w:val="16"/>
      <w:vertAlign w:val="superscript"/>
    </w:rPr>
  </w:style>
  <w:style w:type="character" w:customStyle="1" w:styleId="Symbols">
    <w:name w:val="Symbols"/>
    <w:basedOn w:val="DefaultParagraphFont"/>
    <w:rsid w:val="009D0496"/>
    <w:rPr>
      <w:rFonts w:ascii="Symbol" w:hAnsi="Symbol"/>
    </w:rPr>
  </w:style>
  <w:style w:type="character" w:customStyle="1" w:styleId="MenuOptions">
    <w:name w:val="Menu Options"/>
    <w:basedOn w:val="DefaultParagraphFont"/>
    <w:rsid w:val="009D0496"/>
    <w:rPr>
      <w:rFonts w:ascii="Arial Narrow" w:hAnsi="Arial Narrow"/>
      <w:smallCaps/>
    </w:rPr>
  </w:style>
  <w:style w:type="character" w:customStyle="1" w:styleId="Buttons">
    <w:name w:val="Buttons"/>
    <w:basedOn w:val="DefaultParagraphFont"/>
    <w:rsid w:val="009D0496"/>
    <w:rPr>
      <w:b/>
    </w:rPr>
  </w:style>
  <w:style w:type="character" w:customStyle="1" w:styleId="Underlined">
    <w:name w:val="Underlined"/>
    <w:basedOn w:val="DefaultParagraphFont"/>
    <w:rsid w:val="009D0496"/>
    <w:rPr>
      <w:u w:val="single"/>
    </w:rPr>
  </w:style>
  <w:style w:type="paragraph" w:customStyle="1" w:styleId="TableBodyTextRight">
    <w:name w:val="Table Body Text Right"/>
    <w:basedOn w:val="TableBodyText"/>
    <w:rsid w:val="009D0496"/>
    <w:pPr>
      <w:widowControl w:val="0"/>
      <w:autoSpaceDE w:val="0"/>
      <w:autoSpaceDN w:val="0"/>
      <w:adjustRightInd w:val="0"/>
      <w:jc w:val="right"/>
    </w:pPr>
    <w:rPr>
      <w:rFonts w:cs="Arial"/>
      <w:szCs w:val="18"/>
    </w:rPr>
  </w:style>
  <w:style w:type="paragraph" w:customStyle="1" w:styleId="CopyrightText">
    <w:name w:val="Copyright Text"/>
    <w:basedOn w:val="BodyText"/>
    <w:rsid w:val="009D0496"/>
    <w:rPr>
      <w:sz w:val="18"/>
    </w:rPr>
  </w:style>
  <w:style w:type="paragraph" w:customStyle="1" w:styleId="BodySmallRight">
    <w:name w:val="Body Small Right"/>
    <w:basedOn w:val="BodyTextRight"/>
    <w:rsid w:val="009D0496"/>
    <w:rPr>
      <w:sz w:val="18"/>
      <w:szCs w:val="18"/>
    </w:rPr>
  </w:style>
  <w:style w:type="paragraph" w:customStyle="1" w:styleId="MarginEdition">
    <w:name w:val="Margin Edition"/>
    <w:basedOn w:val="MarginNote"/>
    <w:rsid w:val="009D0496"/>
    <w:pPr>
      <w:spacing w:before="0" w:after="0"/>
    </w:pPr>
    <w:rPr>
      <w:rFonts w:ascii="Times New Roman" w:hAnsi="Times New Roman"/>
      <w:color w:val="999999"/>
    </w:rPr>
  </w:style>
  <w:style w:type="paragraph" w:customStyle="1" w:styleId="Spacer">
    <w:name w:val="Spacer"/>
    <w:basedOn w:val="Normal"/>
    <w:rsid w:val="009D0496"/>
    <w:rPr>
      <w:sz w:val="2"/>
      <w:szCs w:val="2"/>
    </w:rPr>
  </w:style>
  <w:style w:type="character" w:customStyle="1" w:styleId="Small">
    <w:name w:val="Small"/>
    <w:basedOn w:val="DefaultParagraphFont"/>
    <w:rsid w:val="009D0496"/>
    <w:rPr>
      <w:sz w:val="16"/>
    </w:rPr>
  </w:style>
  <w:style w:type="paragraph" w:customStyle="1" w:styleId="WideTable">
    <w:name w:val="Wide Table"/>
    <w:basedOn w:val="Normal"/>
    <w:rsid w:val="009D0496"/>
    <w:pPr>
      <w:ind w:left="-1418"/>
    </w:pPr>
    <w:rPr>
      <w:sz w:val="2"/>
      <w:szCs w:val="2"/>
    </w:rPr>
  </w:style>
  <w:style w:type="character" w:styleId="PageNumber">
    <w:name w:val="page number"/>
    <w:basedOn w:val="DefaultParagraphFont"/>
    <w:rsid w:val="009D0496"/>
  </w:style>
  <w:style w:type="paragraph" w:styleId="Quote">
    <w:name w:val="Quote"/>
    <w:basedOn w:val="Heading1"/>
    <w:link w:val="QuoteChar"/>
    <w:qFormat/>
    <w:rsid w:val="009D0496"/>
    <w:rPr>
      <w:b w:val="0"/>
      <w:sz w:val="72"/>
      <w:szCs w:val="72"/>
      <w:lang w:val="en-NZ"/>
    </w:rPr>
  </w:style>
  <w:style w:type="character" w:customStyle="1" w:styleId="QuoteChar">
    <w:name w:val="Quote Char"/>
    <w:basedOn w:val="DefaultParagraphFont"/>
    <w:link w:val="Quote"/>
    <w:rsid w:val="009D0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496"/>
    <w:pPr>
      <w:pageBreakBefore/>
    </w:pPr>
  </w:style>
  <w:style w:type="paragraph" w:customStyle="1" w:styleId="Border">
    <w:name w:val="Border"/>
    <w:basedOn w:val="Normal"/>
    <w:qFormat/>
    <w:rsid w:val="009D0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496"/>
    <w:rPr>
      <w:b/>
      <w:bCs/>
      <w:i/>
      <w:iCs/>
      <w:color w:val="auto"/>
    </w:rPr>
  </w:style>
  <w:style w:type="paragraph" w:styleId="IntenseQuote">
    <w:name w:val="Intense Quote"/>
    <w:basedOn w:val="Normal"/>
    <w:next w:val="Normal"/>
    <w:link w:val="IntenseQuoteChar"/>
    <w:uiPriority w:val="30"/>
    <w:qFormat/>
    <w:rsid w:val="009D0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4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496"/>
    <w:rPr>
      <w:smallCaps/>
      <w:color w:val="auto"/>
      <w:u w:val="single"/>
    </w:rPr>
  </w:style>
  <w:style w:type="character" w:styleId="IntenseReference">
    <w:name w:val="Intense Reference"/>
    <w:basedOn w:val="DefaultParagraphFont"/>
    <w:uiPriority w:val="32"/>
    <w:qFormat/>
    <w:rsid w:val="009D0496"/>
    <w:rPr>
      <w:b/>
      <w:bCs/>
      <w:smallCaps/>
      <w:color w:val="auto"/>
      <w:spacing w:val="5"/>
      <w:u w:val="single"/>
    </w:rPr>
  </w:style>
  <w:style w:type="paragraph" w:customStyle="1" w:styleId="2ColumnHeading">
    <w:name w:val="2Column Heading"/>
    <w:basedOn w:val="BodyText"/>
    <w:qFormat/>
    <w:rsid w:val="009D0496"/>
    <w:pPr>
      <w:spacing w:after="60"/>
      <w:ind w:left="-2268"/>
    </w:pPr>
    <w:rPr>
      <w:b/>
    </w:rPr>
  </w:style>
  <w:style w:type="paragraph" w:customStyle="1" w:styleId="Heading1TOC">
    <w:name w:val="Heading1 TOC"/>
    <w:basedOn w:val="Normal"/>
    <w:qFormat/>
    <w:rsid w:val="009D0496"/>
    <w:pPr>
      <w:spacing w:before="240" w:after="120"/>
    </w:pPr>
    <w:rPr>
      <w:rFonts w:ascii="Times New Roman" w:hAnsi="Times New Roman"/>
      <w:b/>
      <w:sz w:val="32"/>
    </w:rPr>
  </w:style>
  <w:style w:type="paragraph" w:customStyle="1" w:styleId="Heading2TOC">
    <w:name w:val="Heading2 TOC"/>
    <w:basedOn w:val="Normal"/>
    <w:qFormat/>
    <w:rsid w:val="009D0496"/>
    <w:pPr>
      <w:spacing w:before="240" w:after="60"/>
    </w:pPr>
    <w:rPr>
      <w:rFonts w:ascii="Times New Roman" w:hAnsi="Times New Roman"/>
      <w:b/>
      <w:sz w:val="28"/>
    </w:rPr>
  </w:style>
  <w:style w:type="character" w:customStyle="1" w:styleId="Underline">
    <w:name w:val="Underline"/>
    <w:basedOn w:val="DefaultParagraphFont"/>
    <w:qFormat/>
    <w:rsid w:val="009D0496"/>
    <w:rPr>
      <w:u w:val="single"/>
    </w:rPr>
  </w:style>
  <w:style w:type="character" w:customStyle="1" w:styleId="BoldandItalics">
    <w:name w:val="Bold and Italics"/>
    <w:qFormat/>
    <w:rsid w:val="009D0496"/>
    <w:rPr>
      <w:b/>
      <w:i/>
      <w:u w:val="none"/>
    </w:rPr>
  </w:style>
  <w:style w:type="paragraph" w:styleId="BalloonText">
    <w:name w:val="Balloon Text"/>
    <w:basedOn w:val="Normal"/>
    <w:link w:val="BalloonTextChar"/>
    <w:rsid w:val="009D0496"/>
    <w:rPr>
      <w:rFonts w:ascii="Tahoma" w:hAnsi="Tahoma" w:cs="Tahoma"/>
      <w:sz w:val="16"/>
      <w:szCs w:val="16"/>
    </w:rPr>
  </w:style>
  <w:style w:type="character" w:customStyle="1" w:styleId="BalloonTextChar">
    <w:name w:val="Balloon Text Char"/>
    <w:basedOn w:val="DefaultParagraphFont"/>
    <w:link w:val="BalloonText"/>
    <w:rsid w:val="009D04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4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4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2740</Words>
  <Characters>16553</Characters>
  <Application>Microsoft Office Word</Application>
  <DocSecurity>0</DocSecurity>
  <Lines>721</Lines>
  <Paragraphs>285</Paragraphs>
  <ScaleCrop>false</ScaleCrop>
  <Company>Author-it Software Corporation Ltd.</Company>
  <LinksUpToDate>false</LinksUpToDate>
  <CharactersWithSpaces>19059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UEGNSG106B Coordinate repair of pipeline, facilities and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2012-05-26T22:00:00Z</dcterms:created>
  <dcterms:modified xsi:type="dcterms:W3CDTF">2012-05-26T22:00:00Z</dcterms:modified>
</cp:coreProperties>
</file>