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59D" w:rsidP="00ED659D">
      <w:pPr>
        <w:pStyle w:val="Title"/>
      </w:pPr>
      <w:r>
        <w:fldChar w:fldCharType="begin"/>
      </w:r>
      <w:r>
        <w:instrText xml:space="preserve"> TITLE   \* MERGEFORMAT </w:instrText>
      </w:r>
      <w:r>
        <w:fldChar w:fldCharType="separate"/>
      </w:r>
      <w:r>
        <w:t>UEG40114 Certificate IV in Gas</w:t>
      </w:r>
      <w:r>
        <w:t xml:space="preserve"> Supply Industry Operations</w:t>
      </w:r>
      <w:r>
        <w:fldChar w:fldCharType="end"/>
      </w:r>
    </w:p>
    <w:p w:rsidR="00ED659D" w:rsidP="00ED659D">
      <w:pPr>
        <w:pStyle w:val="Version"/>
        <w:sectPr w:rsidSect="00FC6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6000" w:rsidP="00FC6000">
      <w:pPr>
        <w:pStyle w:val="SuperHeading"/>
      </w:pPr>
      <w:r w:rsidRPr="00FC6000">
        <w:t>UEG40114 Certificate IV in Gas Supply Industry Operations</w:t>
      </w:r>
    </w:p>
    <w:p w:rsidR="00000000" w:rsidRPr="00FC6000" w:rsidP="00FC6000">
      <w:pPr>
        <w:pStyle w:val="Heading1"/>
      </w:pPr>
      <w:bookmarkStart w:id="1" w:name="O_614714"/>
      <w:bookmarkEnd w:id="1"/>
      <w:r w:rsidRPr="00FC6000">
        <w:t>Modification History</w:t>
      </w:r>
    </w:p>
    <w:p w:rsidR="00000000" w:rsidRPr="00FC6000" w:rsidP="00FC6000">
      <w:pPr>
        <w:pStyle w:val="BodyText"/>
      </w:pPr>
      <w:r w:rsidRPr="00FC6000">
        <w:t>This is a replacement qualification for UEG40311 Certificate IV in Gas Supply Industry Operations</w:t>
      </w:r>
    </w:p>
    <w:p w:rsidR="00000000" w:rsidRPr="00FC6000" w:rsidP="00FC6000">
      <w:pPr>
        <w:pStyle w:val="AllowPageBreak"/>
      </w:pPr>
    </w:p>
    <w:p w:rsidR="00000000" w:rsidRPr="00FC6000" w:rsidP="00FC6000">
      <w:pPr>
        <w:pStyle w:val="Heading1"/>
      </w:pPr>
      <w:bookmarkStart w:id="2" w:name="O_614715"/>
      <w:bookmarkEnd w:id="2"/>
      <w:r w:rsidRPr="00FC6000">
        <w:t>Description</w:t>
      </w:r>
    </w:p>
    <w:tbl>
      <w:tblPr>
        <w:tblW w:w="9360" w:type="dxa"/>
        <w:tblLayout w:type="fixed"/>
        <w:tblCellMar>
          <w:left w:w="62" w:type="dxa"/>
          <w:right w:w="62" w:type="dxa"/>
        </w:tblCellMar>
        <w:tblLook w:val="0000"/>
      </w:tblPr>
      <w:tblGrid>
        <w:gridCol w:w="9360"/>
      </w:tblGrid>
      <w:tr w:rsidTr="00ED659D">
        <w:tblPrEx>
          <w:tblW w:w="9360" w:type="dxa"/>
          <w:tblLayout w:type="fixed"/>
          <w:tblCellMar>
            <w:left w:w="62" w:type="dxa"/>
            <w:right w:w="62" w:type="dxa"/>
          </w:tblCellMar>
          <w:tblLook w:val="0000"/>
        </w:tblPrEx>
        <w:tc>
          <w:tcPr>
            <w:tcW w:w="9360" w:type="dxa"/>
            <w:tcBorders>
              <w:top w:val="nil"/>
              <w:left w:val="nil"/>
              <w:bottom w:val="nil"/>
              <w:right w:val="nil"/>
            </w:tcBorders>
            <w:tcMar>
              <w:top w:w="0" w:type="dxa"/>
              <w:left w:w="62" w:type="dxa"/>
              <w:bottom w:w="0" w:type="dxa"/>
              <w:right w:w="62" w:type="dxa"/>
            </w:tcMar>
          </w:tcPr>
          <w:p w:rsidR="00000000" w:rsidRPr="00FC6000" w:rsidP="00FC6000">
            <w:pPr>
              <w:pStyle w:val="BodyText"/>
            </w:pPr>
            <w:r w:rsidRPr="00FC6000">
              <w:rPr>
                <w:rStyle w:val="SpecialBold"/>
              </w:rPr>
              <w:t>Scope</w:t>
            </w:r>
          </w:p>
          <w:p w:rsidR="00000000" w:rsidRPr="00FC6000" w:rsidP="00FC6000">
            <w:pPr>
              <w:pStyle w:val="BodyText"/>
            </w:pPr>
            <w:r w:rsidRPr="00FC6000">
              <w:t xml:space="preserve">This qualification provides competencies to supervise and conduct Gas Supply Industry </w:t>
            </w:r>
            <w:r w:rsidRPr="00FC6000">
              <w:t>activities including installation, diagnostics and maintenance of distribution and transmission gas pipelines, cylinders and associated equipment.</w:t>
            </w:r>
          </w:p>
          <w:p w:rsidR="00000000" w:rsidRPr="00FC6000" w:rsidP="00FC6000">
            <w:pPr>
              <w:pStyle w:val="BodyText"/>
            </w:pPr>
            <w:r w:rsidRPr="00FC6000">
              <w:t>It is an Australia Qualification Framework (AQF) level 4 qualification and provides the required knowledge an</w:t>
            </w:r>
            <w:r w:rsidRPr="00FC6000">
              <w:t>d skills to carry out specialised and/or skilled routine and non-routine work activities autonomously and takes limited responsibility for the work of others.</w:t>
            </w:r>
          </w:p>
        </w:tc>
      </w:tr>
    </w:tbl>
    <w:p w:rsidR="00ED659D" w:rsidP="00FC6000">
      <w:pPr>
        <w:pStyle w:val="BodyText"/>
      </w:pPr>
    </w:p>
    <w:p w:rsidR="00ED659D" w:rsidP="00FC6000">
      <w:pPr>
        <w:pStyle w:val="BodyText"/>
      </w:pPr>
    </w:p>
    <w:p w:rsidR="00000000" w:rsidRPr="00FC6000" w:rsidP="00FC6000">
      <w:pPr>
        <w:pStyle w:val="Heading1"/>
      </w:pPr>
      <w:bookmarkStart w:id="3" w:name="O_614716"/>
      <w:bookmarkEnd w:id="3"/>
      <w:r w:rsidRPr="00FC6000">
        <w:t>Pathways Information</w:t>
      </w:r>
    </w:p>
    <w:p w:rsidR="00000000" w:rsidRPr="00FC6000" w:rsidP="00FC6000">
      <w:pPr>
        <w:pStyle w:val="BodyText"/>
      </w:pPr>
      <w:r w:rsidRPr="00FC6000">
        <w:t>Not applicable.</w:t>
      </w:r>
    </w:p>
    <w:p w:rsidR="00000000" w:rsidRPr="00FC6000" w:rsidP="00FC6000">
      <w:pPr>
        <w:pStyle w:val="AllowPageBreak"/>
      </w:pPr>
    </w:p>
    <w:p w:rsidR="00000000" w:rsidRPr="00FC6000" w:rsidP="00FC6000">
      <w:pPr>
        <w:pStyle w:val="Heading1"/>
      </w:pPr>
      <w:bookmarkStart w:id="4" w:name="O_614717"/>
      <w:bookmarkEnd w:id="4"/>
      <w:r w:rsidRPr="00FC6000">
        <w:t xml:space="preserve">Licensing/Regulatory </w:t>
      </w:r>
      <w:r w:rsidRPr="00FC6000">
        <w:t>Information</w:t>
      </w:r>
    </w:p>
    <w:p w:rsidR="00000000" w:rsidRPr="00FC6000" w:rsidP="00FC6000">
      <w:pPr>
        <w:pStyle w:val="BodyText"/>
      </w:pPr>
      <w:r w:rsidRPr="00FC6000">
        <w:t>Not applicable.</w:t>
      </w:r>
    </w:p>
    <w:p w:rsidR="00000000" w:rsidRPr="00FC6000" w:rsidP="00FC6000">
      <w:pPr>
        <w:pStyle w:val="AllowPageBreak"/>
      </w:pPr>
    </w:p>
    <w:p w:rsidR="00000000" w:rsidRPr="00FC6000" w:rsidP="00FC6000">
      <w:pPr>
        <w:pStyle w:val="Heading1"/>
      </w:pPr>
      <w:bookmarkStart w:id="5" w:name="O_614718"/>
      <w:bookmarkEnd w:id="5"/>
      <w:r w:rsidRPr="00FC6000">
        <w:t>Entry Requirements</w:t>
      </w:r>
    </w:p>
    <w:p w:rsidR="00000000" w:rsidRPr="00FC6000" w:rsidP="00FC6000">
      <w:pPr>
        <w:pStyle w:val="BodyText"/>
      </w:pPr>
      <w:r w:rsidRPr="00FC6000">
        <w:t>Not applicable.</w:t>
      </w:r>
    </w:p>
    <w:p w:rsidR="00000000" w:rsidRPr="00FC6000" w:rsidP="00FC6000">
      <w:pPr>
        <w:pStyle w:val="AllowPageBreak"/>
      </w:pPr>
    </w:p>
    <w:p w:rsidR="00000000" w:rsidRPr="00FC6000" w:rsidP="00FC6000">
      <w:pPr>
        <w:pStyle w:val="Heading1"/>
      </w:pPr>
      <w:bookmarkStart w:id="6" w:name="O_614719"/>
      <w:bookmarkEnd w:id="6"/>
      <w:r w:rsidRPr="00FC6000">
        <w:t>Employability Skills Summary</w:t>
      </w:r>
    </w:p>
    <w:p w:rsidR="00000000" w:rsidRPr="00FC6000" w:rsidP="00FC6000">
      <w:pPr>
        <w:pStyle w:val="BodyText"/>
      </w:pPr>
      <w:r w:rsidRPr="00FC6000">
        <w:t>Not applicable.</w:t>
      </w:r>
    </w:p>
    <w:p w:rsidR="00000000" w:rsidRPr="00FC6000" w:rsidP="00FC6000">
      <w:pPr>
        <w:pStyle w:val="AllowPageBreak"/>
      </w:pPr>
    </w:p>
    <w:p w:rsidR="00000000" w:rsidRPr="00FC6000" w:rsidP="00FC6000">
      <w:pPr>
        <w:pStyle w:val="Heading1"/>
      </w:pPr>
      <w:bookmarkStart w:id="7" w:name="O_614720"/>
      <w:bookmarkEnd w:id="7"/>
      <w:r w:rsidRPr="00FC6000">
        <w:t>Packaging Rules</w:t>
      </w:r>
    </w:p>
    <w:tbl>
      <w:tblPr>
        <w:tblW w:w="9270" w:type="dxa"/>
        <w:tblLayout w:type="fixed"/>
        <w:tblCellMar>
          <w:left w:w="62" w:type="dxa"/>
          <w:right w:w="62" w:type="dxa"/>
        </w:tblCellMar>
        <w:tblLook w:val="0000"/>
      </w:tblPr>
      <w:tblGrid>
        <w:gridCol w:w="9270"/>
      </w:tblGrid>
      <w:tr w:rsidTr="00ED659D">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FC6000" w:rsidP="00FC6000">
            <w:pPr>
              <w:pStyle w:val="BodyText"/>
            </w:pPr>
            <w:r w:rsidRPr="00FC6000">
              <w:t>The requirements for granting this qualifi</w:t>
            </w:r>
            <w:r w:rsidRPr="00FC6000">
              <w:t>cation will be met when competency is demonstrated and achieved for:</w:t>
            </w:r>
          </w:p>
          <w:p w:rsidR="00000000" w:rsidRPr="00FC6000" w:rsidP="00FC6000">
            <w:pPr>
              <w:pStyle w:val="ListBullet"/>
            </w:pPr>
            <w:r w:rsidRPr="00FC6000">
              <w:t>All the Core competency standard units to achieve a total weighting of 290 points, defined in the Core Competency Standard Units table below and</w:t>
            </w:r>
          </w:p>
          <w:p w:rsidR="00000000" w:rsidRPr="00FC6000" w:rsidP="00FC6000">
            <w:pPr>
              <w:pStyle w:val="ListBullet"/>
            </w:pPr>
            <w:r w:rsidRPr="00FC6000">
              <w:t>A combination of Elective competency stan</w:t>
            </w:r>
            <w:r w:rsidRPr="00FC6000">
              <w:t>dard units to achieve a total weighting of 990 points in accordance with the Elective Competency Standard Units tables below, resulting in the achievement of overall weighting of 1280 points.</w:t>
            </w:r>
          </w:p>
          <w:p w:rsidR="00000000" w:rsidRPr="00FC6000" w:rsidP="00FC6000">
            <w:pPr>
              <w:pStyle w:val="ListBullet"/>
            </w:pPr>
            <w:r w:rsidRPr="00FC6000">
              <w:t>All the required pre-requisite competency standard units have be</w:t>
            </w:r>
            <w:r w:rsidRPr="00FC6000">
              <w:t>en met as required.</w:t>
            </w:r>
          </w:p>
        </w:tc>
      </w:tr>
    </w:tbl>
    <w:p w:rsidR="00000000" w:rsidRPr="00FC6000" w:rsidP="00FC6000">
      <w:pPr>
        <w:pStyle w:val="BodyText"/>
      </w:pPr>
    </w:p>
    <w:tbl>
      <w:tblPr>
        <w:tblW w:w="9270" w:type="dxa"/>
        <w:tblLayout w:type="fixed"/>
        <w:tblCellMar>
          <w:left w:w="62" w:type="dxa"/>
          <w:right w:w="62" w:type="dxa"/>
        </w:tblCellMar>
        <w:tblLook w:val="0000"/>
      </w:tblPr>
      <w:tblGrid>
        <w:gridCol w:w="1710"/>
        <w:gridCol w:w="6281"/>
        <w:gridCol w:w="1279"/>
      </w:tblGrid>
      <w:tr w:rsidTr="00FC6000">
        <w:tblPrEx>
          <w:tblW w:w="9270" w:type="dxa"/>
          <w:tblLayout w:type="fixed"/>
          <w:tblCellMar>
            <w:left w:w="62" w:type="dxa"/>
            <w:right w:w="62" w:type="dxa"/>
          </w:tblCellMar>
          <w:tblLook w:val="0000"/>
        </w:tblPrEx>
        <w:trPr>
          <w:tblHeader/>
        </w:trPr>
        <w:tc>
          <w:tcPr>
            <w:tcW w:w="7991"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FC6000" w:rsidP="00FC6000">
            <w:pPr>
              <w:pStyle w:val="BodyText"/>
            </w:pPr>
            <w:r w:rsidRPr="00FC6000">
              <w:rPr>
                <w:rStyle w:val="SpecialBold"/>
              </w:rPr>
              <w:t xml:space="preserve">Core Competency Standard Units </w:t>
            </w:r>
          </w:p>
          <w:p w:rsidR="00000000" w:rsidRPr="00FC6000" w:rsidP="00FC6000">
            <w:pPr>
              <w:pStyle w:val="BodyText"/>
            </w:pPr>
            <w:r w:rsidRPr="00FC6000">
              <w:t>All Core competency standard units to be achieved</w:t>
            </w:r>
          </w:p>
        </w:tc>
        <w:tc>
          <w:tcPr>
            <w:tcW w:w="1279"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FC6000">
            <w:pPr>
              <w:pStyle w:val="BodyText"/>
              <w:rPr>
                <w:lang w:val="en-NZ"/>
              </w:rPr>
            </w:pPr>
            <w:r w:rsidRPr="00FC6000">
              <w:rPr>
                <w:rStyle w:val="SpecialBold"/>
              </w:rPr>
              <w:t>Weighting Points</w:t>
            </w:r>
          </w:p>
        </w:tc>
      </w:tr>
      <w:tr w:rsidTr="00FC6000">
        <w:tblPrEx>
          <w:tblW w:w="9270" w:type="dxa"/>
          <w:tblLayout w:type="fixed"/>
          <w:tblCellMar>
            <w:left w:w="62" w:type="dxa"/>
            <w:right w:w="62" w:type="dxa"/>
          </w:tblCellMar>
          <w:tblLook w:val="0000"/>
        </w:tblPrEx>
        <w:trPr>
          <w:trHeight w:val="49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UEGNSG005A</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Prepare to work in the gas industry </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20</w:t>
            </w:r>
          </w:p>
        </w:tc>
      </w:tr>
      <w:tr w:rsidTr="00FC6000">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UEGNSG132A</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Carry out basic work activities in a gas industry work environment</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60 </w:t>
            </w:r>
          </w:p>
        </w:tc>
      </w:tr>
      <w:tr w:rsidTr="00FC6000">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UEGNSG133A</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Comply with environmental policies and procedures in the utilities industry</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FC6000">
        <w:tblPrEx>
          <w:tblW w:w="9270" w:type="dxa"/>
          <w:tblLayout w:type="fixed"/>
          <w:tblCellMar>
            <w:left w:w="62" w:type="dxa"/>
            <w:right w:w="62" w:type="dxa"/>
          </w:tblCellMar>
          <w:tblLook w:val="0000"/>
        </w:tblPrEx>
        <w:trPr>
          <w:trHeight w:val="65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t>UEGNSG141A</w:t>
            </w:r>
          </w:p>
          <w:p w:rsidR="00000000">
            <w:pPr>
              <w:pStyle w:val="BodyText"/>
              <w:keepNext w:val="0"/>
              <w:keepLines w:val="0"/>
              <w:contextualSpacing w:val="0"/>
              <w:rPr>
                <w:rFonts w:ascii="Tahoma" w:hAnsi="Tahoma"/>
                <w:color w:val="000000"/>
                <w:sz w:val="20"/>
                <w:lang w:val="en-NZ"/>
              </w:rPr>
            </w:pP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Apply Workplace Health and Safety regulations, codes and practices in the gas supply industry</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20</w:t>
            </w:r>
          </w:p>
        </w:tc>
      </w:tr>
      <w:tr w:rsidTr="00FC6000">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UEENEEE117A</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Implement and monitor energy sector OHS policies and procedures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20</w:t>
            </w:r>
          </w:p>
        </w:tc>
      </w:tr>
      <w:tr w:rsidTr="00FC6000">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BSBMGT402A</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Implement operational plan</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40</w:t>
            </w:r>
          </w:p>
        </w:tc>
      </w:tr>
      <w:tr w:rsidTr="00FC6000">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BSBWOR402A</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Promote team effectiveness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50</w:t>
            </w:r>
          </w:p>
        </w:tc>
      </w:tr>
      <w:tr w:rsidTr="00FC6000">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BSBWOR404B</w:t>
            </w: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Develop Work Priorities</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FC6000">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p>
        </w:tc>
        <w:tc>
          <w:tcPr>
            <w:tcW w:w="62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Right"/>
            </w:pPr>
            <w:r w:rsidRPr="00FC6000">
              <w:rPr>
                <w:rStyle w:val="SpecialBold"/>
              </w:rPr>
              <w:t>Total points in core</w:t>
            </w:r>
          </w:p>
        </w:tc>
        <w:tc>
          <w:tcPr>
            <w:tcW w:w="12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rPr>
                <w:rStyle w:val="SpecialBold"/>
              </w:rPr>
              <w:t>290</w:t>
            </w:r>
          </w:p>
        </w:tc>
      </w:tr>
    </w:tbl>
    <w:p w:rsidR="00000000" w:rsidRPr="00FC6000" w:rsidP="00FC6000">
      <w:pPr>
        <w:pStyle w:val="BodyText"/>
      </w:pPr>
    </w:p>
    <w:tbl>
      <w:tblPr>
        <w:tblW w:w="9276" w:type="dxa"/>
        <w:tblLayout w:type="fixed"/>
        <w:tblCellMar>
          <w:left w:w="62" w:type="dxa"/>
          <w:right w:w="62" w:type="dxa"/>
        </w:tblCellMar>
        <w:tblLook w:val="0000"/>
      </w:tblPr>
      <w:tblGrid>
        <w:gridCol w:w="287"/>
        <w:gridCol w:w="6404"/>
        <w:gridCol w:w="1293"/>
        <w:gridCol w:w="1292"/>
      </w:tblGrid>
      <w:tr w:rsidTr="00FC6000">
        <w:tblPrEx>
          <w:tblW w:w="9276" w:type="dxa"/>
          <w:tblLayout w:type="fixed"/>
          <w:tblCellMar>
            <w:left w:w="62" w:type="dxa"/>
            <w:right w:w="62" w:type="dxa"/>
          </w:tblCellMar>
          <w:tblLook w:val="0000"/>
        </w:tblPrEx>
        <w:tc>
          <w:tcPr>
            <w:tcW w:w="9276"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FC6000" w:rsidP="00FC6000">
            <w:pPr>
              <w:pStyle w:val="BodyText"/>
            </w:pPr>
            <w:r w:rsidRPr="00FC6000">
              <w:rPr>
                <w:rStyle w:val="SpecialBold"/>
              </w:rPr>
              <w:t>Elective Competency Standard Units</w:t>
            </w:r>
          </w:p>
          <w:p w:rsidR="00000000" w:rsidP="00FC6000">
            <w:pPr>
              <w:pStyle w:val="BodyText"/>
              <w:rPr>
                <w:lang w:val="en-NZ"/>
              </w:rPr>
            </w:pPr>
            <w:r w:rsidRPr="00FC6000">
              <w:t xml:space="preserve">Complete Elective units to achieve a total of weighting of </w:t>
            </w:r>
            <w:r w:rsidRPr="00FC6000">
              <w:rPr>
                <w:rStyle w:val="SpecialBold"/>
              </w:rPr>
              <w:t>990</w:t>
            </w:r>
            <w:r w:rsidRPr="00FC6000">
              <w:t xml:space="preserve"> points from the following groups: </w:t>
            </w:r>
          </w:p>
        </w:tc>
      </w:tr>
      <w:tr w:rsidTr="00FC6000">
        <w:tblPrEx>
          <w:tblW w:w="9276" w:type="dxa"/>
          <w:tblLayout w:type="fixed"/>
          <w:tblCellMar>
            <w:left w:w="62" w:type="dxa"/>
            <w:right w:w="62" w:type="dxa"/>
          </w:tblCellMar>
          <w:tblLook w:val="0000"/>
        </w:tblPrEx>
        <w:tc>
          <w:tcPr>
            <w:tcW w:w="669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rPr>
                <w:rStyle w:val="SpecialBold"/>
              </w:rPr>
              <w:t>Group</w:t>
            </w:r>
          </w:p>
        </w:tc>
        <w:tc>
          <w:tcPr>
            <w:tcW w:w="1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000" w:rsidP="00FC6000">
            <w:pPr>
              <w:pStyle w:val="BodyText"/>
            </w:pPr>
            <w:r w:rsidRPr="00FC6000">
              <w:rPr>
                <w:rStyle w:val="SpecialBold"/>
              </w:rPr>
              <w:t>Minimum points</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rPr>
                <w:rStyle w:val="SpecialBold"/>
              </w:rPr>
              <w:t>Maximum points</w:t>
            </w:r>
          </w:p>
        </w:tc>
      </w:tr>
      <w:tr w:rsidTr="00FC6000">
        <w:tblPrEx>
          <w:tblW w:w="9276" w:type="dxa"/>
          <w:tblLayout w:type="fixed"/>
          <w:tblCellMar>
            <w:left w:w="62" w:type="dxa"/>
            <w:right w:w="62" w:type="dxa"/>
          </w:tblCellMar>
          <w:tblLook w:val="0000"/>
        </w:tblPrEx>
        <w:tc>
          <w:tcPr>
            <w:tcW w:w="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rPr>
                <w:rStyle w:val="SpecialBold"/>
              </w:rPr>
              <w:t>A</w:t>
            </w:r>
          </w:p>
        </w:tc>
        <w:tc>
          <w:tcPr>
            <w:tcW w:w="6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000" w:rsidP="00FC6000">
            <w:pPr>
              <w:pStyle w:val="BodyText"/>
            </w:pPr>
            <w:r w:rsidRPr="00FC6000">
              <w:t>Imported and Common Elective Units</w:t>
            </w:r>
          </w:p>
          <w:p w:rsidR="00000000" w:rsidRPr="00FC6000" w:rsidP="00FC6000">
            <w:pPr>
              <w:pStyle w:val="BodyText"/>
            </w:pPr>
            <w:r w:rsidRPr="00FC6000">
              <w:t>Imported units from other qualifications, training packages and/or state accred</w:t>
            </w:r>
            <w:r w:rsidRPr="00FC6000">
              <w:t>ited courses can be added to this group, but they must be at AQF level 4.  If units have not being assigned a weighting by the relevant EE-Oz Industry Technical Advisory Committee, their weighting will be 10 points. Note: For further information see Applic</w:t>
            </w:r>
            <w:r w:rsidRPr="00FC6000">
              <w:t>ation of the NQC Flexibility Formula, refer to UEG11 Gas Industry Training Package, Version 2, Qualification Framework.</w:t>
            </w:r>
          </w:p>
        </w:tc>
        <w:tc>
          <w:tcPr>
            <w:tcW w:w="1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rPr>
                <w:rStyle w:val="SpecialBold"/>
              </w:rPr>
              <w:t>0</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rPr>
                <w:rStyle w:val="SpecialBold"/>
              </w:rPr>
              <w:t>220</w:t>
            </w:r>
          </w:p>
        </w:tc>
      </w:tr>
      <w:tr w:rsidTr="00FC6000">
        <w:tblPrEx>
          <w:tblW w:w="9276" w:type="dxa"/>
          <w:tblLayout w:type="fixed"/>
          <w:tblCellMar>
            <w:left w:w="62" w:type="dxa"/>
            <w:right w:w="62" w:type="dxa"/>
          </w:tblCellMar>
          <w:tblLook w:val="0000"/>
        </w:tblPrEx>
        <w:trPr>
          <w:trHeight w:val="972"/>
        </w:trPr>
        <w:tc>
          <w:tcPr>
            <w:tcW w:w="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rPr>
                <w:rStyle w:val="SpecialBold"/>
              </w:rPr>
              <w:t>B</w:t>
            </w:r>
          </w:p>
        </w:tc>
        <w:tc>
          <w:tcPr>
            <w:tcW w:w="6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t xml:space="preserve">Qualification AQF 2 Electives </w:t>
            </w:r>
          </w:p>
          <w:p w:rsidR="00000000" w:rsidRPr="00FC6000" w:rsidP="00FC6000">
            <w:pPr>
              <w:pStyle w:val="BodyText"/>
            </w:pPr>
            <w:r w:rsidRPr="00FC6000">
              <w:t>You may select some elective units from this Group</w:t>
            </w:r>
          </w:p>
        </w:tc>
        <w:tc>
          <w:tcPr>
            <w:tcW w:w="1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rPr>
                <w:rStyle w:val="SpecialBold"/>
              </w:rPr>
              <w:t>0</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rPr>
                <w:rStyle w:val="SpecialBold"/>
              </w:rPr>
              <w:t>180</w:t>
            </w:r>
          </w:p>
        </w:tc>
      </w:tr>
      <w:tr w:rsidTr="00FC6000">
        <w:tblPrEx>
          <w:tblW w:w="9276" w:type="dxa"/>
          <w:tblLayout w:type="fixed"/>
          <w:tblCellMar>
            <w:left w:w="62" w:type="dxa"/>
            <w:right w:w="62" w:type="dxa"/>
          </w:tblCellMar>
          <w:tblLook w:val="0000"/>
        </w:tblPrEx>
        <w:tc>
          <w:tcPr>
            <w:tcW w:w="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rPr>
                <w:rStyle w:val="SpecialBold"/>
              </w:rPr>
              <w:t>C</w:t>
            </w:r>
          </w:p>
        </w:tc>
        <w:tc>
          <w:tcPr>
            <w:tcW w:w="6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t xml:space="preserve">Qualification AQF 3 Electives </w:t>
            </w:r>
          </w:p>
          <w:p w:rsidR="00000000" w:rsidRPr="00FC6000" w:rsidP="00FC6000">
            <w:pPr>
              <w:pStyle w:val="BodyText"/>
            </w:pPr>
            <w:r w:rsidRPr="00FC6000">
              <w:t>You may select some elective units from this Group</w:t>
            </w:r>
          </w:p>
        </w:tc>
        <w:tc>
          <w:tcPr>
            <w:tcW w:w="1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rPr>
                <w:rStyle w:val="SpecialBold"/>
              </w:rPr>
              <w:t>0</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rPr>
                <w:rStyle w:val="SpecialBold"/>
              </w:rPr>
              <w:t>670</w:t>
            </w:r>
          </w:p>
        </w:tc>
      </w:tr>
      <w:tr w:rsidTr="00FC6000">
        <w:tblPrEx>
          <w:tblW w:w="9276" w:type="dxa"/>
          <w:tblLayout w:type="fixed"/>
          <w:tblCellMar>
            <w:left w:w="62" w:type="dxa"/>
            <w:right w:w="62" w:type="dxa"/>
          </w:tblCellMar>
          <w:tblLook w:val="0000"/>
        </w:tblPrEx>
        <w:tc>
          <w:tcPr>
            <w:tcW w:w="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rPr>
                <w:rStyle w:val="SpecialBold"/>
              </w:rPr>
              <w:t>D</w:t>
            </w:r>
          </w:p>
        </w:tc>
        <w:tc>
          <w:tcPr>
            <w:tcW w:w="6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t xml:space="preserve">Qualification AQF 4 Electives </w:t>
            </w:r>
          </w:p>
          <w:p w:rsidR="00000000" w:rsidRPr="00FC6000" w:rsidP="00FC6000">
            <w:pPr>
              <w:pStyle w:val="BodyText"/>
            </w:pPr>
            <w:r w:rsidRPr="00FC6000">
              <w:t>You may select all your elective units from this Group</w:t>
            </w:r>
          </w:p>
        </w:tc>
        <w:tc>
          <w:tcPr>
            <w:tcW w:w="12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rPr>
                <w:rStyle w:val="SpecialBold"/>
              </w:rPr>
              <w:t>200</w:t>
            </w:r>
          </w:p>
        </w:tc>
        <w:tc>
          <w:tcPr>
            <w:tcW w:w="12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rPr>
                <w:rStyle w:val="SpecialBold"/>
              </w:rPr>
              <w:t>990</w:t>
            </w:r>
          </w:p>
        </w:tc>
      </w:tr>
    </w:tbl>
    <w:p w:rsidR="00000000" w:rsidRPr="00FC6000" w:rsidP="00FC6000">
      <w:pPr>
        <w:pStyle w:val="BodyText"/>
      </w:pPr>
    </w:p>
    <w:tbl>
      <w:tblPr>
        <w:tblW w:w="9270" w:type="dxa"/>
        <w:tblLayout w:type="fixed"/>
        <w:tblCellMar>
          <w:left w:w="62" w:type="dxa"/>
          <w:right w:w="62" w:type="dxa"/>
        </w:tblCellMar>
        <w:tblLook w:val="0000"/>
      </w:tblPr>
      <w:tblGrid>
        <w:gridCol w:w="1710"/>
        <w:gridCol w:w="6300"/>
        <w:gridCol w:w="1260"/>
      </w:tblGrid>
      <w:tr w:rsidTr="00ED659D">
        <w:tblPrEx>
          <w:tblW w:w="9270" w:type="dxa"/>
          <w:tblLayout w:type="fixed"/>
          <w:tblCellMar>
            <w:left w:w="62" w:type="dxa"/>
            <w:right w:w="62" w:type="dxa"/>
          </w:tblCellMar>
          <w:tblLook w:val="0000"/>
        </w:tblPrEx>
        <w:tc>
          <w:tcPr>
            <w:tcW w:w="801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C6000" w:rsidP="00FC6000">
            <w:pPr>
              <w:pStyle w:val="BodyText"/>
            </w:pPr>
            <w:r w:rsidRPr="00FC6000">
              <w:rPr>
                <w:rStyle w:val="SpecialBold"/>
              </w:rPr>
              <w:t>Group A – Imported and Common Elective Units</w:t>
            </w:r>
          </w:p>
          <w:p w:rsidR="00000000" w:rsidRPr="00FC6000" w:rsidP="00FC6000">
            <w:pPr>
              <w:pStyle w:val="BodyText"/>
            </w:pPr>
            <w:r w:rsidRPr="00FC6000">
              <w:t xml:space="preserve">You may complete units to maximum weighting of </w:t>
            </w:r>
            <w:r w:rsidRPr="00FC6000">
              <w:rPr>
                <w:rStyle w:val="SpecialBold"/>
              </w:rPr>
              <w:t>220</w:t>
            </w:r>
            <w:r w:rsidRPr="00FC6000">
              <w:t xml:space="preserve"> points</w:t>
            </w:r>
          </w:p>
        </w:tc>
        <w:tc>
          <w:tcPr>
            <w:tcW w:w="126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C6000">
            <w:pPr>
              <w:pStyle w:val="BodyText"/>
              <w:rPr>
                <w:lang w:val="en-NZ"/>
              </w:rPr>
            </w:pPr>
            <w:r w:rsidRPr="00FC6000">
              <w:rPr>
                <w:rStyle w:val="SpecialBold"/>
              </w:rPr>
              <w:t>Weighting Points</w:t>
            </w:r>
          </w:p>
        </w:tc>
      </w:tr>
      <w:tr w:rsidTr="00ED659D">
        <w:tblPrEx>
          <w:tblW w:w="9270" w:type="dxa"/>
          <w:tblLayout w:type="fixed"/>
          <w:tblCellMar>
            <w:left w:w="62" w:type="dxa"/>
            <w:right w:w="62" w:type="dxa"/>
          </w:tblCellMar>
          <w:tblLook w:val="0000"/>
        </w:tblPrEx>
        <w:trPr>
          <w:trHeight w:val="30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BSBCUS401B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Coordinate implementation of customer service strategies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BSBFLM303C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Contribute to effective workplace relationships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BSBFLM305C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Support operational plan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BSBFLM306C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Provide workplace information and resourcing plans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BSBFLM309C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Support continuous improvement systems and processes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BSBFLM311C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Support a workplace learning environment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BSBFLM312B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Contribute to team effectiveness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BSBINM401A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Implement workpla</w:t>
            </w:r>
            <w:r w:rsidRPr="00FC6000">
              <w:t>ce information system</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BSBINN301A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Promote innovation in a team environment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BSBLED401A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Develop teams and individuals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BSBMGT403A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Implement continuous improvement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BSBWHS301A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Maintain workplace safety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BSBWHS303A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Participate in WHS hazard identification, risk assessment and risk control</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50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BSBWOR301B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Organise personal work priorities and development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BSBWOR401A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Establish effective workplace relationships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50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CPCCLDG3001A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perform dogging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CPCCLRG3001A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perform rigging basic level</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CPCCLRG3002A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perform rigging intermediate level</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CPCCOHS1001A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Work safely in the construction industry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CPCPCM4012A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Estimate and cost work</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CPPFES2005A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Demonstrate first attack firefighting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15</w:t>
            </w:r>
          </w:p>
        </w:tc>
      </w:tr>
      <w:tr w:rsidTr="00ED659D">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HLTAID001</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Provide cardiopulmonary resuscitation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HLTAID003</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Provide first aid</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HLTAID005</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Provide first aid in remote situations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HLTHSE204D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Follow safe manual handling practices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MEM05004C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Perform routine oxy acetylene welding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MEM05012C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Perform routine manual metal arc welding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MEM05015D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Weld using manual metal arc welding process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MEM05045B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Perform pipe welds to code standards using manual metal arc welding process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MSAPMOHS110A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Follow emergency response procedures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MSAPMOHS205A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Control minor incidents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MSAPMOHS216A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Operate breathing apparatus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MSAPMOHS217A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Gas test atmospheres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rPr>
          <w:trHeight w:val="63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MSAPMOPS400A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Optimise process/plant area</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rPr>
          <w:trHeight w:val="30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MSAPMPER200C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Work in accordance with an issued permit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MSAPMPER201A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Control work permits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MSAPMPER202A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Monitor and control work permits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MSAPMPER300C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Issue work permits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MSAPMPER400A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Coordinate permit process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MSAPMSUP210A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Process and record information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MSAPMSUP240A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Undertake minor maintenance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MSAPMSUP303A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Identify equipment faults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MSS402061A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Use SCADA systems in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MSS402080A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Undertake root cause analysis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50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PMAOHS211B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Prepare equipment for emergen</w:t>
            </w:r>
            <w:r w:rsidRPr="00FC6000">
              <w:t>cy response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PMAOHS310B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Investigate incidents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PMAOHS311B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Lead emergency teams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PMAOMIR210B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Control evacuation to muster point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PMAOMIR346B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Assess and secure an incident site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PMAOMIR407B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Audit incident preparedness and established response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PMAOMIR418B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Coordinate incident response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PMAOMIR430B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Conduct and assess incident exercises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35</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PMAOMIR444B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Develop incident containment tactics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PMAOPS312B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Undertake ship loading/unloading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rPr>
          <w:trHeight w:val="315"/>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PMAOPS402A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Respond to abnormal process situations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50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PMAOPS405A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Operate complex control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PMAOPS410B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Monitor remote production facilities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rPr>
          <w:trHeight w:val="30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PMASUP410B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Develop plant documentation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PMASUP444A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Plan plant preparation and isolation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50</w:t>
            </w:r>
          </w:p>
        </w:tc>
      </w:tr>
      <w:tr w:rsidTr="00ED659D">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PMBWELD301B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Butt weld polyethylene plastic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PMBWELD302B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Electrofusion weld polyethylene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PMC563081C</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Carry out stock control</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RIICCM205D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Carry out manual excavation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10</w:t>
            </w:r>
          </w:p>
        </w:tc>
      </w:tr>
      <w:tr w:rsidTr="00ED659D">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RIICCM206D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Support plant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RIICCM207D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Spread and compact materials manually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RIICCM208D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Carry out basic levelling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RIICCM210D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Install trench support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15</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RIICRC208D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Lay pipes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RIIHAN309D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Conduct Telescopic Materials Handler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RIIMPO304D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Conduct wheel loader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RIIMPO308D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Conduct tracked dozer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RIIMPO309D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Conduct wheeled dozer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RIIMPO318D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Conduct civil construction skid steer loader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70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RIIMPO319D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Conduct backhoe/loader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50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RIIMPO320D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Conduct civil construction excavator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RIIWHS202D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Enter and work in confined spaces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RIIWHS204D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Work safely at heights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RIIWHS205D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Control traffic with stop-slow bat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RIIWHS302D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Implement traffic management plan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RIIRIS301D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Apply risk management processes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RIISAM201D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Handle resources and infrastructure materials and safely dispose of non-toxic materials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15</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RIIWMG203D</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Drain and dewater civil construction site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TLIB2004A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w:t>
            </w:r>
            <w:r w:rsidRPr="00FC6000">
              <w:t>arry out vehicle inspection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TLIC2002A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Drive light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TLIC2025A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Operate four wheel drive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TLIC3003A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Drive medium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TLIC3004A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Drive heavy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TLIC3005A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Drive heavy combination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TLIC4006A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Drive multi-combination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TLIC4067A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Operate LP gas tanker</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TLID2003A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Handle dangerous goods/hazardous substances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TLID2010A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Operate a forklift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TLID2016A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Load and unload explosives and dangerous goods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TLID3015A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Identify and label exp</w:t>
            </w:r>
            <w:r w:rsidRPr="00FC6000">
              <w:t>losives and dangerous goods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TLID3023A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Use specialised liquid bulk gas transfer equipment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TLID3027A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Prepare for transport of dangerous goods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50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TLID3033A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Operate a vehicle-mounted loading crane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TLID3036A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Lift and move load </w:t>
            </w:r>
            <w:r w:rsidRPr="00FC6000">
              <w:t>using a mobile crane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TLIF2006A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 xml:space="preserve">Apply accident-emergency procedures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TLIF2010A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Apply Fatigue Management Strategies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TLIF2012A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Apply safe procedures when handling/transporting dangerous goods or explosives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TLIF3063A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Administer the implementation of fatigue management strategies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50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TLIF3093A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Implement chain of responsibility regulations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TLIF3096A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Carry out emergency response to a dangerous goods incident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TLIF4007A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Implement and coordinate accident-emergency pr</w:t>
            </w:r>
            <w:r w:rsidRPr="00FC6000">
              <w:t>ocedures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TLIF4065A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Ensure compliance with Australian Dangerous Goods Code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70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TLIF4066A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Implement and supervise transport regulations compliance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TLIF4094A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Ensure compliance with chain of responsibility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TLIL4059A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Implement asset management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rPr>
          <w:trHeight w:val="73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TLILIC0012A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operate a vehicle loading crane (capacity 10 metre tonnes and above)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TLILIC2001A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operate a forklift truck</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TLILIC2014B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drive a light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TLILIC2015B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drive a medium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TLILIC2016B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drive a heavy rigid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50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TLILIC3006A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operate a non-slewing mobile crane (greater than 3 tonnes capacity)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TLILIC3008A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operate a slewing mobile crane (up to 20 tonnes)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70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TLILIC3013A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Preparation to transport dangerous goods by road</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50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TLILIC3017B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drive a heavy combination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TLILIC3018B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drive a multi combination vehicle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rPr>
          <w:trHeight w:val="76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TLILI</w:t>
            </w:r>
            <w:r w:rsidRPr="00FC6000">
              <w:t>C4009A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Licence to operate a slewing mobile crane (up to 60 tonnes)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70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UEENEEC001B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Maintain documentation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rPr>
          <w:trHeight w:val="300"/>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UEENEED101A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Use computer applications relevant to a workplace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000" w:rsidP="00FC6000">
            <w:pPr>
              <w:pStyle w:val="BodyText"/>
            </w:pPr>
            <w:r w:rsidRPr="00FC6000">
              <w:t>Imported units from other qualifications, training packages and/or state accredited courses can be added to this group, but they must be selected from qualifications where the unit is first packaged at AQF level 3.  If units have not being assigned a weigh</w:t>
            </w:r>
            <w:r w:rsidRPr="00FC6000">
              <w:t>ting by the relevant EE-Oz Industry Technical Advisory Committee, their weighting will be 10 points.</w:t>
            </w:r>
          </w:p>
          <w:p w:rsidR="00000000" w:rsidRPr="00FC6000" w:rsidP="00FC6000">
            <w:pPr>
              <w:pStyle w:val="BodyText"/>
            </w:pPr>
            <w:r w:rsidRPr="00FC6000">
              <w:t>Note: For further information see Application of the NQC Flexibility Formula, Page 10, UEG11 Gas Industry Training Package, Version 1, Volume 1 Qualificati</w:t>
            </w:r>
            <w:r w:rsidRPr="00FC6000">
              <w:t>on Framework</w:t>
            </w:r>
          </w:p>
        </w:tc>
        <w:tc>
          <w:tcPr>
            <w:tcW w:w="12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C6000" w:rsidP="00FC6000">
            <w:pPr>
              <w:pStyle w:val="BodyText"/>
            </w:pPr>
            <w:r w:rsidRPr="00FC6000">
              <w:rPr>
                <w:rStyle w:val="SpecialBold"/>
              </w:rPr>
              <w:t>Up to 220 points</w:t>
            </w:r>
          </w:p>
        </w:tc>
      </w:tr>
    </w:tbl>
    <w:p w:rsidR="00000000" w:rsidRPr="00FC6000" w:rsidP="00FC6000">
      <w:pPr>
        <w:pStyle w:val="BodyText"/>
      </w:pPr>
    </w:p>
    <w:tbl>
      <w:tblPr>
        <w:tblW w:w="9270" w:type="dxa"/>
        <w:tblLayout w:type="fixed"/>
        <w:tblCellMar>
          <w:left w:w="62" w:type="dxa"/>
          <w:right w:w="62" w:type="dxa"/>
        </w:tblCellMar>
        <w:tblLook w:val="0000"/>
      </w:tblPr>
      <w:tblGrid>
        <w:gridCol w:w="1710"/>
        <w:gridCol w:w="6300"/>
        <w:gridCol w:w="1260"/>
      </w:tblGrid>
      <w:tr w:rsidTr="00ED659D">
        <w:tblPrEx>
          <w:tblW w:w="9270" w:type="dxa"/>
          <w:tblLayout w:type="fixed"/>
          <w:tblCellMar>
            <w:left w:w="62" w:type="dxa"/>
            <w:right w:w="62" w:type="dxa"/>
          </w:tblCellMar>
          <w:tblLook w:val="0000"/>
        </w:tblPrEx>
        <w:tc>
          <w:tcPr>
            <w:tcW w:w="801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C6000" w:rsidP="00FC6000">
            <w:pPr>
              <w:pStyle w:val="BodyText"/>
            </w:pPr>
            <w:r w:rsidRPr="00FC6000">
              <w:rPr>
                <w:rStyle w:val="SpecialBold"/>
              </w:rPr>
              <w:t xml:space="preserve">Group B – Qualification AQF 2 Electives </w:t>
            </w:r>
          </w:p>
          <w:p w:rsidR="00000000" w:rsidRPr="00FC6000" w:rsidP="00FC6000">
            <w:pPr>
              <w:pStyle w:val="BodyText"/>
            </w:pPr>
            <w:r w:rsidRPr="00FC6000">
              <w:t>You may complete units to maximum weighting of</w:t>
            </w:r>
            <w:r w:rsidRPr="00FC6000">
              <w:rPr>
                <w:rStyle w:val="SpecialBold"/>
              </w:rPr>
              <w:t xml:space="preserve"> 180</w:t>
            </w:r>
            <w:r w:rsidRPr="00FC6000">
              <w:t xml:space="preserve"> points</w:t>
            </w:r>
          </w:p>
        </w:tc>
        <w:tc>
          <w:tcPr>
            <w:tcW w:w="126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C6000">
            <w:pPr>
              <w:pStyle w:val="BodyText"/>
              <w:rPr>
                <w:lang w:val="en-NZ"/>
              </w:rPr>
            </w:pPr>
            <w:r w:rsidRPr="00FC6000">
              <w:rPr>
                <w:rStyle w:val="SpecialBold"/>
              </w:rPr>
              <w:t>Weighting Points</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UEENEEE102A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Fabricate, assemble and dismantle utilities industry components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UEENEEE107A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Use drawings, diagrams, schedules, standards, codes and specifications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t>UEENEEM080A</w:t>
            </w:r>
          </w:p>
          <w:p w:rsidR="00000000">
            <w:pPr>
              <w:pStyle w:val="BodyText"/>
              <w:keepNext w:val="0"/>
              <w:keepLines w:val="0"/>
              <w:contextualSpacing w:val="0"/>
              <w:rPr>
                <w:rFonts w:ascii="Tahoma" w:hAnsi="Tahoma"/>
                <w:color w:val="000000"/>
                <w:sz w:val="20"/>
                <w:lang w:val="en-NZ"/>
              </w:rPr>
            </w:pP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Report on the integrity of explosion-protected equipment in a hazardous area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UEGNSG004A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Locate, prove and protect utility assets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UEGNSG006A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Use a portable gas detector to locate escape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UEGNSG134A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Establish a utilities infrastructure work site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UEGNSG136A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Carry out transmission pipeline construction work activities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UEGNSG140A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Apply environmental policies and procedures in the utilities industry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UEGNSG219A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Conduct excavations in the utilities industry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UEGNSG221A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First on site response to gas pipeline emergencies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90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UEGNSG224A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Construct and lay copper and stainless stee</w:t>
            </w:r>
            <w:r w:rsidRPr="00FC6000">
              <w:t>l gas distribution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UEGNSG226A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Assist with the construction, laying and connection of gas distribution services to mains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UEGNSG227A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Assist with the construction and laying of gas distribution mains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UEGNSG330A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Coat metallic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UEGNSG331A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Establish right of way access for transmission pipeline construction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UEGNSG332A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Undertake hydro-testing for transmission pipeline construction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UEGNSG333A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Work in proximity of transmission pipeline construction plant and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UEGNSG342A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Maintain pipeline easements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UEGNSG615A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Fill LPG cylinders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UEGNSG616A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Refurbish gas cylinders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UEGNSG705A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Disconnect and reconnect small capacity gas meters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UEGNSG708A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Pressure Test Residential and Small Commercial Gas Installations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UEGNSG711A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Process meter reading information using appropriate technology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UEGNSG712A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Read and record meter readings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UEGNSG714A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Relight Type A gas appliances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UEGNSG804A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Maintain single stage and single run gas flow and pressure control and measuring devices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UEPOPS203B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Operate and Monitor Communications System</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rPr>
          <w:trHeight w:val="60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UEPOPS205B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Conduct Minor Mechanical Maintenance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UETTDREL14A </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Working safely near live electrical apparatus as a non-electrical worker (moved from Group A)</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C6000" w:rsidP="00FC6000">
            <w:pPr>
              <w:pStyle w:val="BodyText"/>
            </w:pPr>
            <w:r w:rsidRPr="00FC6000">
              <w:t>40</w:t>
            </w:r>
          </w:p>
        </w:tc>
      </w:tr>
    </w:tbl>
    <w:p w:rsidR="00000000" w:rsidRPr="00FC6000" w:rsidP="00FC6000">
      <w:pPr>
        <w:pStyle w:val="BodyText"/>
      </w:pPr>
    </w:p>
    <w:tbl>
      <w:tblPr>
        <w:tblW w:w="9270" w:type="dxa"/>
        <w:tblLayout w:type="fixed"/>
        <w:tblCellMar>
          <w:left w:w="62" w:type="dxa"/>
          <w:right w:w="62" w:type="dxa"/>
        </w:tblCellMar>
        <w:tblLook w:val="0000"/>
      </w:tblPr>
      <w:tblGrid>
        <w:gridCol w:w="1710"/>
        <w:gridCol w:w="6300"/>
        <w:gridCol w:w="1260"/>
      </w:tblGrid>
      <w:tr w:rsidTr="00ED659D">
        <w:tblPrEx>
          <w:tblW w:w="9270" w:type="dxa"/>
          <w:tblLayout w:type="fixed"/>
          <w:tblCellMar>
            <w:left w:w="62" w:type="dxa"/>
            <w:right w:w="62" w:type="dxa"/>
          </w:tblCellMar>
          <w:tblLook w:val="0000"/>
        </w:tblPrEx>
        <w:trPr>
          <w:tblHeader/>
        </w:trPr>
        <w:tc>
          <w:tcPr>
            <w:tcW w:w="801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C6000" w:rsidP="00FC6000">
            <w:pPr>
              <w:pStyle w:val="BodyText"/>
            </w:pPr>
            <w:r w:rsidRPr="00FC6000">
              <w:rPr>
                <w:rStyle w:val="SpecialBold"/>
              </w:rPr>
              <w:t xml:space="preserve">Group C – Qualification AQF 3 Electives </w:t>
            </w:r>
          </w:p>
          <w:p w:rsidR="00000000" w:rsidRPr="00FC6000" w:rsidP="00FC6000">
            <w:pPr>
              <w:pStyle w:val="BodyText"/>
            </w:pPr>
            <w:r w:rsidRPr="00FC6000">
              <w:t xml:space="preserve">You may complete units to maximum weighting of </w:t>
            </w:r>
            <w:r w:rsidRPr="00FC6000">
              <w:rPr>
                <w:rStyle w:val="SpecialBold"/>
              </w:rPr>
              <w:t>670</w:t>
            </w:r>
            <w:r w:rsidRPr="00FC6000">
              <w:t xml:space="preserve"> points</w:t>
            </w:r>
          </w:p>
        </w:tc>
        <w:tc>
          <w:tcPr>
            <w:tcW w:w="126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C6000">
            <w:pPr>
              <w:pStyle w:val="BodyText"/>
              <w:rPr>
                <w:lang w:val="en-NZ"/>
              </w:rPr>
            </w:pPr>
            <w:r w:rsidRPr="00FC6000">
              <w:rPr>
                <w:rStyle w:val="SpecialBold"/>
              </w:rPr>
              <w:t>Weighting Points</w:t>
            </w:r>
          </w:p>
        </w:tc>
      </w:tr>
      <w:tr w:rsidTr="00ED659D">
        <w:tblPrEx>
          <w:tblW w:w="9270" w:type="dxa"/>
          <w:tblLayout w:type="fixed"/>
          <w:tblCellMar>
            <w:left w:w="62" w:type="dxa"/>
            <w:right w:w="62" w:type="dxa"/>
          </w:tblCellMar>
          <w:tblLook w:val="0000"/>
        </w:tblPrEx>
        <w:trPr>
          <w:trHeight w:val="54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UEENEEM020A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Attend to breakdowns in hazardous areas — gas atmospheres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UEENEEM076A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Use and maintain the integrity of a portable gas detection device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UEGNSG135A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Monitor and control gas odourisation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100</w:t>
            </w:r>
          </w:p>
        </w:tc>
      </w:tr>
      <w:tr w:rsidTr="00ED659D">
        <w:tblPrEx>
          <w:tblW w:w="9270" w:type="dxa"/>
          <w:tblLayout w:type="fixed"/>
          <w:tblCellMar>
            <w:left w:w="62" w:type="dxa"/>
            <w:right w:w="62" w:type="dxa"/>
          </w:tblCellMar>
          <w:tblLook w:val="0000"/>
        </w:tblPrEx>
        <w:trPr>
          <w:trHeight w:val="28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UEGNSG137A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Operate</w:t>
            </w:r>
            <w:r w:rsidRPr="00FC6000">
              <w:t xml:space="preserve"> and maintain gas station water bath heaters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rPr>
          <w:trHeight w:val="567"/>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UEGNSG138A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Install and commission stationary gas fuelled turbine engines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UEGNSG139A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Repair and maintain stationary gas fuelled turbine engines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UEGNSG142A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Conduct isolations under the permit to work system for gas industry work sites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UEGNSG212B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Construct, lay and connect a gas distribution service to a plastic main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rPr>
          <w:trHeight w:val="73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UEGNSG213B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Construct, lay and connect a gas distribution service to a steel main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UEGNSG216A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Commission or decommission gas distribution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100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UEGNSG217A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Launch and recover PIGs in a gas distribution pipeline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100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UEGNSG218A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Carry out surveillance on gas distribution assets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90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UEGNSG220A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Construct and lay Polyethylene gas distribution mains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UEGNSG222A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Construct and lay nylon or PVC gas distribution mains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UEGNSG223A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Construct and lay steel gas distribution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UEGNSG225A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Perform routine maintenance on distribution pipeline facilities and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100</w:t>
            </w:r>
          </w:p>
        </w:tc>
      </w:tr>
      <w:tr w:rsidTr="00ED659D">
        <w:tblPrEx>
          <w:tblW w:w="9270" w:type="dxa"/>
          <w:tblLayout w:type="fixed"/>
          <w:tblCellMar>
            <w:left w:w="62" w:type="dxa"/>
            <w:right w:w="62" w:type="dxa"/>
          </w:tblCellMar>
          <w:tblLook w:val="0000"/>
        </w:tblPrEx>
        <w:trPr>
          <w:trHeight w:val="73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UEGNSG228A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Construct and lay large copper gas distribution pipelines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UEGNSG229A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Prepare simple drawings of as laid gas mains and services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UEGNSG344A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Commission or decommission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UEGNSG346A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Launch and recover PIGs in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100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UEGNSG347A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Perform routine maintenance on transmission pipeline facilities and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rPr>
          <w:trHeight w:val="46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t>UEGNSG348A</w:t>
            </w:r>
          </w:p>
          <w:p w:rsidR="00000000">
            <w:pPr>
              <w:pStyle w:val="BodyText"/>
              <w:keepNext w:val="0"/>
              <w:keepLines w:val="0"/>
              <w:contextualSpacing w:val="0"/>
              <w:rPr>
                <w:rFonts w:ascii="Tahoma" w:hAnsi="Tahoma"/>
                <w:color w:val="000000"/>
                <w:sz w:val="20"/>
                <w:lang w:val="en-NZ"/>
              </w:rPr>
            </w:pP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Supervise the operation of plant and equipment for the construction of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UEGNSG349A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Carry out surveillance of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UEGNSG350A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First response to a gas facility event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UEGNSG352A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Check and report on gas station conditions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UEGNSG353A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Carry out aerial surveillance of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UEGNSG354A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Control excavations in the vicinity of gas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UEGNSG355A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Monitor and report on cathodic protection </w:t>
            </w:r>
            <w:r w:rsidRPr="00FC6000">
              <w:t xml:space="preserve">systems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UEGNSG356A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Monitor and operate flow control, pressure measuring and regulating devices for gas transmission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100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UEGNSG411A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Maintain cathodic protection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100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UEGNSG412A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Install cathodic protection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rPr>
          <w:trHeight w:val="49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UEGNSG506A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Respond to gas infrastructure emergencies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UEGNSG507A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Remotely monitor and operate gas transmission flow and pressure measuring and regulating device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90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UEGNSG508A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Remotely check and report on gas station conditions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UEGNSG614A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Load, unload, exchange and connect LPG cylinders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UEGNSG617A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Monitor and control the transfer of bulk LPG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100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UEGNSG618A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Process Liquefied Petroleum Gas (LPG)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100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UEGNSG619A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Perform scheduled maintenance on gas processing or storage facilities and eq</w:t>
            </w:r>
            <w:r w:rsidRPr="00FC6000">
              <w:t>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UEGNSG620A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Organise the repair of faults in LPG processing or storage facilities and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UEGNSG621A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Control bulk storage of LPG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UEGNSG622A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Assess the operational capability of gas safety equipment on a delivery vehicle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UEGNSG706A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Test New Residential and Small Commercial Gas Installations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UEGNSG713A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Investigate billing exceptions-conditions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UEGNSG805A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Maintain multi-stage and multi-run gas flow and pressure measuring and regulating devices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UEGNSG807A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Install Gas Flow, Measuring and Pressure Regulating Devices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UEGNSG811A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Monitor and operate complex flow control, measuring and regulating devices for gas distribution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UEPMNT367A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Install and commission stationary gas fuelled reciprocating engines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UEPMNT368A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Repair and maintain stationary gas fuelled reciprocating engines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rPr>
          <w:trHeight w:val="491"/>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UEPOPS317B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Operate and Monitor Fixed Fire Protection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30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UEPOPS336B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 xml:space="preserve">Operate and monitor a gas turbine unit </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UEPOPS347B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Operate and monitor supervisory, control and data acquisition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t>40</w:t>
            </w:r>
          </w:p>
        </w:tc>
      </w:tr>
    </w:tbl>
    <w:p w:rsidR="00000000" w:rsidRPr="00FC6000" w:rsidP="00FC6000">
      <w:pPr>
        <w:pStyle w:val="BodyText"/>
      </w:pPr>
    </w:p>
    <w:tbl>
      <w:tblPr>
        <w:tblW w:w="9270" w:type="dxa"/>
        <w:tblLayout w:type="fixed"/>
        <w:tblCellMar>
          <w:left w:w="62" w:type="dxa"/>
          <w:right w:w="62" w:type="dxa"/>
        </w:tblCellMar>
        <w:tblLook w:val="0000"/>
      </w:tblPr>
      <w:tblGrid>
        <w:gridCol w:w="1710"/>
        <w:gridCol w:w="6300"/>
        <w:gridCol w:w="1260"/>
      </w:tblGrid>
      <w:tr w:rsidTr="00ED659D">
        <w:tblPrEx>
          <w:tblW w:w="9270" w:type="dxa"/>
          <w:tblLayout w:type="fixed"/>
          <w:tblCellMar>
            <w:left w:w="62" w:type="dxa"/>
            <w:right w:w="62" w:type="dxa"/>
          </w:tblCellMar>
          <w:tblLook w:val="0000"/>
        </w:tblPrEx>
        <w:trPr>
          <w:tblHeader/>
        </w:trPr>
        <w:tc>
          <w:tcPr>
            <w:tcW w:w="801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FC6000" w:rsidP="00FC6000">
            <w:pPr>
              <w:pStyle w:val="BodyText"/>
            </w:pPr>
            <w:r w:rsidRPr="00FC6000">
              <w:rPr>
                <w:rStyle w:val="SpecialBold"/>
              </w:rPr>
              <w:t xml:space="preserve">Group D – Qualification AQF 4 Electives </w:t>
            </w:r>
          </w:p>
          <w:p w:rsidR="00000000" w:rsidRPr="00FC6000" w:rsidP="00FC6000">
            <w:pPr>
              <w:pStyle w:val="BodyText"/>
            </w:pPr>
            <w:r w:rsidRPr="00FC6000">
              <w:t>At least</w:t>
            </w:r>
            <w:r w:rsidRPr="00FC6000">
              <w:rPr>
                <w:rStyle w:val="SpecialBold"/>
              </w:rPr>
              <w:t xml:space="preserve"> 200</w:t>
            </w:r>
            <w:r w:rsidRPr="00FC6000">
              <w:t xml:space="preserve"> points to be achieved from this group. You may select all your elective units from this Group.</w:t>
            </w:r>
          </w:p>
        </w:tc>
        <w:tc>
          <w:tcPr>
            <w:tcW w:w="1260"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FC6000">
            <w:pPr>
              <w:pStyle w:val="BodyText"/>
              <w:rPr>
                <w:lang w:val="en-NZ"/>
              </w:rPr>
            </w:pPr>
            <w:r w:rsidRPr="00FC6000">
              <w:rPr>
                <w:rStyle w:val="SpecialBold"/>
              </w:rPr>
              <w:t>Weighting Points</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UEGNSG106B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Coordinate repair of pipeline, facilities and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UEGNSG108B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Operate and monitor pipeline control systems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UEGNSG109B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Control field pipeline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Supervise technical operations for gas distribution or transmission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rPr>
          <w:trHeight w:val="732"/>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UEGNSG111B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Produce maintenance strategies and plans for a gas facility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UEGNSG131A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Compile a gas industry technical report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UEGNSG204B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Coordinate and conduct gas distribution pipeline repair and modifications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UEGNSG207B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Coordinate construction, laying and testing of gas distribution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UEGNSG210B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Supervise and monitor contract staff for work on distribution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UEGNSG305B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Coordinate gas transmission pipeline repair and modifications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UEGNSG308B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Identify, evaluate and control threats to transmission pipelines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UEGNSG310B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Supervise and monitor contract work</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UEGNSG311B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Site control of third party works in the vicinity of a transmission pipeline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UEGNSG314B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Liaise with third party and the c</w:t>
            </w:r>
            <w:r w:rsidRPr="00FC6000">
              <w:t>ommunity to maintain pipeline integrity and community safety</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40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UEGNSG319B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Custody transfer metering and gas quality analysis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UEGNSG324A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Follow company procedures to deal with incidents related to the abuse of drugs and alcohol</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UEGNSG325A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Coordinate the operation of relevant plant and equipment for transmission pipeline construction</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80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UEGNSG326A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Coordinate and monitor staff and contractors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UEGNSG327A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Coordinate transmission pipeline construction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60</w:t>
            </w:r>
          </w:p>
        </w:tc>
      </w:tr>
      <w:tr w:rsidTr="00ED659D">
        <w:tblPrEx>
          <w:tblW w:w="9270" w:type="dxa"/>
          <w:tblLayout w:type="fixed"/>
          <w:tblCellMar>
            <w:left w:w="62" w:type="dxa"/>
            <w:right w:w="62" w:type="dxa"/>
          </w:tblCellMar>
          <w:tblLook w:val="0000"/>
        </w:tblPrEx>
        <w:trPr>
          <w:trHeight w:val="286"/>
        </w:trPr>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UEGNSG511A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Operate gas i</w:t>
            </w:r>
            <w:r w:rsidRPr="00FC6000">
              <w:t>nfrastructure to meet nominated demand</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UEGNSG512A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Control centre communication with gas industry stakeholders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UEGNSG514A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Managing and controlling field activities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UEGNSG515A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Use control centre systems to monitor and control gas infrastructure</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UEGNSG611B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Control LPG storage/processing operations</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110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UEGNSG612B</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Supervise technical operations for liquefied petroleum gas storage and processing</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120</w:t>
            </w:r>
          </w:p>
        </w:tc>
      </w:tr>
      <w:tr w:rsidTr="00ED659D">
        <w:tblPrEx>
          <w:tblW w:w="9270" w:type="dxa"/>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UEGNSG806A</w:t>
            </w:r>
          </w:p>
        </w:tc>
        <w:tc>
          <w:tcPr>
            <w:tcW w:w="6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6000">
            <w:pPr>
              <w:pStyle w:val="BodyText"/>
              <w:rPr>
                <w:lang w:val="en-NZ"/>
              </w:rPr>
            </w:pPr>
            <w:r w:rsidRPr="00FC6000">
              <w:t>Maintain SCADA controlled flow and pressure equipment and electronic gas measurement equipment</w:t>
            </w: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6000" w:rsidP="00FC6000">
            <w:pPr>
              <w:pStyle w:val="BodyText"/>
            </w:pPr>
            <w:r w:rsidRPr="00FC6000">
              <w:t>100</w:t>
            </w:r>
          </w:p>
        </w:tc>
      </w:tr>
    </w:tbl>
    <w:p w:rsidR="00000000" w:rsidRPr="00FC6000" w:rsidP="00FC6000">
      <w:pPr>
        <w:pStyle w:val="BodyText"/>
      </w:pPr>
    </w:p>
    <w:tbl>
      <w:tblPr>
        <w:tblW w:w="9270" w:type="dxa"/>
        <w:tblLayout w:type="fixed"/>
        <w:tblCellMar>
          <w:left w:w="62" w:type="dxa"/>
          <w:right w:w="62" w:type="dxa"/>
        </w:tblCellMar>
        <w:tblLook w:val="0000"/>
      </w:tblPr>
      <w:tblGrid>
        <w:gridCol w:w="9270"/>
      </w:tblGrid>
      <w:tr w:rsidTr="00ED659D">
        <w:tblPrEx>
          <w:tblW w:w="9270" w:type="dxa"/>
          <w:tblLayout w:type="fixed"/>
          <w:tblCellMar>
            <w:left w:w="62" w:type="dxa"/>
            <w:right w:w="62" w:type="dxa"/>
          </w:tblCellMar>
          <w:tblLook w:val="0000"/>
        </w:tblPrEx>
        <w:tc>
          <w:tcPr>
            <w:tcW w:w="9270" w:type="dxa"/>
            <w:tcBorders>
              <w:top w:val="nil"/>
              <w:left w:val="nil"/>
              <w:bottom w:val="nil"/>
              <w:right w:val="nil"/>
            </w:tcBorders>
            <w:tcMar>
              <w:top w:w="0" w:type="dxa"/>
              <w:left w:w="62" w:type="dxa"/>
              <w:bottom w:w="0" w:type="dxa"/>
              <w:right w:w="62" w:type="dxa"/>
            </w:tcMar>
          </w:tcPr>
          <w:p w:rsidR="00000000" w:rsidRPr="00FC6000" w:rsidP="00FC6000">
            <w:pPr>
              <w:pStyle w:val="BodyText"/>
            </w:pPr>
            <w:r w:rsidRPr="00FC6000">
              <w:rPr>
                <w:rStyle w:val="SpecialBold"/>
              </w:rPr>
              <w:t xml:space="preserve">Note: </w:t>
            </w:r>
          </w:p>
          <w:p w:rsidR="00000000" w:rsidRPr="00FC6000" w:rsidP="00FC6000">
            <w:pPr>
              <w:pStyle w:val="BodyText"/>
            </w:pPr>
            <w:r w:rsidRPr="00FC6000">
              <w:t>1. Prerequisite pathways shall be identified and met for all elective units selected.</w:t>
            </w:r>
          </w:p>
          <w:p w:rsidR="00000000" w:rsidRPr="00FC6000" w:rsidP="00FC6000">
            <w:pPr>
              <w:pStyle w:val="BodyText"/>
            </w:pPr>
            <w:r w:rsidRPr="00FC6000">
              <w:t>2. In selecting elective units considerations to career planni</w:t>
            </w:r>
            <w:r w:rsidRPr="00FC6000">
              <w:t>ng advice should be given to units that form part of a prerequisite pathway for the progression to achieve particular competencies or qualification at a higher level.</w:t>
            </w:r>
          </w:p>
        </w:tc>
      </w:tr>
    </w:tbl>
    <w:p w:rsidR="00ED659D" w:rsidP="00FC6000">
      <w:pPr>
        <w:pStyle w:val="BodyText"/>
      </w:pPr>
      <w:r w:rsidRPr="00FC6000">
        <w:rPr>
          <w:rStyle w:val="SpecialBold"/>
        </w:rPr>
        <w:t>END OF QUALIFICATION</w:t>
      </w:r>
    </w:p>
    <w:p w:rsidR="00ED659D" w:rsidP="00FC6000">
      <w:pPr>
        <w:pStyle w:val="BodyText"/>
      </w:pPr>
    </w:p>
    <w:p w:rsidR="00000000" w:rsidRPr="00FC6000" w:rsidP="00FC6000">
      <w:pPr>
        <w:pStyle w:val="Heading1"/>
      </w:pPr>
      <w:bookmarkStart w:id="8" w:name="O_614721"/>
      <w:bookmarkEnd w:id="8"/>
      <w:r w:rsidRPr="00FC6000">
        <w:t>Custom Content Section</w:t>
      </w:r>
    </w:p>
    <w:p w:rsidR="00000000" w:rsidRPr="00FC6000" w:rsidP="00FC6000">
      <w:pPr>
        <w:pStyle w:val="BodyText"/>
      </w:pPr>
      <w:r w:rsidRPr="00FC6000">
        <w:t>Not applicable.</w:t>
      </w:r>
    </w:p>
    <w:p w:rsidR="00000000" w:rsidRPr="00FC6000" w:rsidP="00FC6000"/>
    <w:sectPr w:rsidSect="00FC6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9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9D" w:rsidP="00FC60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18</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ED659D" w:rsidP="00FC600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D659D" w:rsidP="00FC60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6000" w:rsidRPr="00ED659D" w:rsidP="00ED65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59D" w:rsidRPr="002D2AF8" w:rsidP="00FC6000">
    <w:pPr>
      <w:pStyle w:val="Header"/>
      <w:framePr w:wrap="around"/>
    </w:pPr>
    <w:r>
      <w:fldChar w:fldCharType="begin"/>
    </w:r>
    <w:r>
      <w:instrText xml:space="preserve"> TITLE   \* MERGEFORMAT </w:instrText>
    </w:r>
    <w:r>
      <w:fldChar w:fldCharType="separate"/>
    </w:r>
    <w:r>
      <w:t>UEG40114 Certificate IV in Gas Supply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ED659D" w:rsidP="00FC60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A4E2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F148D7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0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6000"/>
    <w:pPr>
      <w:spacing w:before="360" w:after="60"/>
      <w:outlineLvl w:val="0"/>
    </w:pPr>
    <w:rPr>
      <w:sz w:val="32"/>
    </w:rPr>
  </w:style>
  <w:style w:type="paragraph" w:styleId="Heading2">
    <w:name w:val="heading 2"/>
    <w:basedOn w:val="HeadingBase"/>
    <w:next w:val="BodyText"/>
    <w:link w:val="Heading2Char"/>
    <w:qFormat/>
    <w:rsid w:val="00FC6000"/>
    <w:pPr>
      <w:keepLines/>
      <w:spacing w:before="240" w:after="120"/>
      <w:outlineLvl w:val="1"/>
    </w:pPr>
    <w:rPr>
      <w:sz w:val="28"/>
      <w:szCs w:val="40"/>
    </w:rPr>
  </w:style>
  <w:style w:type="paragraph" w:styleId="Heading3">
    <w:name w:val="heading 3"/>
    <w:basedOn w:val="HeadingBase"/>
    <w:next w:val="BodyText"/>
    <w:link w:val="Heading3Char"/>
    <w:qFormat/>
    <w:rsid w:val="00FC6000"/>
    <w:pPr>
      <w:spacing w:before="180" w:after="120"/>
      <w:outlineLvl w:val="2"/>
    </w:pPr>
    <w:rPr>
      <w:spacing w:val="-10"/>
      <w:kern w:val="32"/>
    </w:rPr>
  </w:style>
  <w:style w:type="paragraph" w:styleId="Heading4">
    <w:name w:val="heading 4"/>
    <w:basedOn w:val="HeadingBase"/>
    <w:next w:val="BodyText"/>
    <w:link w:val="Heading4Char"/>
    <w:qFormat/>
    <w:rsid w:val="00FC6000"/>
    <w:pPr>
      <w:spacing w:before="160" w:after="120"/>
      <w:outlineLvl w:val="3"/>
    </w:pPr>
    <w:rPr>
      <w:sz w:val="22"/>
    </w:rPr>
  </w:style>
  <w:style w:type="paragraph" w:styleId="Heading5">
    <w:name w:val="heading 5"/>
    <w:basedOn w:val="HeadingBase"/>
    <w:next w:val="Normal"/>
    <w:link w:val="Heading5Char"/>
    <w:qFormat/>
    <w:rsid w:val="00FC6000"/>
    <w:pPr>
      <w:spacing w:before="80"/>
      <w:outlineLvl w:val="4"/>
    </w:pPr>
    <w:rPr>
      <w:color w:val="918585"/>
      <w:sz w:val="20"/>
    </w:rPr>
  </w:style>
  <w:style w:type="paragraph" w:styleId="Heading6">
    <w:name w:val="heading 6"/>
    <w:basedOn w:val="HeadingBase"/>
    <w:next w:val="Normal"/>
    <w:link w:val="Heading6Char"/>
    <w:qFormat/>
    <w:rsid w:val="00FC6000"/>
    <w:pPr>
      <w:spacing w:before="60"/>
      <w:outlineLvl w:val="5"/>
    </w:pPr>
    <w:rPr>
      <w:color w:val="918585"/>
      <w:sz w:val="20"/>
    </w:rPr>
  </w:style>
  <w:style w:type="paragraph" w:styleId="Heading7">
    <w:name w:val="heading 7"/>
    <w:basedOn w:val="Normal"/>
    <w:next w:val="Normal"/>
    <w:link w:val="Heading7Char"/>
    <w:qFormat/>
    <w:rsid w:val="00FC6000"/>
    <w:pPr>
      <w:ind w:left="720"/>
      <w:outlineLvl w:val="6"/>
    </w:pPr>
    <w:rPr>
      <w:i/>
    </w:rPr>
  </w:style>
  <w:style w:type="paragraph" w:styleId="Heading8">
    <w:name w:val="heading 8"/>
    <w:basedOn w:val="Normal"/>
    <w:next w:val="Normal"/>
    <w:link w:val="Heading8Char"/>
    <w:qFormat/>
    <w:rsid w:val="00FC6000"/>
    <w:pPr>
      <w:ind w:left="720"/>
      <w:outlineLvl w:val="7"/>
    </w:pPr>
    <w:rPr>
      <w:i/>
    </w:rPr>
  </w:style>
  <w:style w:type="paragraph" w:styleId="Heading9">
    <w:name w:val="heading 9"/>
    <w:basedOn w:val="Normal"/>
    <w:next w:val="Normal"/>
    <w:link w:val="Heading9Char"/>
    <w:qFormat/>
    <w:rsid w:val="00FC6000"/>
    <w:pPr>
      <w:ind w:left="720"/>
      <w:outlineLvl w:val="8"/>
    </w:pPr>
    <w:rPr>
      <w:i/>
    </w:rPr>
  </w:style>
  <w:style w:type="character" w:default="1" w:styleId="DefaultParagraphFont">
    <w:name w:val="Default Paragraph Font"/>
    <w:uiPriority w:val="1"/>
    <w:unhideWhenUsed/>
    <w:rsid w:val="00FC6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6000"/>
  </w:style>
  <w:style w:type="character" w:customStyle="1" w:styleId="Heading1Char">
    <w:name w:val="Heading 1 Char"/>
    <w:basedOn w:val="DefaultParagraphFont"/>
    <w:link w:val="Heading1"/>
    <w:rsid w:val="00FC6000"/>
    <w:rPr>
      <w:rFonts w:ascii="Times New Roman" w:eastAsia="Times New Roman" w:hAnsi="Times New Roman" w:cs="Times New Roman"/>
      <w:b/>
      <w:sz w:val="32"/>
      <w:szCs w:val="20"/>
      <w:lang w:eastAsia="en-US"/>
    </w:rPr>
  </w:style>
  <w:style w:type="paragraph" w:styleId="BodyText">
    <w:name w:val="Body Text"/>
    <w:basedOn w:val="Normal"/>
    <w:link w:val="BodyTextChar"/>
    <w:rsid w:val="00FC60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C6000"/>
    <w:rPr>
      <w:rFonts w:ascii="Times New Roman" w:eastAsia="Times New Roman" w:hAnsi="Times New Roman" w:cs="Times New Roman"/>
      <w:sz w:val="24"/>
      <w:lang w:eastAsia="en-US"/>
    </w:rPr>
  </w:style>
  <w:style w:type="paragraph" w:styleId="ListBullet">
    <w:name w:val="List Bullet"/>
    <w:basedOn w:val="List"/>
    <w:rsid w:val="00FC6000"/>
    <w:pPr>
      <w:numPr>
        <w:numId w:val="12"/>
      </w:numPr>
      <w:tabs>
        <w:tab w:val="clear" w:pos="340"/>
      </w:tabs>
      <w:spacing w:before="40" w:after="40"/>
    </w:pPr>
  </w:style>
  <w:style w:type="character" w:customStyle="1" w:styleId="SpecialBold">
    <w:name w:val="Special Bold"/>
    <w:basedOn w:val="DefaultParagraphFont"/>
    <w:rsid w:val="00FC6000"/>
    <w:rPr>
      <w:b/>
      <w:spacing w:val="0"/>
    </w:rPr>
  </w:style>
  <w:style w:type="paragraph" w:customStyle="1" w:styleId="SuperHeading">
    <w:name w:val="SuperHeading"/>
    <w:basedOn w:val="Normal"/>
    <w:rsid w:val="00FC6000"/>
    <w:pPr>
      <w:spacing w:before="240" w:after="120"/>
      <w:outlineLvl w:val="0"/>
    </w:pPr>
    <w:rPr>
      <w:rFonts w:ascii="Times New Roman" w:hAnsi="Times New Roman"/>
      <w:b/>
      <w:sz w:val="32"/>
    </w:rPr>
  </w:style>
  <w:style w:type="paragraph" w:customStyle="1" w:styleId="BodyTextRight">
    <w:name w:val="Body Text Right"/>
    <w:basedOn w:val="BodyText"/>
    <w:rsid w:val="00FC6000"/>
    <w:pPr>
      <w:spacing w:before="0" w:after="0"/>
      <w:jc w:val="right"/>
    </w:pPr>
  </w:style>
  <w:style w:type="paragraph" w:customStyle="1" w:styleId="AllowPageBreak">
    <w:name w:val="AllowPageBreak"/>
    <w:rsid w:val="00FC60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6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6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6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6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6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60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60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6000"/>
    <w:rPr>
      <w:rFonts w:ascii="Courier New" w:eastAsia="Times New Roman" w:hAnsi="Courier New" w:cs="Times New Roman"/>
      <w:i/>
      <w:szCs w:val="20"/>
      <w:lang w:eastAsia="en-US"/>
    </w:rPr>
  </w:style>
  <w:style w:type="paragraph" w:customStyle="1" w:styleId="HeadingBase">
    <w:name w:val="Heading Base"/>
    <w:rsid w:val="00FC6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6000"/>
    <w:pPr>
      <w:tabs>
        <w:tab w:val="right" w:leader="dot" w:pos="9072"/>
      </w:tabs>
      <w:ind w:left="567"/>
    </w:pPr>
    <w:rPr>
      <w:szCs w:val="22"/>
    </w:rPr>
  </w:style>
  <w:style w:type="paragraph" w:customStyle="1" w:styleId="TOCBase">
    <w:name w:val="TOC Base"/>
    <w:rsid w:val="00FC6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6000"/>
    <w:pPr>
      <w:tabs>
        <w:tab w:val="right" w:leader="dot" w:pos="9072"/>
      </w:tabs>
      <w:spacing w:before="40" w:after="40"/>
      <w:ind w:left="284"/>
    </w:pPr>
    <w:rPr>
      <w:rFonts w:ascii="Times New Roman" w:hAnsi="Times New Roman"/>
    </w:rPr>
  </w:style>
  <w:style w:type="paragraph" w:styleId="TOC1">
    <w:name w:val="toc 1"/>
    <w:basedOn w:val="TOCBase"/>
    <w:next w:val="Normal"/>
    <w:rsid w:val="00FC60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6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6000"/>
    <w:rPr>
      <w:rFonts w:ascii="Times New Roman" w:eastAsia="Times New Roman" w:hAnsi="Times New Roman" w:cs="Times New Roman"/>
      <w:sz w:val="16"/>
      <w:lang w:eastAsia="en-US"/>
    </w:rPr>
  </w:style>
  <w:style w:type="paragraph" w:styleId="Title">
    <w:name w:val="Title"/>
    <w:basedOn w:val="HeadingBase"/>
    <w:link w:val="TitleChar"/>
    <w:qFormat/>
    <w:rsid w:val="00FC6000"/>
    <w:pPr>
      <w:spacing w:before="5040"/>
      <w:jc w:val="center"/>
    </w:pPr>
    <w:rPr>
      <w:sz w:val="48"/>
      <w:szCs w:val="72"/>
      <w:lang w:val="en-US"/>
    </w:rPr>
  </w:style>
  <w:style w:type="character" w:customStyle="1" w:styleId="TitleChar">
    <w:name w:val="Title Char"/>
    <w:basedOn w:val="DefaultParagraphFont"/>
    <w:link w:val="Title"/>
    <w:rsid w:val="00FC6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6000"/>
    <w:pPr>
      <w:tabs>
        <w:tab w:val="left" w:pos="3600"/>
        <w:tab w:val="left" w:pos="3958"/>
      </w:tabs>
    </w:pPr>
  </w:style>
  <w:style w:type="paragraph" w:styleId="List">
    <w:name w:val="List"/>
    <w:basedOn w:val="BodyText"/>
    <w:next w:val="BodyText"/>
    <w:rsid w:val="00FC6000"/>
    <w:pPr>
      <w:tabs>
        <w:tab w:val="left" w:pos="340"/>
      </w:tabs>
      <w:spacing w:before="60" w:after="60"/>
      <w:ind w:left="340" w:hanging="340"/>
    </w:pPr>
  </w:style>
  <w:style w:type="paragraph" w:customStyle="1" w:styleId="Note">
    <w:name w:val="Note"/>
    <w:basedOn w:val="BodyText"/>
    <w:rsid w:val="00FC6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6000"/>
    <w:pPr>
      <w:framePr w:wrap="auto" w:hAnchor="text" w:y="6049"/>
    </w:pPr>
    <w:rPr>
      <w:color w:val="000000"/>
      <w:sz w:val="40"/>
    </w:rPr>
  </w:style>
  <w:style w:type="paragraph" w:customStyle="1" w:styleId="TOCTitle">
    <w:name w:val="TOCTitle"/>
    <w:basedOn w:val="Heading1"/>
    <w:rsid w:val="00FC6000"/>
    <w:pPr>
      <w:spacing w:after="240"/>
      <w:jc w:val="center"/>
      <w:outlineLvl w:val="9"/>
    </w:pPr>
    <w:rPr>
      <w:caps/>
    </w:rPr>
  </w:style>
  <w:style w:type="paragraph" w:customStyle="1" w:styleId="Version">
    <w:name w:val="Version"/>
    <w:rsid w:val="00FC60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6000"/>
    <w:pPr>
      <w:numPr>
        <w:numId w:val="13"/>
      </w:numPr>
      <w:tabs>
        <w:tab w:val="clear" w:pos="680"/>
      </w:tabs>
    </w:pPr>
  </w:style>
  <w:style w:type="paragraph" w:styleId="Index1">
    <w:name w:val="index 1"/>
    <w:basedOn w:val="Normal"/>
    <w:next w:val="Normal"/>
    <w:semiHidden/>
    <w:rsid w:val="00FC6000"/>
    <w:pPr>
      <w:keepNext w:val="0"/>
      <w:tabs>
        <w:tab w:val="right" w:pos="4176"/>
      </w:tabs>
      <w:ind w:left="198" w:hanging="198"/>
    </w:pPr>
    <w:rPr>
      <w:rFonts w:ascii="Garamond" w:hAnsi="Garamond"/>
    </w:rPr>
  </w:style>
  <w:style w:type="paragraph" w:styleId="IndexHeading">
    <w:name w:val="index heading"/>
    <w:basedOn w:val="Normal"/>
    <w:next w:val="Index1"/>
    <w:semiHidden/>
    <w:rsid w:val="00FC6000"/>
    <w:pPr>
      <w:spacing w:before="120" w:after="120"/>
    </w:pPr>
    <w:rPr>
      <w:rFonts w:ascii="Arial" w:hAnsi="Arial"/>
      <w:b/>
      <w:color w:val="918585"/>
      <w:sz w:val="24"/>
    </w:rPr>
  </w:style>
  <w:style w:type="paragraph" w:styleId="Header">
    <w:name w:val="header"/>
    <w:basedOn w:val="Normal"/>
    <w:link w:val="HeaderChar"/>
    <w:rsid w:val="00FC6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6000"/>
    <w:rPr>
      <w:rFonts w:ascii="Times New Roman" w:eastAsia="Times New Roman" w:hAnsi="Times New Roman" w:cs="Times New Roman"/>
      <w:sz w:val="16"/>
      <w:szCs w:val="20"/>
      <w:lang w:val="en-GB" w:eastAsia="en-US"/>
    </w:rPr>
  </w:style>
  <w:style w:type="paragraph" w:customStyle="1" w:styleId="Chapter">
    <w:name w:val="Chapter"/>
    <w:basedOn w:val="Normal"/>
    <w:rsid w:val="00FC6000"/>
    <w:pPr>
      <w:spacing w:before="240"/>
    </w:pPr>
    <w:rPr>
      <w:rFonts w:ascii="Times New Roman" w:hAnsi="Times New Roman"/>
      <w:smallCaps/>
      <w:spacing w:val="80"/>
      <w:sz w:val="28"/>
    </w:rPr>
  </w:style>
  <w:style w:type="paragraph" w:customStyle="1" w:styleId="InChapter">
    <w:name w:val="InChapter"/>
    <w:basedOn w:val="Heading3"/>
    <w:rsid w:val="00FC6000"/>
    <w:pPr>
      <w:spacing w:after="240"/>
      <w:outlineLvl w:val="9"/>
    </w:pPr>
    <w:rPr>
      <w:noProof/>
    </w:rPr>
  </w:style>
  <w:style w:type="paragraph" w:styleId="Index2">
    <w:name w:val="index 2"/>
    <w:basedOn w:val="Normal"/>
    <w:next w:val="Normal"/>
    <w:semiHidden/>
    <w:rsid w:val="00FC6000"/>
    <w:pPr>
      <w:tabs>
        <w:tab w:val="right" w:pos="4176"/>
      </w:tabs>
      <w:ind w:left="568" w:hanging="284"/>
    </w:pPr>
    <w:rPr>
      <w:rFonts w:ascii="Garamond" w:hAnsi="Garamond"/>
    </w:rPr>
  </w:style>
  <w:style w:type="paragraph" w:customStyle="1" w:styleId="Byline">
    <w:name w:val="Byline"/>
    <w:rsid w:val="00FC6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6000"/>
    <w:pPr>
      <w:tabs>
        <w:tab w:val="clear" w:pos="3600"/>
        <w:tab w:val="clear" w:pos="3958"/>
      </w:tabs>
      <w:jc w:val="right"/>
    </w:pPr>
  </w:style>
  <w:style w:type="character" w:styleId="Emphasis">
    <w:name w:val="Emphasis"/>
    <w:basedOn w:val="DefaultParagraphFont"/>
    <w:qFormat/>
    <w:rsid w:val="00FC6000"/>
    <w:rPr>
      <w:i/>
    </w:rPr>
  </w:style>
  <w:style w:type="paragraph" w:styleId="Caption">
    <w:name w:val="caption"/>
    <w:basedOn w:val="BodyText"/>
    <w:next w:val="Normal"/>
    <w:qFormat/>
    <w:rsid w:val="00FC6000"/>
    <w:pPr>
      <w:framePr w:w="2268" w:hSpace="181" w:vSpace="181" w:wrap="around" w:vAnchor="text" w:hAnchor="page" w:x="1135" w:y="285" w:anchorLock="1"/>
    </w:pPr>
    <w:rPr>
      <w:i/>
    </w:rPr>
  </w:style>
  <w:style w:type="paragraph" w:customStyle="1" w:styleId="MiniTOCTitle">
    <w:name w:val="MiniTOCTitle"/>
    <w:basedOn w:val="Heading4"/>
    <w:rsid w:val="00FC6000"/>
    <w:pPr>
      <w:spacing w:before="240"/>
      <w:outlineLvl w:val="9"/>
    </w:pPr>
    <w:rPr>
      <w:noProof/>
      <w:sz w:val="24"/>
    </w:rPr>
  </w:style>
  <w:style w:type="paragraph" w:customStyle="1" w:styleId="MiniTOCItem">
    <w:name w:val="MiniTOCItem"/>
    <w:basedOn w:val="ListBullet"/>
    <w:rsid w:val="00FC6000"/>
    <w:pPr>
      <w:numPr>
        <w:numId w:val="0"/>
      </w:numPr>
      <w:tabs>
        <w:tab w:val="right" w:leader="dot" w:pos="6521"/>
      </w:tabs>
      <w:spacing w:before="0" w:after="0"/>
    </w:pPr>
  </w:style>
  <w:style w:type="paragraph" w:customStyle="1" w:styleId="TOFTitle">
    <w:name w:val="TOFTitle"/>
    <w:basedOn w:val="TOCTitle"/>
    <w:rsid w:val="00FC6000"/>
  </w:style>
  <w:style w:type="paragraph" w:styleId="TableofFigures">
    <w:name w:val="table of figures"/>
    <w:basedOn w:val="Normal"/>
    <w:next w:val="Normal"/>
    <w:semiHidden/>
    <w:rsid w:val="00FC6000"/>
    <w:pPr>
      <w:tabs>
        <w:tab w:val="right" w:leader="dot" w:pos="9072"/>
      </w:tabs>
      <w:ind w:left="970" w:hanging="403"/>
    </w:pPr>
    <w:rPr>
      <w:rFonts w:ascii="Times New Roman" w:hAnsi="Times New Roman"/>
      <w:b/>
    </w:rPr>
  </w:style>
  <w:style w:type="paragraph" w:styleId="ListNumber">
    <w:name w:val="List Number"/>
    <w:basedOn w:val="List"/>
    <w:rsid w:val="00FC6000"/>
    <w:pPr>
      <w:numPr>
        <w:numId w:val="10"/>
      </w:numPr>
    </w:pPr>
  </w:style>
  <w:style w:type="character" w:customStyle="1" w:styleId="WingdingSymbols">
    <w:name w:val="Wingding Symbols"/>
    <w:rsid w:val="00FC6000"/>
    <w:rPr>
      <w:rFonts w:ascii="Wingdings" w:hAnsi="Wingdings"/>
    </w:rPr>
  </w:style>
  <w:style w:type="paragraph" w:customStyle="1" w:styleId="TableHeading">
    <w:name w:val="Table Heading"/>
    <w:basedOn w:val="HeadingBase"/>
    <w:rsid w:val="00FC6000"/>
    <w:pPr>
      <w:keepLines/>
      <w:pBdr>
        <w:bottom w:val="single" w:sz="6" w:space="1" w:color="918585"/>
      </w:pBdr>
      <w:spacing w:before="240"/>
    </w:pPr>
  </w:style>
  <w:style w:type="character" w:customStyle="1" w:styleId="HotSpot">
    <w:name w:val="HotSpot"/>
    <w:rsid w:val="00FC6000"/>
    <w:rPr>
      <w:color w:val="0033CC"/>
      <w:u w:val="none"/>
    </w:rPr>
  </w:style>
  <w:style w:type="paragraph" w:styleId="Index3">
    <w:name w:val="index 3"/>
    <w:basedOn w:val="ListNumber2"/>
    <w:next w:val="Normal"/>
    <w:semiHidden/>
    <w:rsid w:val="00FC6000"/>
    <w:pPr>
      <w:numPr>
        <w:numId w:val="0"/>
      </w:numPr>
      <w:tabs>
        <w:tab w:val="right" w:leader="dot" w:pos="4176"/>
      </w:tabs>
    </w:pPr>
  </w:style>
  <w:style w:type="paragraph" w:styleId="ListNumber2">
    <w:name w:val="List Number 2"/>
    <w:basedOn w:val="List2"/>
    <w:rsid w:val="00FC6000"/>
    <w:pPr>
      <w:numPr>
        <w:numId w:val="9"/>
      </w:numPr>
      <w:tabs>
        <w:tab w:val="clear" w:pos="1060"/>
      </w:tabs>
    </w:pPr>
  </w:style>
  <w:style w:type="paragraph" w:customStyle="1" w:styleId="MarginNote">
    <w:name w:val="Margin Note"/>
    <w:basedOn w:val="BodyText"/>
    <w:rsid w:val="00FC6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6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60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6000"/>
    <w:rPr>
      <w:sz w:val="32"/>
    </w:rPr>
  </w:style>
  <w:style w:type="paragraph" w:customStyle="1" w:styleId="HeadingProcedure">
    <w:name w:val="Heading Procedure"/>
    <w:basedOn w:val="HeadingBase"/>
    <w:next w:val="Normal"/>
    <w:rsid w:val="00FC6000"/>
    <w:pPr>
      <w:tabs>
        <w:tab w:val="left" w:pos="0"/>
      </w:tabs>
      <w:spacing w:before="120" w:after="60"/>
    </w:pPr>
    <w:rPr>
      <w:i/>
      <w:color w:val="918585"/>
      <w:sz w:val="22"/>
    </w:rPr>
  </w:style>
  <w:style w:type="paragraph" w:customStyle="1" w:styleId="TableBodyText">
    <w:name w:val="Table Body Text"/>
    <w:basedOn w:val="BodyText"/>
    <w:rsid w:val="00FC6000"/>
    <w:pPr>
      <w:spacing w:before="60" w:after="60"/>
    </w:pPr>
  </w:style>
  <w:style w:type="paragraph" w:styleId="ListContinue">
    <w:name w:val="List Continue"/>
    <w:basedOn w:val="List"/>
    <w:rsid w:val="00FC6000"/>
    <w:pPr>
      <w:ind w:firstLine="0"/>
    </w:pPr>
  </w:style>
  <w:style w:type="paragraph" w:customStyle="1" w:styleId="ListNote">
    <w:name w:val="List Note"/>
    <w:basedOn w:val="List"/>
    <w:rsid w:val="00FC6000"/>
    <w:pPr>
      <w:pBdr>
        <w:top w:val="single" w:sz="6" w:space="2" w:color="918585"/>
        <w:bottom w:val="single" w:sz="6" w:space="2" w:color="918585"/>
      </w:pBdr>
      <w:tabs>
        <w:tab w:val="left" w:pos="1021"/>
      </w:tabs>
      <w:ind w:firstLine="0"/>
    </w:pPr>
  </w:style>
  <w:style w:type="paragraph" w:customStyle="1" w:styleId="Warning">
    <w:name w:val="Warning"/>
    <w:basedOn w:val="BodyText"/>
    <w:rsid w:val="00FC6000"/>
    <w:pPr>
      <w:shd w:val="clear" w:color="auto" w:fill="D9D9D9"/>
      <w:tabs>
        <w:tab w:val="left" w:pos="992"/>
      </w:tabs>
      <w:ind w:left="119" w:right="119"/>
    </w:pPr>
    <w:rPr>
      <w:sz w:val="20"/>
    </w:rPr>
  </w:style>
  <w:style w:type="paragraph" w:customStyle="1" w:styleId="MarginIcons">
    <w:name w:val="Margin Icons"/>
    <w:basedOn w:val="BodyText"/>
    <w:rsid w:val="00FC6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6000"/>
    <w:rPr>
      <w:rFonts w:ascii="Courier New" w:hAnsi="Courier New"/>
    </w:rPr>
  </w:style>
  <w:style w:type="paragraph" w:customStyle="1" w:styleId="NoteBullet">
    <w:name w:val="Note Bullet"/>
    <w:basedOn w:val="Note"/>
    <w:rsid w:val="00FC6000"/>
    <w:pPr>
      <w:tabs>
        <w:tab w:val="clear" w:pos="680"/>
      </w:tabs>
      <w:spacing w:before="60" w:after="60"/>
    </w:pPr>
  </w:style>
  <w:style w:type="paragraph" w:customStyle="1" w:styleId="SubHeading2">
    <w:name w:val="SubHeading2"/>
    <w:basedOn w:val="HeadingBase"/>
    <w:rsid w:val="00FC6000"/>
    <w:pPr>
      <w:spacing w:before="240" w:after="60"/>
    </w:pPr>
    <w:rPr>
      <w:sz w:val="20"/>
    </w:rPr>
  </w:style>
  <w:style w:type="paragraph" w:customStyle="1" w:styleId="SubHeading1">
    <w:name w:val="SubHeading1"/>
    <w:basedOn w:val="HeadingBase"/>
    <w:rsid w:val="00FC6000"/>
    <w:pPr>
      <w:spacing w:before="240" w:after="60"/>
    </w:pPr>
    <w:rPr>
      <w:color w:val="918585"/>
      <w:sz w:val="22"/>
    </w:rPr>
  </w:style>
  <w:style w:type="paragraph" w:customStyle="1" w:styleId="SideHeading">
    <w:name w:val="Side Heading"/>
    <w:basedOn w:val="HeadingBase"/>
    <w:rsid w:val="00FC6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6000"/>
    <w:pPr>
      <w:tabs>
        <w:tab w:val="num" w:pos="360"/>
      </w:tabs>
    </w:pPr>
  </w:style>
  <w:style w:type="paragraph" w:styleId="PlainText">
    <w:name w:val="Plain Text"/>
    <w:basedOn w:val="Normal"/>
    <w:link w:val="PlainTextChar"/>
    <w:rsid w:val="00FC6000"/>
    <w:rPr>
      <w:sz w:val="20"/>
    </w:rPr>
  </w:style>
  <w:style w:type="character" w:customStyle="1" w:styleId="PlainTextChar">
    <w:name w:val="Plain Text Char"/>
    <w:basedOn w:val="DefaultParagraphFont"/>
    <w:link w:val="PlainText"/>
    <w:rsid w:val="00FC6000"/>
    <w:rPr>
      <w:rFonts w:ascii="Courier New" w:eastAsia="Times New Roman" w:hAnsi="Courier New" w:cs="Times New Roman"/>
      <w:sz w:val="20"/>
      <w:szCs w:val="20"/>
      <w:lang w:eastAsia="en-US"/>
    </w:rPr>
  </w:style>
  <w:style w:type="character" w:customStyle="1" w:styleId="MenuOption">
    <w:name w:val="Menu Option"/>
    <w:basedOn w:val="DefaultParagraphFont"/>
    <w:rsid w:val="00FC6000"/>
    <w:rPr>
      <w:b/>
      <w:smallCaps/>
    </w:rPr>
  </w:style>
  <w:style w:type="paragraph" w:customStyle="1" w:styleId="TableListNumber">
    <w:name w:val="Table List Number"/>
    <w:basedOn w:val="ListNumber"/>
    <w:rsid w:val="00FC6000"/>
    <w:pPr>
      <w:numPr>
        <w:numId w:val="0"/>
      </w:numPr>
    </w:pPr>
  </w:style>
  <w:style w:type="paragraph" w:styleId="TOC4">
    <w:name w:val="toc 4"/>
    <w:basedOn w:val="TOCBase"/>
    <w:next w:val="Normal"/>
    <w:semiHidden/>
    <w:rsid w:val="00FC6000"/>
    <w:pPr>
      <w:tabs>
        <w:tab w:val="right" w:leader="dot" w:pos="9071"/>
      </w:tabs>
      <w:ind w:left="1701"/>
    </w:pPr>
  </w:style>
  <w:style w:type="paragraph" w:customStyle="1" w:styleId="ListAlpha">
    <w:name w:val="List Alpha"/>
    <w:basedOn w:val="List"/>
    <w:rsid w:val="00FC6000"/>
    <w:pPr>
      <w:numPr>
        <w:numId w:val="8"/>
      </w:numPr>
    </w:pPr>
  </w:style>
  <w:style w:type="paragraph" w:customStyle="1" w:styleId="ListAlpha2">
    <w:name w:val="List Alpha 2"/>
    <w:basedOn w:val="List2"/>
    <w:rsid w:val="00FC6000"/>
    <w:pPr>
      <w:numPr>
        <w:numId w:val="7"/>
      </w:numPr>
    </w:pPr>
  </w:style>
  <w:style w:type="paragraph" w:styleId="List2">
    <w:name w:val="List 2"/>
    <w:basedOn w:val="BodyText"/>
    <w:rsid w:val="00FC6000"/>
    <w:pPr>
      <w:tabs>
        <w:tab w:val="left" w:pos="680"/>
      </w:tabs>
      <w:spacing w:before="60" w:after="60"/>
      <w:ind w:left="680" w:hanging="340"/>
    </w:pPr>
  </w:style>
  <w:style w:type="paragraph" w:styleId="List3">
    <w:name w:val="List 3"/>
    <w:basedOn w:val="BodyText"/>
    <w:rsid w:val="00FC6000"/>
    <w:pPr>
      <w:tabs>
        <w:tab w:val="left" w:pos="1021"/>
      </w:tabs>
      <w:spacing w:before="60" w:after="60"/>
      <w:ind w:left="1020" w:hanging="340"/>
    </w:pPr>
  </w:style>
  <w:style w:type="paragraph" w:styleId="List4">
    <w:name w:val="List 4"/>
    <w:basedOn w:val="BodyText"/>
    <w:rsid w:val="00FC6000"/>
    <w:pPr>
      <w:tabs>
        <w:tab w:val="left" w:pos="1361"/>
      </w:tabs>
      <w:spacing w:before="60" w:after="60"/>
      <w:ind w:left="1361" w:hanging="340"/>
    </w:pPr>
  </w:style>
  <w:style w:type="paragraph" w:styleId="List5">
    <w:name w:val="List 5"/>
    <w:basedOn w:val="BodyText"/>
    <w:rsid w:val="00FC6000"/>
    <w:pPr>
      <w:tabs>
        <w:tab w:val="left" w:pos="1701"/>
      </w:tabs>
      <w:spacing w:before="60" w:after="60"/>
      <w:ind w:left="1701" w:hanging="340"/>
    </w:pPr>
  </w:style>
  <w:style w:type="paragraph" w:styleId="ListBullet3">
    <w:name w:val="List Bullet 3"/>
    <w:basedOn w:val="List3"/>
    <w:rsid w:val="00FC6000"/>
    <w:pPr>
      <w:numPr>
        <w:numId w:val="14"/>
      </w:numPr>
      <w:tabs>
        <w:tab w:val="clear" w:pos="1021"/>
      </w:tabs>
      <w:ind w:left="1037" w:hanging="357"/>
    </w:pPr>
  </w:style>
  <w:style w:type="paragraph" w:styleId="ListBullet4">
    <w:name w:val="List Bullet 4"/>
    <w:basedOn w:val="List4"/>
    <w:rsid w:val="00FC6000"/>
    <w:pPr>
      <w:numPr>
        <w:numId w:val="2"/>
      </w:numPr>
    </w:pPr>
  </w:style>
  <w:style w:type="paragraph" w:styleId="ListBullet5">
    <w:name w:val="List Bullet 5"/>
    <w:basedOn w:val="List5"/>
    <w:rsid w:val="00FC6000"/>
    <w:pPr>
      <w:numPr>
        <w:numId w:val="3"/>
      </w:numPr>
    </w:pPr>
  </w:style>
  <w:style w:type="paragraph" w:styleId="ListContinue2">
    <w:name w:val="List Continue 2"/>
    <w:basedOn w:val="List2"/>
    <w:rsid w:val="00FC6000"/>
    <w:pPr>
      <w:ind w:firstLine="0"/>
    </w:pPr>
  </w:style>
  <w:style w:type="paragraph" w:styleId="ListContinue3">
    <w:name w:val="List Continue 3"/>
    <w:basedOn w:val="List3"/>
    <w:rsid w:val="00FC6000"/>
    <w:pPr>
      <w:ind w:left="1021" w:firstLine="0"/>
    </w:pPr>
  </w:style>
  <w:style w:type="paragraph" w:styleId="ListContinue4">
    <w:name w:val="List Continue 4"/>
    <w:basedOn w:val="List4"/>
    <w:rsid w:val="00FC6000"/>
    <w:pPr>
      <w:ind w:firstLine="0"/>
    </w:pPr>
  </w:style>
  <w:style w:type="paragraph" w:styleId="ListContinue5">
    <w:name w:val="List Continue 5"/>
    <w:basedOn w:val="List5"/>
    <w:rsid w:val="00FC6000"/>
    <w:pPr>
      <w:ind w:firstLine="0"/>
    </w:pPr>
  </w:style>
  <w:style w:type="paragraph" w:styleId="ListNumber3">
    <w:name w:val="List Number 3"/>
    <w:basedOn w:val="List3"/>
    <w:rsid w:val="00FC6000"/>
    <w:pPr>
      <w:numPr>
        <w:numId w:val="4"/>
      </w:numPr>
    </w:pPr>
  </w:style>
  <w:style w:type="paragraph" w:styleId="ListNumber4">
    <w:name w:val="List Number 4"/>
    <w:basedOn w:val="List4"/>
    <w:rsid w:val="00FC6000"/>
    <w:pPr>
      <w:numPr>
        <w:numId w:val="5"/>
      </w:numPr>
    </w:pPr>
  </w:style>
  <w:style w:type="paragraph" w:styleId="ListNumber5">
    <w:name w:val="List Number 5"/>
    <w:basedOn w:val="List5"/>
    <w:rsid w:val="00FC6000"/>
    <w:pPr>
      <w:numPr>
        <w:numId w:val="6"/>
      </w:numPr>
    </w:pPr>
  </w:style>
  <w:style w:type="paragraph" w:styleId="BlockText">
    <w:name w:val="Block Text"/>
    <w:basedOn w:val="Normal"/>
    <w:rsid w:val="00FC6000"/>
    <w:pPr>
      <w:spacing w:after="120"/>
      <w:ind w:left="1440" w:right="1440"/>
    </w:pPr>
  </w:style>
  <w:style w:type="character" w:customStyle="1" w:styleId="Subscript">
    <w:name w:val="Subscript"/>
    <w:basedOn w:val="DefaultParagraphFont"/>
    <w:rsid w:val="00FC6000"/>
    <w:rPr>
      <w:sz w:val="16"/>
      <w:vertAlign w:val="subscript"/>
    </w:rPr>
  </w:style>
  <w:style w:type="character" w:customStyle="1" w:styleId="Superscript">
    <w:name w:val="Superscript"/>
    <w:basedOn w:val="DefaultParagraphFont"/>
    <w:rsid w:val="00FC6000"/>
    <w:rPr>
      <w:sz w:val="16"/>
      <w:vertAlign w:val="superscript"/>
    </w:rPr>
  </w:style>
  <w:style w:type="character" w:customStyle="1" w:styleId="Symbols">
    <w:name w:val="Symbols"/>
    <w:basedOn w:val="DefaultParagraphFont"/>
    <w:rsid w:val="00FC6000"/>
    <w:rPr>
      <w:rFonts w:ascii="Symbol" w:hAnsi="Symbol"/>
    </w:rPr>
  </w:style>
  <w:style w:type="character" w:customStyle="1" w:styleId="MenuOptions">
    <w:name w:val="Menu Options"/>
    <w:basedOn w:val="DefaultParagraphFont"/>
    <w:rsid w:val="00FC6000"/>
    <w:rPr>
      <w:rFonts w:ascii="Arial Narrow" w:hAnsi="Arial Narrow"/>
      <w:smallCaps/>
    </w:rPr>
  </w:style>
  <w:style w:type="character" w:customStyle="1" w:styleId="Buttons">
    <w:name w:val="Buttons"/>
    <w:basedOn w:val="DefaultParagraphFont"/>
    <w:rsid w:val="00FC6000"/>
    <w:rPr>
      <w:b/>
    </w:rPr>
  </w:style>
  <w:style w:type="character" w:customStyle="1" w:styleId="Underlined">
    <w:name w:val="Underlined"/>
    <w:basedOn w:val="DefaultParagraphFont"/>
    <w:rsid w:val="00FC6000"/>
    <w:rPr>
      <w:u w:val="single"/>
    </w:rPr>
  </w:style>
  <w:style w:type="paragraph" w:customStyle="1" w:styleId="TableBodyTextRight">
    <w:name w:val="Table Body Text Right"/>
    <w:basedOn w:val="TableBodyText"/>
    <w:rsid w:val="00FC6000"/>
    <w:pPr>
      <w:widowControl w:val="0"/>
      <w:autoSpaceDE w:val="0"/>
      <w:autoSpaceDN w:val="0"/>
      <w:adjustRightInd w:val="0"/>
      <w:jc w:val="right"/>
    </w:pPr>
    <w:rPr>
      <w:rFonts w:cs="Arial"/>
      <w:szCs w:val="18"/>
    </w:rPr>
  </w:style>
  <w:style w:type="paragraph" w:customStyle="1" w:styleId="CopyrightText">
    <w:name w:val="Copyright Text"/>
    <w:basedOn w:val="BodyText"/>
    <w:rsid w:val="00FC6000"/>
    <w:rPr>
      <w:sz w:val="18"/>
    </w:rPr>
  </w:style>
  <w:style w:type="paragraph" w:customStyle="1" w:styleId="BodySmallRight">
    <w:name w:val="Body Small Right"/>
    <w:basedOn w:val="BodyTextRight"/>
    <w:rsid w:val="00FC6000"/>
    <w:rPr>
      <w:sz w:val="18"/>
      <w:szCs w:val="18"/>
    </w:rPr>
  </w:style>
  <w:style w:type="paragraph" w:customStyle="1" w:styleId="MarginEdition">
    <w:name w:val="Margin Edition"/>
    <w:basedOn w:val="MarginNote"/>
    <w:rsid w:val="00FC6000"/>
    <w:pPr>
      <w:spacing w:before="0" w:after="0"/>
    </w:pPr>
    <w:rPr>
      <w:rFonts w:ascii="Times New Roman" w:hAnsi="Times New Roman"/>
      <w:color w:val="999999"/>
    </w:rPr>
  </w:style>
  <w:style w:type="paragraph" w:customStyle="1" w:styleId="Spacer">
    <w:name w:val="Spacer"/>
    <w:basedOn w:val="Normal"/>
    <w:rsid w:val="00FC6000"/>
    <w:rPr>
      <w:sz w:val="2"/>
      <w:szCs w:val="2"/>
    </w:rPr>
  </w:style>
  <w:style w:type="character" w:customStyle="1" w:styleId="Small">
    <w:name w:val="Small"/>
    <w:basedOn w:val="DefaultParagraphFont"/>
    <w:rsid w:val="00FC6000"/>
    <w:rPr>
      <w:sz w:val="16"/>
    </w:rPr>
  </w:style>
  <w:style w:type="paragraph" w:customStyle="1" w:styleId="WideTable">
    <w:name w:val="Wide Table"/>
    <w:basedOn w:val="Normal"/>
    <w:rsid w:val="00FC6000"/>
    <w:pPr>
      <w:ind w:left="-1418"/>
    </w:pPr>
    <w:rPr>
      <w:sz w:val="2"/>
      <w:szCs w:val="2"/>
    </w:rPr>
  </w:style>
  <w:style w:type="character" w:styleId="PageNumber">
    <w:name w:val="page number"/>
    <w:basedOn w:val="DefaultParagraphFont"/>
    <w:rsid w:val="00FC6000"/>
  </w:style>
  <w:style w:type="paragraph" w:styleId="Quote">
    <w:name w:val="Quote"/>
    <w:basedOn w:val="Heading1"/>
    <w:link w:val="QuoteChar"/>
    <w:qFormat/>
    <w:rsid w:val="00FC6000"/>
    <w:rPr>
      <w:b w:val="0"/>
      <w:sz w:val="72"/>
      <w:szCs w:val="72"/>
      <w:lang w:val="en-NZ"/>
    </w:rPr>
  </w:style>
  <w:style w:type="character" w:customStyle="1" w:styleId="QuoteChar">
    <w:name w:val="Quote Char"/>
    <w:basedOn w:val="DefaultParagraphFont"/>
    <w:link w:val="Quote"/>
    <w:rsid w:val="00FC6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6000"/>
    <w:pPr>
      <w:pageBreakBefore/>
    </w:pPr>
  </w:style>
  <w:style w:type="paragraph" w:customStyle="1" w:styleId="Border">
    <w:name w:val="Border"/>
    <w:basedOn w:val="Normal"/>
    <w:qFormat/>
    <w:rsid w:val="00FC6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6000"/>
    <w:rPr>
      <w:b/>
      <w:bCs/>
      <w:i/>
      <w:iCs/>
      <w:color w:val="auto"/>
    </w:rPr>
  </w:style>
  <w:style w:type="paragraph" w:styleId="IntenseQuote">
    <w:name w:val="Intense Quote"/>
    <w:basedOn w:val="Normal"/>
    <w:next w:val="Normal"/>
    <w:link w:val="IntenseQuoteChar"/>
    <w:uiPriority w:val="30"/>
    <w:qFormat/>
    <w:rsid w:val="00FC6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0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6000"/>
    <w:rPr>
      <w:smallCaps/>
      <w:color w:val="auto"/>
      <w:u w:val="single"/>
    </w:rPr>
  </w:style>
  <w:style w:type="character" w:styleId="IntenseReference">
    <w:name w:val="Intense Reference"/>
    <w:basedOn w:val="DefaultParagraphFont"/>
    <w:uiPriority w:val="32"/>
    <w:qFormat/>
    <w:rsid w:val="00FC6000"/>
    <w:rPr>
      <w:b/>
      <w:bCs/>
      <w:smallCaps/>
      <w:color w:val="auto"/>
      <w:spacing w:val="5"/>
      <w:u w:val="single"/>
    </w:rPr>
  </w:style>
  <w:style w:type="paragraph" w:customStyle="1" w:styleId="2ColumnHeading">
    <w:name w:val="2Column Heading"/>
    <w:basedOn w:val="BodyText"/>
    <w:qFormat/>
    <w:rsid w:val="00FC6000"/>
    <w:pPr>
      <w:spacing w:after="60"/>
      <w:ind w:left="-2268"/>
    </w:pPr>
    <w:rPr>
      <w:b/>
    </w:rPr>
  </w:style>
  <w:style w:type="paragraph" w:customStyle="1" w:styleId="Heading1TOC">
    <w:name w:val="Heading1 TOC"/>
    <w:basedOn w:val="Normal"/>
    <w:qFormat/>
    <w:rsid w:val="00FC6000"/>
    <w:pPr>
      <w:spacing w:before="240" w:after="120"/>
    </w:pPr>
    <w:rPr>
      <w:rFonts w:ascii="Times New Roman" w:hAnsi="Times New Roman"/>
      <w:b/>
      <w:sz w:val="32"/>
    </w:rPr>
  </w:style>
  <w:style w:type="paragraph" w:customStyle="1" w:styleId="Heading2TOC">
    <w:name w:val="Heading2 TOC"/>
    <w:basedOn w:val="Normal"/>
    <w:qFormat/>
    <w:rsid w:val="00FC6000"/>
    <w:pPr>
      <w:spacing w:before="240" w:after="60"/>
    </w:pPr>
    <w:rPr>
      <w:rFonts w:ascii="Times New Roman" w:hAnsi="Times New Roman"/>
      <w:b/>
      <w:sz w:val="28"/>
    </w:rPr>
  </w:style>
  <w:style w:type="character" w:customStyle="1" w:styleId="Underline">
    <w:name w:val="Underline"/>
    <w:basedOn w:val="DefaultParagraphFont"/>
    <w:qFormat/>
    <w:rsid w:val="00FC6000"/>
    <w:rPr>
      <w:u w:val="single"/>
    </w:rPr>
  </w:style>
  <w:style w:type="character" w:customStyle="1" w:styleId="BoldandItalics">
    <w:name w:val="Bold and Italics"/>
    <w:qFormat/>
    <w:rsid w:val="00FC6000"/>
    <w:rPr>
      <w:b/>
      <w:i/>
      <w:u w:val="none"/>
    </w:rPr>
  </w:style>
  <w:style w:type="paragraph" w:styleId="BalloonText">
    <w:name w:val="Balloon Text"/>
    <w:basedOn w:val="Normal"/>
    <w:link w:val="BalloonTextChar"/>
    <w:rsid w:val="00FC6000"/>
    <w:rPr>
      <w:rFonts w:ascii="Tahoma" w:hAnsi="Tahoma" w:cs="Tahoma"/>
      <w:sz w:val="16"/>
      <w:szCs w:val="16"/>
    </w:rPr>
  </w:style>
  <w:style w:type="character" w:customStyle="1" w:styleId="BalloonTextChar">
    <w:name w:val="Balloon Text Char"/>
    <w:basedOn w:val="DefaultParagraphFont"/>
    <w:link w:val="BalloonText"/>
    <w:rsid w:val="00FC60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60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C60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6000"/>
    <w:rPr>
      <w:b/>
      <w:color w:val="660033"/>
      <w:spacing w:val="0"/>
    </w:rPr>
  </w:style>
  <w:style w:type="paragraph" w:customStyle="1" w:styleId="Nameditemlist">
    <w:name w:val="Named item list"/>
    <w:basedOn w:val="BodyText"/>
    <w:qFormat/>
    <w:rsid w:val="00FC600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2618</Words>
  <Characters>16242</Characters>
  <Application>Microsoft Office Word</Application>
  <DocSecurity>0</DocSecurity>
  <Lines>923</Lines>
  <Paragraphs>781</Paragraphs>
  <ScaleCrop>false</ScaleCrop>
  <Company>Author-it Software Corporation Ltd.</Company>
  <LinksUpToDate>false</LinksUpToDate>
  <CharactersWithSpaces>18134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UEG40114 Certificate IV in Gas Supply Industry Operations</dc:title>
  <dc:subject>Approved</dc:subject>
  <dc:creator>E-Oz Training Standards</dc:creator>
  <cp:keywords>Release 1</cp:keywords>
  <dc:description>Review Date: 12 April 2008</dc:description>
  <cp:lastModifiedBy>HSD_TPCMSd.prod</cp:lastModifiedBy>
  <cp:revision>3</cp:revision>
  <dcterms:created xsi:type="dcterms:W3CDTF">2014-03-13T15:19:15Z</dcterms:created>
  <dcterms:modified xsi:type="dcterms:W3CDTF">2014-03-13T03:43:00Z</dcterms:modified>
</cp:coreProperties>
</file>