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1A4" w:rsidP="001D11A4">
      <w:pPr>
        <w:pStyle w:val="Title"/>
      </w:pPr>
      <w:r>
        <w:fldChar w:fldCharType="begin"/>
      </w:r>
      <w:r>
        <w:instrText xml:space="preserve"> TITLE   \* MERGEFORMAT </w:instrText>
      </w:r>
      <w:r>
        <w:fldChar w:fldCharType="separate"/>
      </w:r>
      <w:r>
        <w:t>UEG20511 Certificate II in Gaseous Fuel Delivery Operations</w:t>
      </w:r>
      <w:r>
        <w:fldChar w:fldCharType="end"/>
      </w:r>
    </w:p>
    <w:p w:rsidR="001D11A4" w:rsidP="001D11A4">
      <w:pPr>
        <w:pStyle w:val="Version"/>
        <w:sectPr w:rsidSect="007A21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2140" w:rsidP="007A2140">
      <w:pPr>
        <w:pStyle w:val="SuperHeading"/>
      </w:pPr>
      <w:r w:rsidRPr="007A2140">
        <w:t>UEG20511 Certificate II in Gaseous Fuel Delivery Operations</w:t>
      </w:r>
    </w:p>
    <w:p w:rsidR="00000000" w:rsidRPr="007A2140" w:rsidP="007A2140">
      <w:pPr>
        <w:pStyle w:val="Heading1"/>
      </w:pPr>
      <w:bookmarkStart w:id="1" w:name="O_533195"/>
      <w:bookmarkEnd w:id="1"/>
      <w:r w:rsidRPr="007A2140">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D11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Points</w:t>
            </w:r>
          </w:p>
        </w:tc>
      </w:tr>
      <w:tr w:rsidTr="001D11A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 xml:space="preserve">HLTFA311A  Apply First Aid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10</w:t>
            </w:r>
          </w:p>
        </w:tc>
      </w:tr>
      <w:tr w:rsidTr="001D11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HLTFA302C  Provide first aid in remote situation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10</w:t>
            </w:r>
          </w:p>
        </w:tc>
      </w:tr>
      <w:tr w:rsidTr="001D11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UEENEED101A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20</w:t>
            </w:r>
          </w:p>
        </w:tc>
      </w:tr>
      <w:tr w:rsidTr="001D11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UEPOPS203B  Operate and monitor communications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20</w:t>
            </w:r>
          </w:p>
        </w:tc>
      </w:tr>
      <w:tr w:rsidTr="001D11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UEPOPS205B  Conduct minor mechanical maintenance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30</w:t>
            </w:r>
          </w:p>
        </w:tc>
      </w:tr>
      <w:tr w:rsidTr="001D11A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UETTDREL14A  Working safely near live electrical apparatus as a non-electrical worker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t>Correct weighting points</w:t>
            </w:r>
          </w:p>
          <w:p w:rsidR="00000000" w:rsidRPr="007A2140" w:rsidP="007A2140">
            <w:pPr>
              <w:pStyle w:val="BodyText"/>
            </w:pPr>
            <w:r w:rsidRPr="007A2140">
              <w:t xml:space="preserve">HLTFA301C </w:t>
            </w:r>
            <w:r w:rsidRPr="007A2140">
              <w:tab/>
              <w:t>Apply first aid</w:t>
            </w:r>
          </w:p>
          <w:p w:rsidR="00000000" w:rsidP="007A2140">
            <w:pPr>
              <w:pStyle w:val="BodyText"/>
              <w:rPr>
                <w:lang w:val="en-NZ"/>
              </w:rPr>
            </w:pPr>
            <w:r w:rsidRPr="007A2140">
              <w:t xml:space="preserve">HLTFA302A </w:t>
            </w:r>
            <w:r w:rsidRPr="007A2140">
              <w:tab/>
              <w:t>Provide first aid in remote situation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p>
          <w:p w:rsidR="00000000" w:rsidRPr="007A2140" w:rsidP="007A2140">
            <w:pPr>
              <w:pStyle w:val="BodyText"/>
            </w:pPr>
            <w:r w:rsidRPr="007A2140">
              <w:t>10</w:t>
            </w:r>
          </w:p>
          <w:p w:rsidR="00000000" w:rsidRPr="007A2140" w:rsidP="007A2140">
            <w:pPr>
              <w:pStyle w:val="BodyText"/>
            </w:pPr>
            <w:r w:rsidRPr="007A2140">
              <w:t>10</w:t>
            </w:r>
          </w:p>
        </w:tc>
      </w:tr>
    </w:tbl>
    <w:p w:rsidR="00000000" w:rsidRPr="007A2140" w:rsidP="007A2140">
      <w:pPr>
        <w:pStyle w:val="BodyText"/>
      </w:pPr>
    </w:p>
    <w:p w:rsidR="00000000" w:rsidRPr="007A2140" w:rsidP="007A2140">
      <w:pPr>
        <w:pStyle w:val="AllowPageBreak"/>
      </w:pPr>
    </w:p>
    <w:p w:rsidR="00000000" w:rsidRPr="007A2140" w:rsidP="007A2140">
      <w:pPr>
        <w:pStyle w:val="Heading1"/>
      </w:pPr>
      <w:bookmarkStart w:id="2" w:name="O_533194"/>
      <w:bookmarkEnd w:id="2"/>
      <w:r w:rsidRPr="007A2140">
        <w:t>Description</w:t>
      </w:r>
    </w:p>
    <w:p w:rsidR="00000000" w:rsidRPr="007A2140" w:rsidP="007A2140">
      <w:pPr>
        <w:pStyle w:val="BodyText"/>
      </w:pPr>
      <w:r w:rsidRPr="007A2140">
        <w:rPr>
          <w:rStyle w:val="SpecialBold"/>
        </w:rPr>
        <w:t>Scope</w:t>
      </w:r>
    </w:p>
    <w:p w:rsidR="00000000" w:rsidRPr="007A2140" w:rsidP="007A2140">
      <w:pPr>
        <w:pStyle w:val="BodyText"/>
      </w:pPr>
      <w:r w:rsidRPr="007A2140">
        <w:t>This qualification provides competencies in base level gaseous fuel vessels transport and delivery operations, including safe handling procedures, OHS and environmental compliance, and conducting operational checks</w:t>
      </w:r>
    </w:p>
    <w:p w:rsidR="00000000" w:rsidRPr="007A2140" w:rsidP="007A2140">
      <w:pPr>
        <w:pStyle w:val="AllowPageBreak"/>
      </w:pPr>
    </w:p>
    <w:p w:rsidR="00000000" w:rsidRPr="007A2140" w:rsidP="007A2140">
      <w:pPr>
        <w:pStyle w:val="Heading1"/>
      </w:pPr>
      <w:bookmarkStart w:id="3" w:name="O_533193"/>
      <w:bookmarkEnd w:id="3"/>
      <w:r w:rsidRPr="007A2140">
        <w:t>Pathways Information</w:t>
      </w:r>
    </w:p>
    <w:p w:rsidR="00000000" w:rsidRPr="007A2140" w:rsidP="007A2140">
      <w:pPr>
        <w:pStyle w:val="BodyText"/>
      </w:pPr>
      <w:r w:rsidRPr="007A2140">
        <w:t>Not</w:t>
      </w:r>
      <w:r w:rsidRPr="007A2140">
        <w:t xml:space="preserve"> applicable.</w:t>
      </w:r>
    </w:p>
    <w:p w:rsidR="00000000" w:rsidRPr="007A2140" w:rsidP="007A2140">
      <w:pPr>
        <w:pStyle w:val="AllowPageBreak"/>
      </w:pPr>
    </w:p>
    <w:p w:rsidR="00000000" w:rsidRPr="007A2140" w:rsidP="007A2140">
      <w:pPr>
        <w:pStyle w:val="Heading1"/>
      </w:pPr>
      <w:bookmarkStart w:id="4" w:name="O_533192"/>
      <w:bookmarkEnd w:id="4"/>
      <w:r w:rsidRPr="007A2140">
        <w:t>Licensing/Regulatory Information</w:t>
      </w:r>
    </w:p>
    <w:p w:rsidR="00000000" w:rsidRPr="007A2140" w:rsidP="007A2140">
      <w:pPr>
        <w:pStyle w:val="BodyText"/>
      </w:pPr>
      <w:r w:rsidRPr="007A2140">
        <w:t>Not applicable.</w:t>
      </w:r>
    </w:p>
    <w:p w:rsidR="00000000" w:rsidRPr="007A2140" w:rsidP="007A2140">
      <w:pPr>
        <w:pStyle w:val="AllowPageBreak"/>
      </w:pPr>
    </w:p>
    <w:p w:rsidR="00000000" w:rsidRPr="007A2140" w:rsidP="007A2140">
      <w:pPr>
        <w:pStyle w:val="Heading1"/>
      </w:pPr>
      <w:bookmarkStart w:id="5" w:name="O_533191"/>
      <w:bookmarkEnd w:id="5"/>
      <w:r w:rsidRPr="007A2140">
        <w:t>Entry Requirements</w:t>
      </w:r>
    </w:p>
    <w:p w:rsidR="00000000" w:rsidRPr="007A2140" w:rsidP="007A2140">
      <w:pPr>
        <w:pStyle w:val="BodyText"/>
      </w:pPr>
      <w:r w:rsidRPr="007A2140">
        <w:t>Not applicable.</w:t>
      </w:r>
    </w:p>
    <w:p w:rsidR="00000000" w:rsidRPr="007A2140" w:rsidP="007A2140">
      <w:pPr>
        <w:pStyle w:val="AllowPageBreak"/>
      </w:pPr>
    </w:p>
    <w:p w:rsidR="00000000" w:rsidRPr="007A2140" w:rsidP="007A2140">
      <w:pPr>
        <w:pStyle w:val="Heading1"/>
      </w:pPr>
      <w:bookmarkStart w:id="6" w:name="O_533190"/>
      <w:bookmarkEnd w:id="6"/>
      <w:r w:rsidRPr="007A2140">
        <w:t>Employability Skills Summary</w:t>
      </w:r>
    </w:p>
    <w:p w:rsidR="00000000" w:rsidRPr="007A2140" w:rsidP="007A2140">
      <w:pPr>
        <w:pStyle w:val="BodyText"/>
      </w:pPr>
      <w:r w:rsidRPr="007A2140">
        <w:t>Not applicable.</w:t>
      </w:r>
    </w:p>
    <w:p w:rsidR="00000000" w:rsidRPr="007A2140" w:rsidP="007A2140">
      <w:pPr>
        <w:pStyle w:val="AllowPageBreak"/>
      </w:pPr>
    </w:p>
    <w:p w:rsidR="00000000" w:rsidRPr="007A2140" w:rsidP="007A2140">
      <w:pPr>
        <w:pStyle w:val="Heading1"/>
      </w:pPr>
      <w:bookmarkStart w:id="7" w:name="O_533189"/>
      <w:bookmarkEnd w:id="7"/>
      <w:r w:rsidRPr="007A2140">
        <w:t>Packaging Rules</w:t>
      </w:r>
    </w:p>
    <w:p w:rsidR="00000000" w:rsidRPr="007A2140" w:rsidP="007A2140">
      <w:pPr>
        <w:pStyle w:val="BodyText"/>
      </w:pPr>
      <w:r w:rsidRPr="007A2140">
        <w:rPr>
          <w:rStyle w:val="SpecialBold"/>
        </w:rPr>
        <w:t>Completion requirements</w:t>
      </w:r>
    </w:p>
    <w:p w:rsidR="00000000" w:rsidRPr="007A2140" w:rsidP="007A2140">
      <w:pPr>
        <w:pStyle w:val="BodyText"/>
      </w:pPr>
      <w:r w:rsidRPr="007A2140">
        <w:t>The requirements for granting this qualification will be met when competency is demonstrated and achieved for:</w:t>
      </w:r>
    </w:p>
    <w:p w:rsidR="00000000" w:rsidRPr="007A2140" w:rsidP="007A2140">
      <w:pPr>
        <w:pStyle w:val="ListBullet"/>
      </w:pPr>
      <w:r w:rsidRPr="007A2140">
        <w:t>All the Core competency standard units, defined in the Core Competency Standard Units table below and</w:t>
      </w:r>
    </w:p>
    <w:p w:rsidR="00000000" w:rsidRPr="007A2140" w:rsidP="007A2140">
      <w:pPr>
        <w:pStyle w:val="ListBullet"/>
      </w:pPr>
      <w:r w:rsidRPr="007A2140">
        <w:t>A combination of Elective competency stand</w:t>
      </w:r>
      <w:r w:rsidRPr="007A2140">
        <w:t>ard units to achieve a total weighting of 130 points in accordance with the Elective Competency Standard Units table below.</w:t>
      </w:r>
    </w:p>
    <w:p w:rsidR="00000000" w:rsidRPr="007A2140" w:rsidP="007A2140">
      <w:pPr>
        <w:pStyle w:val="BodyText"/>
      </w:pPr>
    </w:p>
    <w:tbl>
      <w:tblPr>
        <w:tblW w:w="9214" w:type="dxa"/>
        <w:tblLayout w:type="fixed"/>
        <w:tblCellMar>
          <w:left w:w="62" w:type="dxa"/>
          <w:right w:w="62" w:type="dxa"/>
        </w:tblCellMar>
        <w:tblLook w:val="0000"/>
      </w:tblPr>
      <w:tblGrid>
        <w:gridCol w:w="1962"/>
        <w:gridCol w:w="5880"/>
        <w:gridCol w:w="1372"/>
      </w:tblGrid>
      <w:tr w:rsidTr="001D11A4">
        <w:tblPrEx>
          <w:tblW w:w="9214" w:type="dxa"/>
          <w:tblLayout w:type="fixed"/>
          <w:tblCellMar>
            <w:left w:w="62" w:type="dxa"/>
            <w:right w:w="62" w:type="dxa"/>
          </w:tblCellMar>
          <w:tblLook w:val="0000"/>
        </w:tblPrEx>
        <w:trPr>
          <w:tblHeader/>
        </w:trPr>
        <w:tc>
          <w:tcPr>
            <w:tcW w:w="7842"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A2140" w:rsidP="007A2140">
            <w:pPr>
              <w:pStyle w:val="BodyText"/>
            </w:pPr>
            <w:r w:rsidRPr="007A2140">
              <w:rPr>
                <w:rStyle w:val="SpecialBold"/>
              </w:rPr>
              <w:t xml:space="preserve">Core Competency Standard Units </w:t>
            </w:r>
          </w:p>
          <w:p w:rsidR="00000000" w:rsidRPr="007A2140" w:rsidP="007A2140">
            <w:pPr>
              <w:pStyle w:val="BodyText"/>
            </w:pPr>
            <w:r w:rsidRPr="007A2140">
              <w:t>All Core competency standard units to be achieved</w:t>
            </w:r>
          </w:p>
        </w:tc>
        <w:tc>
          <w:tcPr>
            <w:tcW w:w="1372"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A2140">
            <w:pPr>
              <w:pStyle w:val="BodyText"/>
              <w:rPr>
                <w:lang w:val="en-NZ"/>
              </w:rPr>
            </w:pPr>
            <w:r w:rsidRPr="007A2140">
              <w:rPr>
                <w:rStyle w:val="SpecialBold"/>
              </w:rPr>
              <w:t>Weighting Points</w:t>
            </w:r>
          </w:p>
        </w:tc>
      </w:tr>
      <w:tr w:rsidTr="001D11A4">
        <w:tblPrEx>
          <w:tblW w:w="9214" w:type="dxa"/>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UEGNSG102B</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Carry out work activities in a utilities industry work environment</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60</w:t>
            </w:r>
          </w:p>
        </w:tc>
      </w:tr>
      <w:tr w:rsidTr="001D11A4">
        <w:tblPrEx>
          <w:tblW w:w="9214" w:type="dxa"/>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UEGNSG104B</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Comply with environmental policies and procedures</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20</w:t>
            </w:r>
          </w:p>
        </w:tc>
      </w:tr>
      <w:tr w:rsidTr="001D11A4">
        <w:tblPrEx>
          <w:tblW w:w="9214" w:type="dxa"/>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UEGNSG613A</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Assess the operational capability of gas safety equipment on delivery vehicle</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214" w:type="dxa"/>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UEENEEE101A</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Apply Occupational Health and Safety regulations, codes and practices in the workplace</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20</w:t>
            </w:r>
          </w:p>
        </w:tc>
      </w:tr>
      <w:tr w:rsidTr="001D11A4">
        <w:tblPrEx>
          <w:tblW w:w="9214" w:type="dxa"/>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TLILIC2016A</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Licence to drive heavy rigid vehicles</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214" w:type="dxa"/>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TLIF2012A</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Apply safe procedures when handling/transporting goods or explosives</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30</w:t>
            </w:r>
          </w:p>
        </w:tc>
      </w:tr>
      <w:tr w:rsidTr="001D11A4">
        <w:tblPrEx>
          <w:tblW w:w="9214" w:type="dxa"/>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UEPOPS203B</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Operate and monit</w:t>
            </w:r>
            <w:r w:rsidRPr="007A2140">
              <w:t>or communications system</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20</w:t>
            </w:r>
          </w:p>
        </w:tc>
      </w:tr>
      <w:tr w:rsidTr="001D11A4">
        <w:tblPrEx>
          <w:tblW w:w="9214" w:type="dxa"/>
          <w:tblLayout w:type="fixed"/>
          <w:tblCellMar>
            <w:left w:w="62" w:type="dxa"/>
            <w:right w:w="62" w:type="dxa"/>
          </w:tblCellMar>
          <w:tblLook w:val="0000"/>
        </w:tblPrEx>
        <w:tc>
          <w:tcPr>
            <w:tcW w:w="78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rPr>
                <w:rStyle w:val="SpecialBold"/>
              </w:rPr>
              <w:t>Total points in core</w:t>
            </w:r>
          </w:p>
        </w:tc>
        <w:tc>
          <w:tcPr>
            <w:tcW w:w="1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rPr>
                <w:rStyle w:val="SpecialBold"/>
              </w:rPr>
              <w:t>230</w:t>
            </w:r>
          </w:p>
        </w:tc>
      </w:tr>
    </w:tbl>
    <w:p w:rsidR="00000000" w:rsidRPr="007A2140" w:rsidP="007A2140">
      <w:pPr>
        <w:pStyle w:val="BodyText"/>
      </w:pPr>
    </w:p>
    <w:p w:rsidR="00000000" w:rsidRPr="007A2140" w:rsidP="007A2140">
      <w:pPr>
        <w:pStyle w:val="BodyText"/>
      </w:pPr>
    </w:p>
    <w:tbl>
      <w:tblPr>
        <w:tblW w:w="9214" w:type="dxa"/>
        <w:tblLayout w:type="fixed"/>
        <w:tblCellMar>
          <w:left w:w="62" w:type="dxa"/>
          <w:right w:w="62" w:type="dxa"/>
        </w:tblCellMar>
        <w:tblLook w:val="0000"/>
      </w:tblPr>
      <w:tblGrid>
        <w:gridCol w:w="409"/>
        <w:gridCol w:w="5403"/>
        <w:gridCol w:w="1377"/>
        <w:gridCol w:w="2025"/>
      </w:tblGrid>
      <w:tr w:rsidTr="001D11A4">
        <w:tblPrEx>
          <w:tblW w:w="9214" w:type="dxa"/>
          <w:tblLayout w:type="fixed"/>
          <w:tblCellMar>
            <w:left w:w="62" w:type="dxa"/>
            <w:right w:w="62" w:type="dxa"/>
          </w:tblCellMar>
          <w:tblLook w:val="0000"/>
        </w:tblPrEx>
        <w:trPr>
          <w:tblHeader/>
        </w:trPr>
        <w:tc>
          <w:tcPr>
            <w:tcW w:w="9214"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A2140" w:rsidP="007A2140">
            <w:pPr>
              <w:pStyle w:val="BodyText"/>
            </w:pPr>
            <w:r w:rsidRPr="007A2140">
              <w:rPr>
                <w:rStyle w:val="SpecialBold"/>
              </w:rPr>
              <w:t>Elective Competency Standard Units</w:t>
            </w:r>
          </w:p>
          <w:p w:rsidR="00000000" w:rsidP="007A2140">
            <w:pPr>
              <w:pStyle w:val="BodyText"/>
              <w:rPr>
                <w:lang w:val="en-NZ"/>
              </w:rPr>
            </w:pPr>
            <w:r w:rsidRPr="007A2140">
              <w:t xml:space="preserve">Complete Elective units to achieve a total of weighting of 130 points from the following groups: </w:t>
            </w:r>
          </w:p>
        </w:tc>
      </w:tr>
      <w:tr w:rsidTr="001D11A4">
        <w:tblPrEx>
          <w:tblW w:w="9214" w:type="dxa"/>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rPr>
                <w:rStyle w:val="SpecialBold"/>
              </w:rPr>
              <w:t>Group</w:t>
            </w:r>
          </w:p>
        </w:tc>
        <w:tc>
          <w:tcPr>
            <w:tcW w:w="1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2140" w:rsidP="007A2140">
            <w:pPr>
              <w:pStyle w:val="BodyText"/>
            </w:pPr>
            <w:r w:rsidRPr="007A2140">
              <w:rPr>
                <w:rStyle w:val="SpecialBold"/>
              </w:rPr>
              <w:t>Minimum points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rPr>
                <w:rStyle w:val="SpecialBold"/>
              </w:rPr>
              <w:t>Maximum points</w:t>
            </w:r>
          </w:p>
        </w:tc>
      </w:tr>
      <w:tr w:rsidTr="001D11A4">
        <w:tblPrEx>
          <w:tblW w:w="9214" w:type="dxa"/>
          <w:tblLayout w:type="fixed"/>
          <w:tblCellMar>
            <w:left w:w="62" w:type="dxa"/>
            <w:right w:w="62" w:type="dxa"/>
          </w:tblCellMar>
          <w:tblLook w:val="0000"/>
        </w:tblPrEx>
        <w:trPr>
          <w:tblHeader/>
        </w:trPr>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rPr>
                <w:rStyle w:val="SpecialBold"/>
              </w:rPr>
              <w:t>A</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2140" w:rsidP="007A2140">
            <w:pPr>
              <w:pStyle w:val="BodyText"/>
            </w:pPr>
            <w:r w:rsidRPr="007A2140">
              <w:t>Imported and Common Elective Units</w:t>
            </w:r>
          </w:p>
          <w:p w:rsidR="00000000" w:rsidP="007A2140">
            <w:pPr>
              <w:pStyle w:val="BodyText"/>
              <w:rPr>
                <w:lang w:val="en-NZ"/>
              </w:rPr>
            </w:pPr>
            <w:r w:rsidRPr="007A2140">
              <w:t>Imported units from other training packages and/or state accredited courses can be added to this group, but they must be selected from qualifications where the unit is first packaged at AQF level 2.  If units have not bei</w:t>
            </w:r>
            <w:r w:rsidRPr="007A2140">
              <w:t>ng assigned a weighting by the relevant EE-Oz Industry Technical Advisory Committee, their weighting will be 10 points</w:t>
            </w:r>
          </w:p>
        </w:tc>
        <w:tc>
          <w:tcPr>
            <w:tcW w:w="1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0</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60</w:t>
            </w:r>
          </w:p>
        </w:tc>
      </w:tr>
      <w:tr w:rsidTr="001D11A4">
        <w:tblPrEx>
          <w:tblW w:w="9214" w:type="dxa"/>
          <w:tblLayout w:type="fixed"/>
          <w:tblCellMar>
            <w:left w:w="62" w:type="dxa"/>
            <w:right w:w="62" w:type="dxa"/>
          </w:tblCellMar>
          <w:tblLook w:val="0000"/>
        </w:tblPrEx>
        <w:tc>
          <w:tcPr>
            <w:tcW w:w="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rPr>
                <w:rStyle w:val="SpecialBold"/>
              </w:rPr>
              <w:t>B</w:t>
            </w:r>
          </w:p>
        </w:tc>
        <w:tc>
          <w:tcPr>
            <w:tcW w:w="5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2140" w:rsidP="007A2140">
            <w:pPr>
              <w:pStyle w:val="BodyText"/>
            </w:pPr>
            <w:r w:rsidRPr="007A2140">
              <w:t xml:space="preserve">Qualification Electives </w:t>
            </w:r>
          </w:p>
          <w:p w:rsidR="00000000" w:rsidP="007A2140">
            <w:pPr>
              <w:pStyle w:val="BodyText"/>
              <w:rPr>
                <w:lang w:val="en-NZ"/>
              </w:rPr>
            </w:pPr>
            <w:r w:rsidRPr="007A2140">
              <w:t>You may select all your elective units from this Group</w:t>
            </w:r>
          </w:p>
        </w:tc>
        <w:tc>
          <w:tcPr>
            <w:tcW w:w="1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70</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t>130</w:t>
            </w:r>
          </w:p>
        </w:tc>
      </w:tr>
    </w:tbl>
    <w:p w:rsidR="00000000" w:rsidRPr="007A2140" w:rsidP="007A2140">
      <w:pPr>
        <w:pStyle w:val="BodyText"/>
      </w:pPr>
    </w:p>
    <w:tbl>
      <w:tblPr>
        <w:tblW w:w="9265" w:type="dxa"/>
        <w:tblLayout w:type="fixed"/>
        <w:tblCellMar>
          <w:left w:w="62" w:type="dxa"/>
          <w:right w:w="62" w:type="dxa"/>
        </w:tblCellMar>
        <w:tblLook w:val="0000"/>
      </w:tblPr>
      <w:tblGrid>
        <w:gridCol w:w="1997"/>
        <w:gridCol w:w="5843"/>
        <w:gridCol w:w="1425"/>
      </w:tblGrid>
      <w:tr w:rsidTr="001D11A4">
        <w:tblPrEx>
          <w:tblW w:w="9265" w:type="dxa"/>
          <w:tblLayout w:type="fixed"/>
          <w:tblCellMar>
            <w:left w:w="62" w:type="dxa"/>
            <w:right w:w="62" w:type="dxa"/>
          </w:tblCellMar>
          <w:tblLook w:val="0000"/>
        </w:tblPrEx>
        <w:tc>
          <w:tcPr>
            <w:tcW w:w="784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A2140" w:rsidP="007A2140">
            <w:pPr>
              <w:pStyle w:val="BodyText"/>
            </w:pPr>
            <w:r w:rsidRPr="007A2140">
              <w:rPr>
                <w:rStyle w:val="SpecialBold"/>
              </w:rPr>
              <w:t>Group A –</w:t>
            </w:r>
            <w:r w:rsidRPr="007A2140">
              <w:rPr>
                <w:rStyle w:val="SpecialBold"/>
              </w:rPr>
              <w:t xml:space="preserve"> Imported and Common Elective Units</w:t>
            </w:r>
          </w:p>
          <w:p w:rsidR="00000000" w:rsidRPr="007A2140" w:rsidP="007A2140">
            <w:pPr>
              <w:pStyle w:val="BodyText"/>
            </w:pPr>
            <w:r w:rsidRPr="007A2140">
              <w:t>Complete units to a maximum weighting of  60</w:t>
            </w:r>
          </w:p>
        </w:tc>
        <w:tc>
          <w:tcPr>
            <w:tcW w:w="142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A2140">
            <w:pPr>
              <w:pStyle w:val="BodyText"/>
              <w:rPr>
                <w:lang w:val="en-NZ"/>
              </w:rPr>
            </w:pPr>
            <w:r w:rsidRPr="007A2140">
              <w:rPr>
                <w:rStyle w:val="SpecialBold"/>
              </w:rPr>
              <w:t>Weighting Points</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HLTFA311A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Apply first aid</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10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HLTFA302C</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Provide first aid in remote situation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10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TLILIC0012A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License to operate a vehicle loading crane (Capacity 10 metre tonnes and above)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TLIF2012A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Apply safe procedures when handling/transporting goods or explosives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TLILIC2001A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Licence to operate a forklift truck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TLILIC3017A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Licence to drive heavy combination vehicle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30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 xml:space="preserve">UEPOPS205B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Conduct minor mechanical maintenance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30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 xml:space="preserve">UETTDREL14A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Working safely near live electrical apparatus as non electrical worker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UEENEEC001B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Maintain documentation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20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UEENEED101A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Use basic computer applications relevant to a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20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UEENEEE102A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Fabricate, dismantle, assemble of utilities industry 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UEENEEE107A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Use drawings, diagrams, schedules, standards, codes and specifications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UEENEEM080A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Report on the int</w:t>
            </w:r>
            <w:r w:rsidRPr="007A2140">
              <w:t>egrity of explosion-protected equipment in a hazardous area</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2140">
            <w:pPr>
              <w:pStyle w:val="BodyText"/>
              <w:rPr>
                <w:lang w:val="en-NZ"/>
              </w:rPr>
            </w:pPr>
            <w:r w:rsidRPr="007A2140">
              <w:t>20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t>Imported units from other training packages and/or state accredited courses can be added to this group, but they must be selected from qualifications where the unit is first packaged at AQF l</w:t>
            </w:r>
            <w:r w:rsidRPr="007A2140">
              <w:t xml:space="preserve">evel 2.  If units have not being assigned a weighting by the relevant EE-Oz Industry Technical Advisory Committee, their weighting will be 10 points. </w:t>
            </w:r>
          </w:p>
          <w:p w:rsidR="00000000" w:rsidRPr="007A2140" w:rsidP="007A2140">
            <w:pPr>
              <w:pStyle w:val="BodyText"/>
            </w:pPr>
          </w:p>
          <w:p w:rsidR="00000000" w:rsidRPr="007A2140" w:rsidP="007A2140">
            <w:pPr>
              <w:pStyle w:val="BodyText"/>
            </w:pPr>
            <w:r w:rsidRPr="007A2140">
              <w:t>Note: For further information see Application of the NQC Flexibility Formula, Page 10, UEG11 Gas Industr</w:t>
            </w:r>
            <w:r w:rsidRPr="007A2140">
              <w:t>y Training Package, Version 1, Volume 1 Qualification Framework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rPr>
                <w:rStyle w:val="SpecialBold"/>
              </w:rPr>
              <w:t>Up to 60 Points</w:t>
            </w:r>
          </w:p>
          <w:p w:rsidR="00000000" w:rsidRPr="007A2140" w:rsidP="007A2140">
            <w:pPr>
              <w:pStyle w:val="BodyText"/>
            </w:pPr>
          </w:p>
        </w:tc>
      </w:tr>
    </w:tbl>
    <w:p w:rsidR="00000000" w:rsidRPr="007A2140" w:rsidP="007A2140">
      <w:pPr>
        <w:pStyle w:val="BodyText"/>
      </w:pPr>
    </w:p>
    <w:p w:rsidR="00000000" w:rsidRPr="007A2140" w:rsidP="007A2140">
      <w:pPr>
        <w:pStyle w:val="BodyText"/>
      </w:pPr>
    </w:p>
    <w:tbl>
      <w:tblPr>
        <w:tblW w:w="9265" w:type="dxa"/>
        <w:tblLayout w:type="fixed"/>
        <w:tblCellMar>
          <w:left w:w="62" w:type="dxa"/>
          <w:right w:w="62" w:type="dxa"/>
        </w:tblCellMar>
        <w:tblLook w:val="0000"/>
      </w:tblPr>
      <w:tblGrid>
        <w:gridCol w:w="1997"/>
        <w:gridCol w:w="5843"/>
        <w:gridCol w:w="1425"/>
      </w:tblGrid>
      <w:tr w:rsidTr="001D11A4">
        <w:tblPrEx>
          <w:tblW w:w="9265" w:type="dxa"/>
          <w:tblLayout w:type="fixed"/>
          <w:tblCellMar>
            <w:left w:w="62" w:type="dxa"/>
            <w:right w:w="62" w:type="dxa"/>
          </w:tblCellMar>
          <w:tblLook w:val="0000"/>
        </w:tblPrEx>
        <w:tc>
          <w:tcPr>
            <w:tcW w:w="784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A2140" w:rsidP="007A2140">
            <w:pPr>
              <w:pStyle w:val="BodyText"/>
            </w:pPr>
            <w:r w:rsidRPr="007A2140">
              <w:rPr>
                <w:rStyle w:val="SpecialBold"/>
              </w:rPr>
              <w:t xml:space="preserve">Group B – Qualification Electives </w:t>
            </w:r>
          </w:p>
          <w:p w:rsidR="00000000" w:rsidRPr="007A2140" w:rsidP="007A2140">
            <w:pPr>
              <w:pStyle w:val="BodyText"/>
            </w:pPr>
            <w:r w:rsidRPr="007A2140">
              <w:t>At least 70 points to be achieved from this group. You may select all your elective units from this Group.</w:t>
            </w:r>
          </w:p>
        </w:tc>
        <w:tc>
          <w:tcPr>
            <w:tcW w:w="142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A2140">
            <w:pPr>
              <w:pStyle w:val="BodyText"/>
              <w:rPr>
                <w:lang w:val="en-NZ"/>
              </w:rPr>
            </w:pPr>
            <w:r w:rsidRPr="007A2140">
              <w:rPr>
                <w:rStyle w:val="SpecialBold"/>
              </w:rPr>
              <w:t>Weighting Points</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UEGNSG003A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Locate, prove and protect gas distribution assets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UEGNSG105B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Establish the work site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60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UEGNSG215A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Conduct excavations in the gas industry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UEGNSG202B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Construct and lay distribution pipelines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80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UEGNSG301B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Coat gas pipelines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60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 xml:space="preserve">UEGNSG602B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Load, discharging LPG by road tanker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80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 xml:space="preserve">UEGNSG603B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Load, unload and exchange gas cylinders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80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 xml:space="preserve">UEGNSG604B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Fill gas cylinders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80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 xml:space="preserve">UEGNSG605B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Refurbish gas cylinders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80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UEGNSG701B</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Process meter reading information using appropriate technology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 xml:space="preserve">UEGNSG702B </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A2140">
            <w:pPr>
              <w:pStyle w:val="BodyText"/>
              <w:rPr>
                <w:lang w:val="en-NZ"/>
              </w:rPr>
            </w:pPr>
            <w:r w:rsidRPr="007A2140">
              <w:t>Read and record meter readings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40</w:t>
            </w:r>
          </w:p>
        </w:tc>
      </w:tr>
      <w:tr w:rsidTr="001D11A4">
        <w:tblPrEx>
          <w:tblW w:w="9265" w:type="dxa"/>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UEGNSG704A</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140">
            <w:pPr>
              <w:pStyle w:val="BodyText"/>
              <w:rPr>
                <w:lang w:val="en-NZ"/>
              </w:rPr>
            </w:pPr>
            <w:r w:rsidRPr="007A2140">
              <w:t>Conduct an appliance relight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140" w:rsidP="007A2140">
            <w:pPr>
              <w:pStyle w:val="BodyText"/>
            </w:pPr>
            <w:r w:rsidRPr="007A2140">
              <w:t>40</w:t>
            </w:r>
          </w:p>
        </w:tc>
      </w:tr>
    </w:tbl>
    <w:p w:rsidR="00000000" w:rsidRPr="007A2140" w:rsidP="007A2140">
      <w:pPr>
        <w:pStyle w:val="BodyText"/>
      </w:pPr>
    </w:p>
    <w:p w:rsidR="00000000" w:rsidRPr="007A2140" w:rsidP="007A2140">
      <w:pPr>
        <w:pStyle w:val="BodyText"/>
      </w:pPr>
      <w:r w:rsidRPr="007A2140">
        <w:t xml:space="preserve">Note: </w:t>
      </w:r>
    </w:p>
    <w:p w:rsidR="00000000" w:rsidRPr="007A2140" w:rsidP="007A2140">
      <w:pPr>
        <w:pStyle w:val="BodyText"/>
      </w:pPr>
      <w:r w:rsidRPr="007A2140">
        <w:t>1. Prerequisite pathways shall be identified and met for all elective units selected.</w:t>
      </w:r>
    </w:p>
    <w:p w:rsidR="00000000" w:rsidRPr="007A2140" w:rsidP="007A2140">
      <w:pPr>
        <w:pStyle w:val="BodyText"/>
      </w:pPr>
      <w:r w:rsidRPr="007A2140">
        <w:t>2. In selecting elective units considerations to career planning advice</w:t>
      </w:r>
      <w:r w:rsidRPr="007A2140">
        <w:t xml:space="preserve"> should be given to units that form part of a prerequisite pathway for the progression to achieve particular competencies or qualification at a higher level.</w:t>
      </w:r>
    </w:p>
    <w:p w:rsidR="00000000" w:rsidRPr="007A2140" w:rsidP="007A2140">
      <w:pPr>
        <w:pStyle w:val="BodyText"/>
      </w:pPr>
    </w:p>
    <w:p w:rsidR="001D11A4" w:rsidP="007A2140">
      <w:pPr>
        <w:pStyle w:val="BodyText"/>
      </w:pPr>
      <w:r w:rsidRPr="007A2140">
        <w:rPr>
          <w:rStyle w:val="SpecialBold"/>
        </w:rPr>
        <w:t>END OF QUALIFICATION</w:t>
      </w:r>
    </w:p>
    <w:p w:rsidR="001D11A4" w:rsidP="007A2140">
      <w:pPr>
        <w:pStyle w:val="BodyText"/>
      </w:pPr>
    </w:p>
    <w:p w:rsidR="00000000" w:rsidRPr="007A2140" w:rsidP="007A2140">
      <w:pPr>
        <w:pStyle w:val="Heading1"/>
      </w:pPr>
      <w:bookmarkStart w:id="8" w:name="O_533188"/>
      <w:bookmarkEnd w:id="8"/>
      <w:r w:rsidRPr="007A2140">
        <w:t>Custom Content Section</w:t>
      </w:r>
    </w:p>
    <w:p w:rsidR="00000000" w:rsidRPr="007A2140" w:rsidP="007A2140">
      <w:pPr>
        <w:pStyle w:val="BodyText"/>
      </w:pPr>
      <w:r w:rsidRPr="007A2140">
        <w:t>Not applicable.</w:t>
      </w:r>
    </w:p>
    <w:p w:rsidR="00000000" w:rsidRPr="007A2140" w:rsidP="007A2140"/>
    <w:sectPr w:rsidSect="007A21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40" w:rsidRPr="001D11A4" w:rsidP="001D1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A4" w:rsidP="007A2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11A4" w:rsidP="007A21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1D11A4" w:rsidP="007A2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40" w:rsidRPr="001D11A4" w:rsidP="001D11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A4" w:rsidRPr="002D2AF8" w:rsidP="007A2140">
    <w:pPr>
      <w:pStyle w:val="Header"/>
      <w:framePr w:wrap="around"/>
    </w:pPr>
    <w:r>
      <w:fldChar w:fldCharType="begin"/>
    </w:r>
    <w:r>
      <w:instrText xml:space="preserve"> TITLE   \* MERGEFORMAT </w:instrText>
    </w:r>
    <w:r>
      <w:fldChar w:fldCharType="separate"/>
    </w:r>
    <w:r>
      <w:t>UEG20511 Certificate II in Gaseous Fuel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1D11A4" w:rsidP="007A2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C294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18B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140"/>
    <w:pPr>
      <w:spacing w:before="360" w:after="60"/>
      <w:outlineLvl w:val="0"/>
    </w:pPr>
    <w:rPr>
      <w:sz w:val="32"/>
    </w:rPr>
  </w:style>
  <w:style w:type="paragraph" w:styleId="Heading2">
    <w:name w:val="heading 2"/>
    <w:basedOn w:val="HeadingBase"/>
    <w:next w:val="BodyText"/>
    <w:link w:val="Heading2Char"/>
    <w:qFormat/>
    <w:rsid w:val="007A2140"/>
    <w:pPr>
      <w:keepLines/>
      <w:spacing w:before="240" w:after="120"/>
      <w:outlineLvl w:val="1"/>
    </w:pPr>
    <w:rPr>
      <w:sz w:val="28"/>
      <w:szCs w:val="40"/>
    </w:rPr>
  </w:style>
  <w:style w:type="paragraph" w:styleId="Heading3">
    <w:name w:val="heading 3"/>
    <w:basedOn w:val="HeadingBase"/>
    <w:next w:val="BodyText"/>
    <w:link w:val="Heading3Char"/>
    <w:qFormat/>
    <w:rsid w:val="007A2140"/>
    <w:pPr>
      <w:spacing w:before="180" w:after="120"/>
      <w:outlineLvl w:val="2"/>
    </w:pPr>
    <w:rPr>
      <w:spacing w:val="-10"/>
      <w:kern w:val="32"/>
    </w:rPr>
  </w:style>
  <w:style w:type="paragraph" w:styleId="Heading4">
    <w:name w:val="heading 4"/>
    <w:basedOn w:val="HeadingBase"/>
    <w:next w:val="BodyText"/>
    <w:link w:val="Heading4Char"/>
    <w:qFormat/>
    <w:rsid w:val="007A2140"/>
    <w:pPr>
      <w:spacing w:before="160" w:after="120"/>
      <w:outlineLvl w:val="3"/>
    </w:pPr>
    <w:rPr>
      <w:sz w:val="22"/>
    </w:rPr>
  </w:style>
  <w:style w:type="paragraph" w:styleId="Heading5">
    <w:name w:val="heading 5"/>
    <w:basedOn w:val="HeadingBase"/>
    <w:next w:val="Normal"/>
    <w:link w:val="Heading5Char"/>
    <w:qFormat/>
    <w:rsid w:val="007A2140"/>
    <w:pPr>
      <w:spacing w:before="80"/>
      <w:outlineLvl w:val="4"/>
    </w:pPr>
    <w:rPr>
      <w:color w:val="918585"/>
      <w:sz w:val="20"/>
    </w:rPr>
  </w:style>
  <w:style w:type="paragraph" w:styleId="Heading6">
    <w:name w:val="heading 6"/>
    <w:basedOn w:val="HeadingBase"/>
    <w:next w:val="Normal"/>
    <w:link w:val="Heading6Char"/>
    <w:qFormat/>
    <w:rsid w:val="007A2140"/>
    <w:pPr>
      <w:spacing w:before="60"/>
      <w:outlineLvl w:val="5"/>
    </w:pPr>
    <w:rPr>
      <w:color w:val="918585"/>
      <w:sz w:val="20"/>
    </w:rPr>
  </w:style>
  <w:style w:type="paragraph" w:styleId="Heading7">
    <w:name w:val="heading 7"/>
    <w:basedOn w:val="Normal"/>
    <w:next w:val="Normal"/>
    <w:link w:val="Heading7Char"/>
    <w:qFormat/>
    <w:rsid w:val="007A2140"/>
    <w:pPr>
      <w:ind w:left="720"/>
      <w:outlineLvl w:val="6"/>
    </w:pPr>
    <w:rPr>
      <w:i/>
    </w:rPr>
  </w:style>
  <w:style w:type="paragraph" w:styleId="Heading8">
    <w:name w:val="heading 8"/>
    <w:basedOn w:val="Normal"/>
    <w:next w:val="Normal"/>
    <w:link w:val="Heading8Char"/>
    <w:qFormat/>
    <w:rsid w:val="007A2140"/>
    <w:pPr>
      <w:ind w:left="720"/>
      <w:outlineLvl w:val="7"/>
    </w:pPr>
    <w:rPr>
      <w:i/>
    </w:rPr>
  </w:style>
  <w:style w:type="paragraph" w:styleId="Heading9">
    <w:name w:val="heading 9"/>
    <w:basedOn w:val="Normal"/>
    <w:next w:val="Normal"/>
    <w:link w:val="Heading9Char"/>
    <w:qFormat/>
    <w:rsid w:val="007A2140"/>
    <w:pPr>
      <w:ind w:left="720"/>
      <w:outlineLvl w:val="8"/>
    </w:pPr>
    <w:rPr>
      <w:i/>
    </w:rPr>
  </w:style>
  <w:style w:type="character" w:default="1" w:styleId="DefaultParagraphFont">
    <w:name w:val="Default Paragraph Font"/>
    <w:uiPriority w:val="1"/>
    <w:unhideWhenUsed/>
    <w:rsid w:val="007A2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140"/>
  </w:style>
  <w:style w:type="character" w:customStyle="1" w:styleId="Heading1Char">
    <w:name w:val="Heading 1 Char"/>
    <w:basedOn w:val="DefaultParagraphFont"/>
    <w:link w:val="Heading1"/>
    <w:rsid w:val="007A2140"/>
    <w:rPr>
      <w:rFonts w:ascii="Times New Roman" w:eastAsia="Times New Roman" w:hAnsi="Times New Roman" w:cs="Times New Roman"/>
      <w:b/>
      <w:sz w:val="32"/>
      <w:szCs w:val="20"/>
      <w:lang w:eastAsia="en-US"/>
    </w:rPr>
  </w:style>
  <w:style w:type="paragraph" w:styleId="BodyText">
    <w:name w:val="Body Text"/>
    <w:basedOn w:val="Normal"/>
    <w:link w:val="BodyTextChar"/>
    <w:rsid w:val="007A21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140"/>
    <w:rPr>
      <w:rFonts w:ascii="Times New Roman" w:eastAsia="Times New Roman" w:hAnsi="Times New Roman" w:cs="Times New Roman"/>
      <w:sz w:val="24"/>
      <w:lang w:eastAsia="en-US"/>
    </w:rPr>
  </w:style>
  <w:style w:type="paragraph" w:styleId="ListBullet">
    <w:name w:val="List Bullet"/>
    <w:basedOn w:val="List"/>
    <w:rsid w:val="007A2140"/>
    <w:pPr>
      <w:numPr>
        <w:numId w:val="12"/>
      </w:numPr>
      <w:tabs>
        <w:tab w:val="clear" w:pos="340"/>
      </w:tabs>
      <w:spacing w:before="40" w:after="40"/>
    </w:pPr>
  </w:style>
  <w:style w:type="character" w:customStyle="1" w:styleId="SpecialBold">
    <w:name w:val="Special Bold"/>
    <w:basedOn w:val="DefaultParagraphFont"/>
    <w:rsid w:val="007A2140"/>
    <w:rPr>
      <w:b/>
      <w:spacing w:val="0"/>
    </w:rPr>
  </w:style>
  <w:style w:type="paragraph" w:customStyle="1" w:styleId="SuperHeading">
    <w:name w:val="SuperHeading"/>
    <w:basedOn w:val="Normal"/>
    <w:rsid w:val="007A2140"/>
    <w:pPr>
      <w:spacing w:before="240" w:after="120"/>
      <w:outlineLvl w:val="0"/>
    </w:pPr>
    <w:rPr>
      <w:rFonts w:ascii="Times New Roman" w:hAnsi="Times New Roman"/>
      <w:b/>
      <w:sz w:val="32"/>
    </w:rPr>
  </w:style>
  <w:style w:type="paragraph" w:customStyle="1" w:styleId="AllowPageBreak">
    <w:name w:val="AllowPageBreak"/>
    <w:rsid w:val="007A21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140"/>
    <w:rPr>
      <w:rFonts w:ascii="Courier New" w:eastAsia="Times New Roman" w:hAnsi="Courier New" w:cs="Times New Roman"/>
      <w:i/>
      <w:szCs w:val="20"/>
      <w:lang w:eastAsia="en-US"/>
    </w:rPr>
  </w:style>
  <w:style w:type="paragraph" w:customStyle="1" w:styleId="HeadingBase">
    <w:name w:val="Heading Base"/>
    <w:rsid w:val="007A2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140"/>
    <w:pPr>
      <w:tabs>
        <w:tab w:val="right" w:leader="dot" w:pos="9072"/>
      </w:tabs>
      <w:ind w:left="567"/>
    </w:pPr>
    <w:rPr>
      <w:szCs w:val="22"/>
    </w:rPr>
  </w:style>
  <w:style w:type="paragraph" w:customStyle="1" w:styleId="TOCBase">
    <w:name w:val="TOC Base"/>
    <w:rsid w:val="007A2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140"/>
    <w:pPr>
      <w:tabs>
        <w:tab w:val="right" w:leader="dot" w:pos="9072"/>
      </w:tabs>
      <w:spacing w:before="40" w:after="40"/>
      <w:ind w:left="284"/>
    </w:pPr>
    <w:rPr>
      <w:rFonts w:ascii="Times New Roman" w:hAnsi="Times New Roman"/>
    </w:rPr>
  </w:style>
  <w:style w:type="paragraph" w:styleId="TOC1">
    <w:name w:val="toc 1"/>
    <w:basedOn w:val="TOCBase"/>
    <w:next w:val="Normal"/>
    <w:rsid w:val="007A2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140"/>
    <w:rPr>
      <w:rFonts w:ascii="Times New Roman" w:eastAsia="Times New Roman" w:hAnsi="Times New Roman" w:cs="Times New Roman"/>
      <w:sz w:val="16"/>
      <w:lang w:eastAsia="en-US"/>
    </w:rPr>
  </w:style>
  <w:style w:type="paragraph" w:styleId="Title">
    <w:name w:val="Title"/>
    <w:basedOn w:val="HeadingBase"/>
    <w:link w:val="TitleChar"/>
    <w:qFormat/>
    <w:rsid w:val="007A2140"/>
    <w:pPr>
      <w:spacing w:before="5040"/>
      <w:jc w:val="center"/>
    </w:pPr>
    <w:rPr>
      <w:sz w:val="48"/>
      <w:szCs w:val="72"/>
      <w:lang w:val="en-US"/>
    </w:rPr>
  </w:style>
  <w:style w:type="character" w:customStyle="1" w:styleId="TitleChar">
    <w:name w:val="Title Char"/>
    <w:basedOn w:val="DefaultParagraphFont"/>
    <w:link w:val="Title"/>
    <w:rsid w:val="007A2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140"/>
    <w:pPr>
      <w:tabs>
        <w:tab w:val="left" w:pos="3600"/>
        <w:tab w:val="left" w:pos="3958"/>
      </w:tabs>
    </w:pPr>
  </w:style>
  <w:style w:type="paragraph" w:styleId="List">
    <w:name w:val="List"/>
    <w:basedOn w:val="BodyText"/>
    <w:next w:val="BodyText"/>
    <w:rsid w:val="007A2140"/>
    <w:pPr>
      <w:tabs>
        <w:tab w:val="left" w:pos="340"/>
      </w:tabs>
      <w:spacing w:before="60" w:after="60"/>
      <w:ind w:left="340" w:hanging="340"/>
    </w:pPr>
  </w:style>
  <w:style w:type="paragraph" w:customStyle="1" w:styleId="Note">
    <w:name w:val="Note"/>
    <w:basedOn w:val="BodyText"/>
    <w:rsid w:val="007A2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140"/>
    <w:pPr>
      <w:framePr w:wrap="auto" w:hAnchor="text" w:y="6049"/>
    </w:pPr>
    <w:rPr>
      <w:color w:val="000000"/>
      <w:sz w:val="40"/>
    </w:rPr>
  </w:style>
  <w:style w:type="paragraph" w:customStyle="1" w:styleId="TOCTitle">
    <w:name w:val="TOCTitle"/>
    <w:basedOn w:val="Heading1"/>
    <w:rsid w:val="007A2140"/>
    <w:pPr>
      <w:spacing w:after="240"/>
      <w:jc w:val="center"/>
      <w:outlineLvl w:val="9"/>
    </w:pPr>
    <w:rPr>
      <w:caps/>
    </w:rPr>
  </w:style>
  <w:style w:type="paragraph" w:customStyle="1" w:styleId="Version">
    <w:name w:val="Version"/>
    <w:rsid w:val="007A21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140"/>
    <w:pPr>
      <w:numPr>
        <w:numId w:val="13"/>
      </w:numPr>
      <w:tabs>
        <w:tab w:val="clear" w:pos="680"/>
      </w:tabs>
    </w:pPr>
  </w:style>
  <w:style w:type="paragraph" w:styleId="Index1">
    <w:name w:val="index 1"/>
    <w:basedOn w:val="Normal"/>
    <w:next w:val="Normal"/>
    <w:semiHidden/>
    <w:rsid w:val="007A2140"/>
    <w:pPr>
      <w:keepNext w:val="0"/>
      <w:tabs>
        <w:tab w:val="right" w:pos="4176"/>
      </w:tabs>
      <w:ind w:left="198" w:hanging="198"/>
    </w:pPr>
    <w:rPr>
      <w:rFonts w:ascii="Garamond" w:hAnsi="Garamond"/>
    </w:rPr>
  </w:style>
  <w:style w:type="paragraph" w:styleId="IndexHeading">
    <w:name w:val="index heading"/>
    <w:basedOn w:val="Normal"/>
    <w:next w:val="Index1"/>
    <w:semiHidden/>
    <w:rsid w:val="007A2140"/>
    <w:pPr>
      <w:spacing w:before="120" w:after="120"/>
    </w:pPr>
    <w:rPr>
      <w:rFonts w:ascii="Arial" w:hAnsi="Arial"/>
      <w:b/>
      <w:color w:val="918585"/>
      <w:sz w:val="24"/>
    </w:rPr>
  </w:style>
  <w:style w:type="paragraph" w:styleId="Header">
    <w:name w:val="header"/>
    <w:basedOn w:val="Normal"/>
    <w:link w:val="HeaderChar"/>
    <w:rsid w:val="007A2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140"/>
    <w:rPr>
      <w:rFonts w:ascii="Times New Roman" w:eastAsia="Times New Roman" w:hAnsi="Times New Roman" w:cs="Times New Roman"/>
      <w:sz w:val="16"/>
      <w:szCs w:val="20"/>
      <w:lang w:val="en-GB" w:eastAsia="en-US"/>
    </w:rPr>
  </w:style>
  <w:style w:type="paragraph" w:customStyle="1" w:styleId="Chapter">
    <w:name w:val="Chapter"/>
    <w:basedOn w:val="Normal"/>
    <w:rsid w:val="007A2140"/>
    <w:pPr>
      <w:spacing w:before="240"/>
    </w:pPr>
    <w:rPr>
      <w:rFonts w:ascii="Times New Roman" w:hAnsi="Times New Roman"/>
      <w:smallCaps/>
      <w:spacing w:val="80"/>
      <w:sz w:val="28"/>
    </w:rPr>
  </w:style>
  <w:style w:type="paragraph" w:customStyle="1" w:styleId="InChapter">
    <w:name w:val="InChapter"/>
    <w:basedOn w:val="Heading3"/>
    <w:rsid w:val="007A2140"/>
    <w:pPr>
      <w:spacing w:after="240"/>
      <w:outlineLvl w:val="9"/>
    </w:pPr>
    <w:rPr>
      <w:noProof/>
    </w:rPr>
  </w:style>
  <w:style w:type="paragraph" w:styleId="Index2">
    <w:name w:val="index 2"/>
    <w:basedOn w:val="Normal"/>
    <w:next w:val="Normal"/>
    <w:semiHidden/>
    <w:rsid w:val="007A2140"/>
    <w:pPr>
      <w:tabs>
        <w:tab w:val="right" w:pos="4176"/>
      </w:tabs>
      <w:ind w:left="568" w:hanging="284"/>
    </w:pPr>
    <w:rPr>
      <w:rFonts w:ascii="Garamond" w:hAnsi="Garamond"/>
    </w:rPr>
  </w:style>
  <w:style w:type="paragraph" w:customStyle="1" w:styleId="Byline">
    <w:name w:val="Byline"/>
    <w:rsid w:val="007A2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140"/>
    <w:pPr>
      <w:tabs>
        <w:tab w:val="clear" w:pos="3600"/>
        <w:tab w:val="clear" w:pos="3958"/>
      </w:tabs>
      <w:jc w:val="right"/>
    </w:pPr>
  </w:style>
  <w:style w:type="character" w:styleId="Emphasis">
    <w:name w:val="Emphasis"/>
    <w:basedOn w:val="DefaultParagraphFont"/>
    <w:qFormat/>
    <w:rsid w:val="007A2140"/>
    <w:rPr>
      <w:i/>
    </w:rPr>
  </w:style>
  <w:style w:type="paragraph" w:styleId="Caption">
    <w:name w:val="caption"/>
    <w:basedOn w:val="BodyText"/>
    <w:next w:val="Normal"/>
    <w:qFormat/>
    <w:rsid w:val="007A2140"/>
    <w:pPr>
      <w:framePr w:w="2268" w:hSpace="181" w:vSpace="181" w:wrap="around" w:vAnchor="text" w:hAnchor="page" w:x="1135" w:y="285" w:anchorLock="1"/>
    </w:pPr>
    <w:rPr>
      <w:i/>
    </w:rPr>
  </w:style>
  <w:style w:type="paragraph" w:customStyle="1" w:styleId="MiniTOCTitle">
    <w:name w:val="MiniTOCTitle"/>
    <w:basedOn w:val="Heading4"/>
    <w:rsid w:val="007A2140"/>
    <w:pPr>
      <w:spacing w:before="240"/>
      <w:outlineLvl w:val="9"/>
    </w:pPr>
    <w:rPr>
      <w:noProof/>
      <w:sz w:val="24"/>
    </w:rPr>
  </w:style>
  <w:style w:type="paragraph" w:customStyle="1" w:styleId="MiniTOCItem">
    <w:name w:val="MiniTOCItem"/>
    <w:basedOn w:val="ListBullet"/>
    <w:rsid w:val="007A2140"/>
    <w:pPr>
      <w:numPr>
        <w:numId w:val="0"/>
      </w:numPr>
      <w:tabs>
        <w:tab w:val="right" w:leader="dot" w:pos="6521"/>
      </w:tabs>
      <w:spacing w:before="0" w:after="0"/>
    </w:pPr>
  </w:style>
  <w:style w:type="paragraph" w:customStyle="1" w:styleId="TOFTitle">
    <w:name w:val="TOFTitle"/>
    <w:basedOn w:val="TOCTitle"/>
    <w:rsid w:val="007A2140"/>
  </w:style>
  <w:style w:type="paragraph" w:styleId="TableofFigures">
    <w:name w:val="table of figures"/>
    <w:basedOn w:val="Normal"/>
    <w:next w:val="Normal"/>
    <w:semiHidden/>
    <w:rsid w:val="007A2140"/>
    <w:pPr>
      <w:tabs>
        <w:tab w:val="right" w:leader="dot" w:pos="9072"/>
      </w:tabs>
      <w:ind w:left="970" w:hanging="403"/>
    </w:pPr>
    <w:rPr>
      <w:rFonts w:ascii="Times New Roman" w:hAnsi="Times New Roman"/>
      <w:b/>
    </w:rPr>
  </w:style>
  <w:style w:type="paragraph" w:styleId="ListNumber">
    <w:name w:val="List Number"/>
    <w:basedOn w:val="List"/>
    <w:rsid w:val="007A2140"/>
    <w:pPr>
      <w:numPr>
        <w:numId w:val="10"/>
      </w:numPr>
    </w:pPr>
  </w:style>
  <w:style w:type="character" w:customStyle="1" w:styleId="WingdingSymbols">
    <w:name w:val="Wingding Symbols"/>
    <w:rsid w:val="007A2140"/>
    <w:rPr>
      <w:rFonts w:ascii="Wingdings" w:hAnsi="Wingdings"/>
    </w:rPr>
  </w:style>
  <w:style w:type="paragraph" w:customStyle="1" w:styleId="TableHeading">
    <w:name w:val="Table Heading"/>
    <w:basedOn w:val="HeadingBase"/>
    <w:rsid w:val="007A2140"/>
    <w:pPr>
      <w:keepLines/>
      <w:pBdr>
        <w:bottom w:val="single" w:sz="6" w:space="1" w:color="918585"/>
      </w:pBdr>
      <w:spacing w:before="240"/>
    </w:pPr>
  </w:style>
  <w:style w:type="character" w:customStyle="1" w:styleId="HotSpot">
    <w:name w:val="HotSpot"/>
    <w:rsid w:val="007A2140"/>
    <w:rPr>
      <w:color w:val="0033CC"/>
      <w:u w:val="none"/>
    </w:rPr>
  </w:style>
  <w:style w:type="paragraph" w:customStyle="1" w:styleId="BodyTextRight">
    <w:name w:val="Body Text Right"/>
    <w:basedOn w:val="BodyText"/>
    <w:rsid w:val="007A2140"/>
    <w:pPr>
      <w:spacing w:before="0" w:after="0"/>
      <w:jc w:val="right"/>
    </w:pPr>
  </w:style>
  <w:style w:type="paragraph" w:styleId="Index3">
    <w:name w:val="index 3"/>
    <w:basedOn w:val="ListNumber2"/>
    <w:next w:val="Normal"/>
    <w:semiHidden/>
    <w:rsid w:val="007A2140"/>
    <w:pPr>
      <w:numPr>
        <w:numId w:val="0"/>
      </w:numPr>
      <w:tabs>
        <w:tab w:val="right" w:leader="dot" w:pos="4176"/>
      </w:tabs>
    </w:pPr>
  </w:style>
  <w:style w:type="paragraph" w:styleId="ListNumber2">
    <w:name w:val="List Number 2"/>
    <w:basedOn w:val="List2"/>
    <w:rsid w:val="007A2140"/>
    <w:pPr>
      <w:numPr>
        <w:numId w:val="9"/>
      </w:numPr>
      <w:tabs>
        <w:tab w:val="clear" w:pos="1060"/>
      </w:tabs>
    </w:pPr>
  </w:style>
  <w:style w:type="paragraph" w:customStyle="1" w:styleId="MarginNote">
    <w:name w:val="Margin Note"/>
    <w:basedOn w:val="BodyText"/>
    <w:rsid w:val="007A2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140"/>
    <w:rPr>
      <w:sz w:val="32"/>
    </w:rPr>
  </w:style>
  <w:style w:type="paragraph" w:customStyle="1" w:styleId="HeadingProcedure">
    <w:name w:val="Heading Procedure"/>
    <w:basedOn w:val="HeadingBase"/>
    <w:next w:val="Normal"/>
    <w:rsid w:val="007A2140"/>
    <w:pPr>
      <w:tabs>
        <w:tab w:val="left" w:pos="0"/>
      </w:tabs>
      <w:spacing w:before="120" w:after="60"/>
    </w:pPr>
    <w:rPr>
      <w:i/>
      <w:color w:val="918585"/>
      <w:sz w:val="22"/>
    </w:rPr>
  </w:style>
  <w:style w:type="paragraph" w:customStyle="1" w:styleId="TableBodyText">
    <w:name w:val="Table Body Text"/>
    <w:basedOn w:val="BodyText"/>
    <w:rsid w:val="007A2140"/>
    <w:pPr>
      <w:spacing w:before="60" w:after="60"/>
    </w:pPr>
  </w:style>
  <w:style w:type="paragraph" w:styleId="ListContinue">
    <w:name w:val="List Continue"/>
    <w:basedOn w:val="List"/>
    <w:rsid w:val="007A2140"/>
    <w:pPr>
      <w:ind w:firstLine="0"/>
    </w:pPr>
  </w:style>
  <w:style w:type="paragraph" w:customStyle="1" w:styleId="ListNote">
    <w:name w:val="List Note"/>
    <w:basedOn w:val="List"/>
    <w:rsid w:val="007A2140"/>
    <w:pPr>
      <w:pBdr>
        <w:top w:val="single" w:sz="6" w:space="2" w:color="918585"/>
        <w:bottom w:val="single" w:sz="6" w:space="2" w:color="918585"/>
      </w:pBdr>
      <w:tabs>
        <w:tab w:val="left" w:pos="1021"/>
      </w:tabs>
      <w:ind w:firstLine="0"/>
    </w:pPr>
  </w:style>
  <w:style w:type="paragraph" w:customStyle="1" w:styleId="Warning">
    <w:name w:val="Warning"/>
    <w:basedOn w:val="BodyText"/>
    <w:rsid w:val="007A2140"/>
    <w:pPr>
      <w:shd w:val="clear" w:color="auto" w:fill="D9D9D9"/>
      <w:tabs>
        <w:tab w:val="left" w:pos="992"/>
      </w:tabs>
      <w:ind w:left="119" w:right="119"/>
    </w:pPr>
    <w:rPr>
      <w:sz w:val="20"/>
    </w:rPr>
  </w:style>
  <w:style w:type="paragraph" w:customStyle="1" w:styleId="MarginIcons">
    <w:name w:val="Margin Icons"/>
    <w:basedOn w:val="BodyText"/>
    <w:rsid w:val="007A2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140"/>
    <w:rPr>
      <w:rFonts w:ascii="Courier New" w:hAnsi="Courier New"/>
    </w:rPr>
  </w:style>
  <w:style w:type="paragraph" w:customStyle="1" w:styleId="NoteBullet">
    <w:name w:val="Note Bullet"/>
    <w:basedOn w:val="Note"/>
    <w:rsid w:val="007A2140"/>
    <w:pPr>
      <w:tabs>
        <w:tab w:val="clear" w:pos="680"/>
      </w:tabs>
      <w:spacing w:before="60" w:after="60"/>
    </w:pPr>
  </w:style>
  <w:style w:type="paragraph" w:customStyle="1" w:styleId="SubHeading2">
    <w:name w:val="SubHeading2"/>
    <w:basedOn w:val="HeadingBase"/>
    <w:rsid w:val="007A2140"/>
    <w:pPr>
      <w:spacing w:before="240" w:after="60"/>
    </w:pPr>
    <w:rPr>
      <w:sz w:val="20"/>
    </w:rPr>
  </w:style>
  <w:style w:type="paragraph" w:customStyle="1" w:styleId="SubHeading1">
    <w:name w:val="SubHeading1"/>
    <w:basedOn w:val="HeadingBase"/>
    <w:rsid w:val="007A2140"/>
    <w:pPr>
      <w:spacing w:before="240" w:after="60"/>
    </w:pPr>
    <w:rPr>
      <w:color w:val="918585"/>
      <w:sz w:val="22"/>
    </w:rPr>
  </w:style>
  <w:style w:type="paragraph" w:customStyle="1" w:styleId="SideHeading">
    <w:name w:val="Side Heading"/>
    <w:basedOn w:val="HeadingBase"/>
    <w:rsid w:val="007A2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140"/>
    <w:pPr>
      <w:tabs>
        <w:tab w:val="num" w:pos="360"/>
      </w:tabs>
    </w:pPr>
  </w:style>
  <w:style w:type="paragraph" w:styleId="PlainText">
    <w:name w:val="Plain Text"/>
    <w:basedOn w:val="Normal"/>
    <w:link w:val="PlainTextChar"/>
    <w:rsid w:val="007A2140"/>
    <w:rPr>
      <w:sz w:val="20"/>
    </w:rPr>
  </w:style>
  <w:style w:type="character" w:customStyle="1" w:styleId="PlainTextChar">
    <w:name w:val="Plain Text Char"/>
    <w:basedOn w:val="DefaultParagraphFont"/>
    <w:link w:val="PlainText"/>
    <w:rsid w:val="007A2140"/>
    <w:rPr>
      <w:rFonts w:ascii="Courier New" w:eastAsia="Times New Roman" w:hAnsi="Courier New" w:cs="Times New Roman"/>
      <w:sz w:val="20"/>
      <w:szCs w:val="20"/>
      <w:lang w:eastAsia="en-US"/>
    </w:rPr>
  </w:style>
  <w:style w:type="character" w:customStyle="1" w:styleId="MenuOption">
    <w:name w:val="Menu Option"/>
    <w:basedOn w:val="DefaultParagraphFont"/>
    <w:rsid w:val="007A2140"/>
    <w:rPr>
      <w:b/>
      <w:smallCaps/>
    </w:rPr>
  </w:style>
  <w:style w:type="paragraph" w:customStyle="1" w:styleId="TableListNumber">
    <w:name w:val="Table List Number"/>
    <w:basedOn w:val="ListNumber"/>
    <w:rsid w:val="007A2140"/>
    <w:pPr>
      <w:numPr>
        <w:numId w:val="0"/>
      </w:numPr>
    </w:pPr>
  </w:style>
  <w:style w:type="paragraph" w:styleId="TOC4">
    <w:name w:val="toc 4"/>
    <w:basedOn w:val="TOCBase"/>
    <w:next w:val="Normal"/>
    <w:semiHidden/>
    <w:rsid w:val="007A2140"/>
    <w:pPr>
      <w:tabs>
        <w:tab w:val="right" w:leader="dot" w:pos="9071"/>
      </w:tabs>
      <w:ind w:left="1701"/>
    </w:pPr>
  </w:style>
  <w:style w:type="paragraph" w:customStyle="1" w:styleId="ListAlpha">
    <w:name w:val="List Alpha"/>
    <w:basedOn w:val="List"/>
    <w:rsid w:val="007A2140"/>
    <w:pPr>
      <w:numPr>
        <w:numId w:val="8"/>
      </w:numPr>
    </w:pPr>
  </w:style>
  <w:style w:type="paragraph" w:customStyle="1" w:styleId="ListAlpha2">
    <w:name w:val="List Alpha 2"/>
    <w:basedOn w:val="List2"/>
    <w:rsid w:val="007A2140"/>
    <w:pPr>
      <w:numPr>
        <w:numId w:val="7"/>
      </w:numPr>
    </w:pPr>
  </w:style>
  <w:style w:type="paragraph" w:styleId="List2">
    <w:name w:val="List 2"/>
    <w:basedOn w:val="BodyText"/>
    <w:rsid w:val="007A2140"/>
    <w:pPr>
      <w:tabs>
        <w:tab w:val="left" w:pos="680"/>
      </w:tabs>
      <w:spacing w:before="60" w:after="60"/>
      <w:ind w:left="680" w:hanging="340"/>
    </w:pPr>
  </w:style>
  <w:style w:type="paragraph" w:styleId="List3">
    <w:name w:val="List 3"/>
    <w:basedOn w:val="BodyText"/>
    <w:rsid w:val="007A2140"/>
    <w:pPr>
      <w:tabs>
        <w:tab w:val="left" w:pos="1021"/>
      </w:tabs>
      <w:spacing w:before="60" w:after="60"/>
      <w:ind w:left="1020" w:hanging="340"/>
    </w:pPr>
  </w:style>
  <w:style w:type="paragraph" w:styleId="List4">
    <w:name w:val="List 4"/>
    <w:basedOn w:val="BodyText"/>
    <w:rsid w:val="007A2140"/>
    <w:pPr>
      <w:tabs>
        <w:tab w:val="left" w:pos="1361"/>
      </w:tabs>
      <w:spacing w:before="60" w:after="60"/>
      <w:ind w:left="1361" w:hanging="340"/>
    </w:pPr>
  </w:style>
  <w:style w:type="paragraph" w:styleId="List5">
    <w:name w:val="List 5"/>
    <w:basedOn w:val="BodyText"/>
    <w:rsid w:val="007A2140"/>
    <w:pPr>
      <w:tabs>
        <w:tab w:val="left" w:pos="1701"/>
      </w:tabs>
      <w:spacing w:before="60" w:after="60"/>
      <w:ind w:left="1701" w:hanging="340"/>
    </w:pPr>
  </w:style>
  <w:style w:type="paragraph" w:styleId="ListBullet3">
    <w:name w:val="List Bullet 3"/>
    <w:basedOn w:val="List3"/>
    <w:rsid w:val="007A2140"/>
    <w:pPr>
      <w:numPr>
        <w:numId w:val="14"/>
      </w:numPr>
      <w:tabs>
        <w:tab w:val="clear" w:pos="1021"/>
      </w:tabs>
      <w:ind w:left="1037" w:hanging="357"/>
    </w:pPr>
  </w:style>
  <w:style w:type="paragraph" w:styleId="ListBullet4">
    <w:name w:val="List Bullet 4"/>
    <w:basedOn w:val="List4"/>
    <w:rsid w:val="007A2140"/>
    <w:pPr>
      <w:numPr>
        <w:numId w:val="2"/>
      </w:numPr>
    </w:pPr>
  </w:style>
  <w:style w:type="paragraph" w:styleId="ListBullet5">
    <w:name w:val="List Bullet 5"/>
    <w:basedOn w:val="List5"/>
    <w:rsid w:val="007A2140"/>
    <w:pPr>
      <w:numPr>
        <w:numId w:val="3"/>
      </w:numPr>
    </w:pPr>
  </w:style>
  <w:style w:type="paragraph" w:styleId="ListContinue2">
    <w:name w:val="List Continue 2"/>
    <w:basedOn w:val="List2"/>
    <w:rsid w:val="007A2140"/>
    <w:pPr>
      <w:ind w:firstLine="0"/>
    </w:pPr>
  </w:style>
  <w:style w:type="paragraph" w:styleId="ListContinue3">
    <w:name w:val="List Continue 3"/>
    <w:basedOn w:val="List3"/>
    <w:rsid w:val="007A2140"/>
    <w:pPr>
      <w:ind w:left="1021" w:firstLine="0"/>
    </w:pPr>
  </w:style>
  <w:style w:type="paragraph" w:styleId="ListContinue4">
    <w:name w:val="List Continue 4"/>
    <w:basedOn w:val="List4"/>
    <w:rsid w:val="007A2140"/>
    <w:pPr>
      <w:ind w:firstLine="0"/>
    </w:pPr>
  </w:style>
  <w:style w:type="paragraph" w:styleId="ListContinue5">
    <w:name w:val="List Continue 5"/>
    <w:basedOn w:val="List5"/>
    <w:rsid w:val="007A2140"/>
    <w:pPr>
      <w:ind w:firstLine="0"/>
    </w:pPr>
  </w:style>
  <w:style w:type="paragraph" w:styleId="ListNumber3">
    <w:name w:val="List Number 3"/>
    <w:basedOn w:val="List3"/>
    <w:rsid w:val="007A2140"/>
    <w:pPr>
      <w:numPr>
        <w:numId w:val="4"/>
      </w:numPr>
    </w:pPr>
  </w:style>
  <w:style w:type="paragraph" w:styleId="ListNumber4">
    <w:name w:val="List Number 4"/>
    <w:basedOn w:val="List4"/>
    <w:rsid w:val="007A2140"/>
    <w:pPr>
      <w:numPr>
        <w:numId w:val="5"/>
      </w:numPr>
    </w:pPr>
  </w:style>
  <w:style w:type="paragraph" w:styleId="ListNumber5">
    <w:name w:val="List Number 5"/>
    <w:basedOn w:val="List5"/>
    <w:rsid w:val="007A2140"/>
    <w:pPr>
      <w:numPr>
        <w:numId w:val="6"/>
      </w:numPr>
    </w:pPr>
  </w:style>
  <w:style w:type="paragraph" w:styleId="BlockText">
    <w:name w:val="Block Text"/>
    <w:basedOn w:val="Normal"/>
    <w:rsid w:val="007A2140"/>
    <w:pPr>
      <w:spacing w:after="120"/>
      <w:ind w:left="1440" w:right="1440"/>
    </w:pPr>
  </w:style>
  <w:style w:type="character" w:customStyle="1" w:styleId="Subscript">
    <w:name w:val="Subscript"/>
    <w:basedOn w:val="DefaultParagraphFont"/>
    <w:rsid w:val="007A2140"/>
    <w:rPr>
      <w:sz w:val="16"/>
      <w:vertAlign w:val="subscript"/>
    </w:rPr>
  </w:style>
  <w:style w:type="character" w:customStyle="1" w:styleId="Superscript">
    <w:name w:val="Superscript"/>
    <w:basedOn w:val="DefaultParagraphFont"/>
    <w:rsid w:val="007A2140"/>
    <w:rPr>
      <w:sz w:val="16"/>
      <w:vertAlign w:val="superscript"/>
    </w:rPr>
  </w:style>
  <w:style w:type="character" w:customStyle="1" w:styleId="Symbols">
    <w:name w:val="Symbols"/>
    <w:basedOn w:val="DefaultParagraphFont"/>
    <w:rsid w:val="007A2140"/>
    <w:rPr>
      <w:rFonts w:ascii="Symbol" w:hAnsi="Symbol"/>
    </w:rPr>
  </w:style>
  <w:style w:type="character" w:customStyle="1" w:styleId="MenuOptions">
    <w:name w:val="Menu Options"/>
    <w:basedOn w:val="DefaultParagraphFont"/>
    <w:rsid w:val="007A2140"/>
    <w:rPr>
      <w:rFonts w:ascii="Arial Narrow" w:hAnsi="Arial Narrow"/>
      <w:smallCaps/>
    </w:rPr>
  </w:style>
  <w:style w:type="character" w:customStyle="1" w:styleId="Buttons">
    <w:name w:val="Buttons"/>
    <w:basedOn w:val="DefaultParagraphFont"/>
    <w:rsid w:val="007A2140"/>
    <w:rPr>
      <w:b/>
    </w:rPr>
  </w:style>
  <w:style w:type="character" w:customStyle="1" w:styleId="Underlined">
    <w:name w:val="Underlined"/>
    <w:basedOn w:val="DefaultParagraphFont"/>
    <w:rsid w:val="007A2140"/>
    <w:rPr>
      <w:u w:val="single"/>
    </w:rPr>
  </w:style>
  <w:style w:type="paragraph" w:customStyle="1" w:styleId="TableBodyTextRight">
    <w:name w:val="Table Body Text Right"/>
    <w:basedOn w:val="TableBodyText"/>
    <w:rsid w:val="007A2140"/>
    <w:pPr>
      <w:widowControl w:val="0"/>
      <w:autoSpaceDE w:val="0"/>
      <w:autoSpaceDN w:val="0"/>
      <w:adjustRightInd w:val="0"/>
      <w:jc w:val="right"/>
    </w:pPr>
    <w:rPr>
      <w:rFonts w:cs="Arial"/>
      <w:szCs w:val="18"/>
    </w:rPr>
  </w:style>
  <w:style w:type="paragraph" w:customStyle="1" w:styleId="CopyrightText">
    <w:name w:val="Copyright Text"/>
    <w:basedOn w:val="BodyText"/>
    <w:rsid w:val="007A2140"/>
    <w:rPr>
      <w:sz w:val="18"/>
    </w:rPr>
  </w:style>
  <w:style w:type="paragraph" w:customStyle="1" w:styleId="BodySmallRight">
    <w:name w:val="Body Small Right"/>
    <w:basedOn w:val="BodyTextRight"/>
    <w:rsid w:val="007A2140"/>
    <w:rPr>
      <w:sz w:val="18"/>
      <w:szCs w:val="18"/>
    </w:rPr>
  </w:style>
  <w:style w:type="paragraph" w:customStyle="1" w:styleId="MarginEdition">
    <w:name w:val="Margin Edition"/>
    <w:basedOn w:val="MarginNote"/>
    <w:rsid w:val="007A2140"/>
    <w:pPr>
      <w:spacing w:before="0" w:after="0"/>
    </w:pPr>
    <w:rPr>
      <w:rFonts w:ascii="Times New Roman" w:hAnsi="Times New Roman"/>
      <w:color w:val="999999"/>
    </w:rPr>
  </w:style>
  <w:style w:type="paragraph" w:customStyle="1" w:styleId="Spacer">
    <w:name w:val="Spacer"/>
    <w:basedOn w:val="Normal"/>
    <w:rsid w:val="007A2140"/>
    <w:rPr>
      <w:sz w:val="2"/>
      <w:szCs w:val="2"/>
    </w:rPr>
  </w:style>
  <w:style w:type="character" w:customStyle="1" w:styleId="Small">
    <w:name w:val="Small"/>
    <w:basedOn w:val="DefaultParagraphFont"/>
    <w:rsid w:val="007A2140"/>
    <w:rPr>
      <w:sz w:val="16"/>
    </w:rPr>
  </w:style>
  <w:style w:type="paragraph" w:customStyle="1" w:styleId="WideTable">
    <w:name w:val="Wide Table"/>
    <w:basedOn w:val="Normal"/>
    <w:rsid w:val="007A2140"/>
    <w:pPr>
      <w:ind w:left="-1418"/>
    </w:pPr>
    <w:rPr>
      <w:sz w:val="2"/>
      <w:szCs w:val="2"/>
    </w:rPr>
  </w:style>
  <w:style w:type="character" w:styleId="PageNumber">
    <w:name w:val="page number"/>
    <w:basedOn w:val="DefaultParagraphFont"/>
    <w:rsid w:val="007A2140"/>
  </w:style>
  <w:style w:type="paragraph" w:styleId="Quote">
    <w:name w:val="Quote"/>
    <w:basedOn w:val="Heading1"/>
    <w:link w:val="QuoteChar"/>
    <w:qFormat/>
    <w:rsid w:val="007A2140"/>
    <w:rPr>
      <w:b w:val="0"/>
      <w:sz w:val="72"/>
      <w:szCs w:val="72"/>
      <w:lang w:val="en-NZ"/>
    </w:rPr>
  </w:style>
  <w:style w:type="character" w:customStyle="1" w:styleId="QuoteChar">
    <w:name w:val="Quote Char"/>
    <w:basedOn w:val="DefaultParagraphFont"/>
    <w:link w:val="Quote"/>
    <w:rsid w:val="007A2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140"/>
    <w:pPr>
      <w:pageBreakBefore/>
    </w:pPr>
  </w:style>
  <w:style w:type="paragraph" w:customStyle="1" w:styleId="Border">
    <w:name w:val="Border"/>
    <w:basedOn w:val="Normal"/>
    <w:qFormat/>
    <w:rsid w:val="007A2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140"/>
    <w:rPr>
      <w:b/>
      <w:bCs/>
      <w:i/>
      <w:iCs/>
      <w:color w:val="auto"/>
    </w:rPr>
  </w:style>
  <w:style w:type="paragraph" w:styleId="IntenseQuote">
    <w:name w:val="Intense Quote"/>
    <w:basedOn w:val="Normal"/>
    <w:next w:val="Normal"/>
    <w:link w:val="IntenseQuoteChar"/>
    <w:uiPriority w:val="30"/>
    <w:qFormat/>
    <w:rsid w:val="007A2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140"/>
    <w:rPr>
      <w:smallCaps/>
      <w:color w:val="auto"/>
      <w:u w:val="single"/>
    </w:rPr>
  </w:style>
  <w:style w:type="character" w:styleId="IntenseReference">
    <w:name w:val="Intense Reference"/>
    <w:basedOn w:val="DefaultParagraphFont"/>
    <w:uiPriority w:val="32"/>
    <w:qFormat/>
    <w:rsid w:val="007A2140"/>
    <w:rPr>
      <w:b/>
      <w:bCs/>
      <w:smallCaps/>
      <w:color w:val="auto"/>
      <w:spacing w:val="5"/>
      <w:u w:val="single"/>
    </w:rPr>
  </w:style>
  <w:style w:type="paragraph" w:customStyle="1" w:styleId="2ColumnHeading">
    <w:name w:val="2Column Heading"/>
    <w:basedOn w:val="BodyText"/>
    <w:qFormat/>
    <w:rsid w:val="007A2140"/>
    <w:pPr>
      <w:spacing w:after="60"/>
      <w:ind w:left="-2268"/>
    </w:pPr>
    <w:rPr>
      <w:b/>
    </w:rPr>
  </w:style>
  <w:style w:type="paragraph" w:customStyle="1" w:styleId="Heading1TOC">
    <w:name w:val="Heading1 TOC"/>
    <w:basedOn w:val="Normal"/>
    <w:qFormat/>
    <w:rsid w:val="007A2140"/>
    <w:pPr>
      <w:spacing w:before="240" w:after="120"/>
    </w:pPr>
    <w:rPr>
      <w:rFonts w:ascii="Times New Roman" w:hAnsi="Times New Roman"/>
      <w:b/>
      <w:sz w:val="32"/>
    </w:rPr>
  </w:style>
  <w:style w:type="paragraph" w:customStyle="1" w:styleId="Heading2TOC">
    <w:name w:val="Heading2 TOC"/>
    <w:basedOn w:val="Normal"/>
    <w:qFormat/>
    <w:rsid w:val="007A2140"/>
    <w:pPr>
      <w:spacing w:before="240" w:after="60"/>
    </w:pPr>
    <w:rPr>
      <w:rFonts w:ascii="Times New Roman" w:hAnsi="Times New Roman"/>
      <w:b/>
      <w:sz w:val="28"/>
    </w:rPr>
  </w:style>
  <w:style w:type="character" w:customStyle="1" w:styleId="Underline">
    <w:name w:val="Underline"/>
    <w:basedOn w:val="DefaultParagraphFont"/>
    <w:qFormat/>
    <w:rsid w:val="007A2140"/>
    <w:rPr>
      <w:u w:val="single"/>
    </w:rPr>
  </w:style>
  <w:style w:type="character" w:customStyle="1" w:styleId="BoldandItalics">
    <w:name w:val="Bold and Italics"/>
    <w:qFormat/>
    <w:rsid w:val="007A2140"/>
    <w:rPr>
      <w:b/>
      <w:i/>
      <w:u w:val="none"/>
    </w:rPr>
  </w:style>
  <w:style w:type="paragraph" w:styleId="BalloonText">
    <w:name w:val="Balloon Text"/>
    <w:basedOn w:val="Normal"/>
    <w:link w:val="BalloonTextChar"/>
    <w:rsid w:val="007A2140"/>
    <w:rPr>
      <w:rFonts w:ascii="Tahoma" w:hAnsi="Tahoma" w:cs="Tahoma"/>
      <w:sz w:val="16"/>
      <w:szCs w:val="16"/>
    </w:rPr>
  </w:style>
  <w:style w:type="character" w:customStyle="1" w:styleId="BalloonTextChar">
    <w:name w:val="Balloon Text Char"/>
    <w:basedOn w:val="DefaultParagraphFont"/>
    <w:link w:val="BalloonText"/>
    <w:rsid w:val="007A2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1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140"/>
    <w:rPr>
      <w:b/>
      <w:color w:val="660033"/>
      <w:spacing w:val="0"/>
    </w:rPr>
  </w:style>
  <w:style w:type="paragraph" w:customStyle="1" w:styleId="Nameditemlist">
    <w:name w:val="Named item list"/>
    <w:basedOn w:val="BodyText"/>
    <w:qFormat/>
    <w:rsid w:val="007A21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798</Words>
  <Characters>4686</Characters>
  <Application>Microsoft Office Word</Application>
  <DocSecurity>0</DocSecurity>
  <Lines>260</Lines>
  <Paragraphs>194</Paragraphs>
  <ScaleCrop>false</ScaleCrop>
  <Company>Author-it Software Corporation Ltd.</Company>
  <LinksUpToDate>false</LinksUpToDate>
  <CharactersWithSpaces>5322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UEG20511 Certificate II in Gaseous Fuel Delivery Operations</dc:title>
  <dc:subject>Approved</dc:subject>
  <dc:creator>EE-Oz Training Standards</dc:creator>
  <cp:keywords>Release:</cp:keywords>
  <dc:description>Copyright © 1996-2007 Author-it Software Corporation Ltd., all rights reserved.</dc:description>
  <cp:lastModifiedBy>TPCMS</cp:lastModifiedBy>
  <cp:revision>3</cp:revision>
  <dcterms:created xsi:type="dcterms:W3CDTF">2013-03-17T23:31:00Z</dcterms:created>
  <dcterms:modified xsi:type="dcterms:W3CDTF">2013-03-17T23:31:00Z</dcterms:modified>
</cp:coreProperties>
</file>