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47A" w:rsidP="0045147A">
      <w:pPr>
        <w:pStyle w:val="Title"/>
      </w:pPr>
      <w:bookmarkStart w:id="0" w:name="_GoBack"/>
      <w:bookmarkEnd w:id="0"/>
      <w:r>
        <w:fldChar w:fldCharType="begin"/>
      </w:r>
      <w:r>
        <w:instrText xml:space="preserve"> TITLE   \* MERGEFORMAT </w:instrText>
      </w:r>
      <w:r>
        <w:fldChar w:fldCharType="separate"/>
      </w:r>
      <w:r>
        <w:t>UEGNSG802A Install complex flow control, measuring and regulating devices for gas pressure control</w:t>
      </w:r>
      <w:r>
        <w:fldChar w:fldCharType="end"/>
      </w:r>
    </w:p>
    <w:p w:rsidR="0045147A" w:rsidP="0045147A">
      <w:pPr>
        <w:pStyle w:val="Version"/>
        <w:sectPr w:rsidSect="00D207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740" w:rsidP="00D20740">
      <w:pPr>
        <w:pStyle w:val="SuperHeading"/>
      </w:pPr>
      <w:r w:rsidRPr="00D20740">
        <w:t>UEGNSG802A Install complex flow control, measuring and regulating devices for gas pressure control</w:t>
      </w:r>
    </w:p>
    <w:p w:rsidR="00000000" w:rsidRPr="00D20740" w:rsidP="00D20740">
      <w:pPr>
        <w:pStyle w:val="Heading1"/>
      </w:pPr>
      <w:bookmarkStart w:id="1" w:name="O_275150"/>
      <w:bookmarkEnd w:id="1"/>
      <w:r w:rsidRPr="00D20740">
        <w:t>Modification History</w:t>
      </w:r>
    </w:p>
    <w:p w:rsidR="00000000" w:rsidRPr="00D20740" w:rsidP="00D20740">
      <w:pPr>
        <w:pStyle w:val="BodyText"/>
      </w:pPr>
      <w:r w:rsidRPr="00D20740">
        <w:t>Not Applicable</w:t>
      </w:r>
    </w:p>
    <w:p w:rsidR="00000000" w:rsidRPr="00D20740" w:rsidP="00D20740">
      <w:pPr>
        <w:pStyle w:val="AllowPageBreak"/>
      </w:pPr>
    </w:p>
    <w:p w:rsidR="00000000" w:rsidRPr="00D20740" w:rsidP="00D20740">
      <w:pPr>
        <w:pStyle w:val="Heading1"/>
      </w:pPr>
      <w:bookmarkStart w:id="2" w:name="O_229720"/>
      <w:bookmarkEnd w:id="2"/>
      <w:r w:rsidRPr="00D20740">
        <w:t>Unit Descriptor</w:t>
      </w:r>
    </w:p>
    <w:tbl>
      <w:tblPr>
        <w:tblW w:w="0" w:type="auto"/>
        <w:tblLayout w:type="fixed"/>
        <w:tblCellMar>
          <w:left w:w="62" w:type="dxa"/>
          <w:right w:w="62" w:type="dxa"/>
        </w:tblCellMar>
        <w:tblLook w:val="0000"/>
      </w:tblPr>
      <w:tblGrid>
        <w:gridCol w:w="2700"/>
        <w:gridCol w:w="5760"/>
      </w:tblGrid>
      <w:tr w:rsidTr="004514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1</w:t>
            </w:r>
            <w:r w:rsidRPr="00D20740">
              <w:t xml:space="preserve">) </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This Competency Standard Unit covers the installation of complex flow control, measuring and regulating devices in gas distribution systems. The competency standard refers to Flow control; Metering and regulating devices; Recording and reporting; Organisat</w:t>
            </w:r>
            <w:r w:rsidRPr="00D20740">
              <w:t>ional and statutory requirements.</w:t>
            </w:r>
          </w:p>
        </w:tc>
      </w:tr>
    </w:tbl>
    <w:p w:rsidR="0045147A" w:rsidP="00D20740">
      <w:pPr>
        <w:pStyle w:val="BodyText"/>
      </w:pPr>
    </w:p>
    <w:p w:rsidR="0045147A" w:rsidP="00D20740">
      <w:pPr>
        <w:pStyle w:val="BodyText"/>
      </w:pPr>
    </w:p>
    <w:p w:rsidR="00000000" w:rsidRPr="00D20740" w:rsidP="00D20740">
      <w:pPr>
        <w:pStyle w:val="Heading1"/>
      </w:pPr>
      <w:bookmarkStart w:id="3" w:name="O_229723"/>
      <w:bookmarkEnd w:id="3"/>
      <w:r w:rsidRPr="00D20740">
        <w:t>Application of the Unit</w:t>
      </w:r>
    </w:p>
    <w:tbl>
      <w:tblPr>
        <w:tblW w:w="0" w:type="auto"/>
        <w:tblLayout w:type="fixed"/>
        <w:tblCellMar>
          <w:left w:w="62" w:type="dxa"/>
          <w:right w:w="62" w:type="dxa"/>
        </w:tblCellMar>
        <w:tblLook w:val="0000"/>
      </w:tblPr>
      <w:tblGrid>
        <w:gridCol w:w="2700"/>
        <w:gridCol w:w="5760"/>
      </w:tblGrid>
      <w:tr w:rsidTr="004514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3</w:t>
            </w:r>
            <w:r w:rsidRPr="00D20740">
              <w:t xml:space="preserve">) </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This competency standard shall apply to any basic and safe work site where Gas Industry operations occur. It could also apply, where applicable to o</w:t>
            </w:r>
            <w:r w:rsidRPr="00D20740">
              <w:t>ther workplaces in the electricity supply industry (transmission and distribution and generation), the electrotechnology industry and the water industry, subject to all Occupational Health and Safety and duty of care requirements being met for the workplac</w:t>
            </w:r>
            <w:r w:rsidRPr="00D20740">
              <w:t>e.</w:t>
            </w:r>
          </w:p>
        </w:tc>
      </w:tr>
    </w:tbl>
    <w:p w:rsidR="0045147A" w:rsidP="00D20740">
      <w:pPr>
        <w:pStyle w:val="BodyText"/>
      </w:pPr>
    </w:p>
    <w:p w:rsidR="0045147A" w:rsidP="00D20740">
      <w:pPr>
        <w:pStyle w:val="BodyText"/>
      </w:pPr>
    </w:p>
    <w:p w:rsidR="00000000" w:rsidRPr="00D20740" w:rsidP="00D20740">
      <w:pPr>
        <w:pStyle w:val="Heading1"/>
      </w:pPr>
      <w:bookmarkStart w:id="4" w:name="O_229724"/>
      <w:bookmarkEnd w:id="4"/>
      <w:r w:rsidRPr="00D20740">
        <w:t>Licensing/Regulatory Information</w:t>
      </w:r>
    </w:p>
    <w:tbl>
      <w:tblPr>
        <w:tblW w:w="0" w:type="auto"/>
        <w:tblLayout w:type="fixed"/>
        <w:tblCellMar>
          <w:left w:w="62" w:type="dxa"/>
          <w:right w:w="62" w:type="dxa"/>
        </w:tblCellMar>
        <w:tblLook w:val="0000"/>
      </w:tblPr>
      <w:tblGrid>
        <w:gridCol w:w="2700"/>
        <w:gridCol w:w="5760"/>
      </w:tblGrid>
      <w:tr w:rsidTr="004514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3</w:t>
            </w:r>
            <w:r w:rsidRPr="00D20740">
              <w:t>.</w:t>
            </w:r>
            <w:r w:rsidRPr="00D20740">
              <w:rPr>
                <w:rStyle w:val="SpecialBold"/>
              </w:rPr>
              <w:t>1</w:t>
            </w:r>
            <w:r w:rsidRPr="00D20740">
              <w:t xml:space="preserve">) </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 xml:space="preserve">The skills and knowledge described in this unit are not subject to licence regulation other than those directly related to Occupational Health </w:t>
            </w:r>
            <w:r w:rsidRPr="00D20740">
              <w:t xml:space="preserve">and Safety, gas/electricity/water industry safety and compliance, industrial relations, environmental protection, telecommunications, anti discrimination and training. </w:t>
            </w:r>
            <w:r w:rsidRPr="00D20740">
              <w:t xml:space="preserve">Commonwealth, State/Territory or Local Government legislation and regulations may exist </w:t>
            </w:r>
            <w:r w:rsidRPr="00D20740">
              <w:t>that limits the age of operating certain equipment.</w:t>
            </w:r>
          </w:p>
        </w:tc>
      </w:tr>
    </w:tbl>
    <w:p w:rsidR="0045147A" w:rsidP="00D20740">
      <w:pPr>
        <w:pStyle w:val="BodyText"/>
      </w:pPr>
    </w:p>
    <w:p w:rsidR="0045147A" w:rsidP="00D20740">
      <w:pPr>
        <w:pStyle w:val="BodyText"/>
      </w:pPr>
    </w:p>
    <w:p w:rsidR="00000000" w:rsidRPr="00D20740" w:rsidP="00D20740">
      <w:pPr>
        <w:pStyle w:val="Heading1"/>
      </w:pPr>
      <w:bookmarkStart w:id="5" w:name="O_229721"/>
      <w:bookmarkEnd w:id="5"/>
      <w:r w:rsidRPr="00D20740">
        <w:t>Pre-Requisites</w:t>
      </w:r>
    </w:p>
    <w:tbl>
      <w:tblPr>
        <w:tblW w:w="0" w:type="auto"/>
        <w:tblLayout w:type="fixed"/>
        <w:tblCellMar>
          <w:left w:w="62" w:type="dxa"/>
          <w:right w:w="62" w:type="dxa"/>
        </w:tblCellMar>
        <w:tblLook w:val="0000"/>
      </w:tblPr>
      <w:tblGrid>
        <w:gridCol w:w="2700"/>
        <w:gridCol w:w="1800"/>
        <w:gridCol w:w="3960"/>
      </w:tblGrid>
      <w:tr w:rsidTr="004514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Prerequisite Unit</w:t>
            </w:r>
            <w:r w:rsidRPr="00D20740">
              <w:t>(</w:t>
            </w:r>
            <w:r w:rsidRPr="00D20740">
              <w:rPr>
                <w:rStyle w:val="SpecialBold"/>
              </w:rPr>
              <w:t>s</w:t>
            </w:r>
            <w:r w:rsidRPr="00D20740">
              <w:t>)</w:t>
            </w:r>
          </w:p>
        </w:tc>
        <w:tc>
          <w:tcPr>
            <w:tcW w:w="576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2</w:t>
            </w:r>
            <w:r w:rsidRPr="00D20740">
              <w:t xml:space="preserve">) </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2</w:t>
            </w:r>
            <w:r w:rsidRPr="00D20740">
              <w:t>.</w:t>
            </w:r>
            <w:r w:rsidRPr="00D20740">
              <w:rPr>
                <w:rStyle w:val="SpecialBold"/>
              </w:rPr>
              <w:t>1</w:t>
            </w:r>
            <w:r w:rsidRPr="00D20740">
              <w:t xml:space="preserve">) </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Granting of competency in this unit shall be made only after competency in the following unit(s) has/have been confir</w:t>
            </w:r>
            <w:r w:rsidRPr="00D20740">
              <w:t>med:</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Nil</w:t>
            </w:r>
          </w:p>
        </w:tc>
        <w:tc>
          <w:tcPr>
            <w:tcW w:w="3960" w:type="dxa"/>
            <w:tcBorders>
              <w:top w:val="nil"/>
              <w:left w:val="nil"/>
              <w:bottom w:val="nil"/>
              <w:right w:val="nil"/>
            </w:tcBorders>
            <w:tcMar>
              <w:top w:w="0" w:type="dxa"/>
              <w:left w:w="62" w:type="dxa"/>
              <w:bottom w:w="0" w:type="dxa"/>
              <w:right w:w="62" w:type="dxa"/>
            </w:tcMar>
          </w:tcPr>
          <w:p w:rsidR="00000000" w:rsidRPr="00D20740" w:rsidP="00D20740">
            <w:pPr>
              <w:pStyle w:val="BodyText"/>
            </w:pPr>
          </w:p>
        </w:tc>
      </w:tr>
    </w:tbl>
    <w:p w:rsidR="0045147A" w:rsidP="00D20740">
      <w:pPr>
        <w:pStyle w:val="BodyText"/>
      </w:pPr>
    </w:p>
    <w:p w:rsidR="0045147A" w:rsidP="00D20740">
      <w:pPr>
        <w:pStyle w:val="BodyText"/>
      </w:pPr>
    </w:p>
    <w:p w:rsidR="00000000" w:rsidRPr="00D20740" w:rsidP="00D20740">
      <w:pPr>
        <w:pStyle w:val="Heading1"/>
      </w:pPr>
      <w:bookmarkStart w:id="6" w:name="O_285399"/>
      <w:bookmarkEnd w:id="6"/>
      <w:r w:rsidRPr="00D20740">
        <w:t>Employability Skills Information</w:t>
      </w:r>
    </w:p>
    <w:p w:rsidR="00000000" w:rsidRPr="00D20740" w:rsidP="00D20740">
      <w:pPr>
        <w:pStyle w:val="BodyText"/>
      </w:pPr>
      <w:r w:rsidRPr="00D20740">
        <w:t>Refer to the Evidence Guide</w:t>
      </w:r>
    </w:p>
    <w:p w:rsidR="00000000" w:rsidRPr="00D20740" w:rsidP="00D20740">
      <w:pPr>
        <w:pStyle w:val="AllowPageBreak"/>
      </w:pPr>
    </w:p>
    <w:p w:rsidR="00000000" w:rsidRPr="00D20740" w:rsidP="00D20740">
      <w:pPr>
        <w:pStyle w:val="Heading1"/>
      </w:pPr>
      <w:bookmarkStart w:id="7" w:name="O_293196"/>
      <w:bookmarkEnd w:id="7"/>
      <w:r w:rsidRPr="00D20740">
        <w:t>Elements and Performance Criteria Pre-Content</w:t>
      </w:r>
    </w:p>
    <w:tbl>
      <w:tblPr>
        <w:tblW w:w="0" w:type="auto"/>
        <w:tblLayout w:type="fixed"/>
        <w:tblCellMar>
          <w:left w:w="62" w:type="dxa"/>
          <w:right w:w="62" w:type="dxa"/>
        </w:tblCellMar>
        <w:tblLook w:val="0000"/>
      </w:tblPr>
      <w:tblGrid>
        <w:gridCol w:w="2700"/>
        <w:gridCol w:w="5760"/>
      </w:tblGrid>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5</w:t>
            </w:r>
            <w:r w:rsidRPr="00D2074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Performance Criteria describe the required performance needed to demonstrate achievement of the element. Assessment of performance is to be consistent with the Evidence Guide.</w:t>
            </w:r>
          </w:p>
        </w:tc>
      </w:tr>
    </w:tbl>
    <w:p w:rsidR="00000000" w:rsidRPr="00D20740" w:rsidP="00D20740">
      <w:pPr>
        <w:pStyle w:val="BodyText"/>
      </w:pPr>
    </w:p>
    <w:p w:rsidR="00000000" w:rsidRPr="00D20740" w:rsidP="00D20740">
      <w:pPr>
        <w:pStyle w:val="AllowPageBreak"/>
      </w:pPr>
    </w:p>
    <w:p w:rsidR="00000000" w:rsidRPr="00D20740" w:rsidP="00D20740">
      <w:pPr>
        <w:pStyle w:val="Heading1"/>
      </w:pPr>
      <w:bookmarkStart w:id="8" w:name="O_239864"/>
      <w:bookmarkEnd w:id="8"/>
      <w:r w:rsidRPr="00D2074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514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PERFORMANCE CRITERIA</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w:t>
            </w:r>
          </w:p>
        </w:tc>
        <w:tc>
          <w:tcPr>
            <w:tcW w:w="2296" w:type="dxa"/>
            <w:vMerge w:val="restart"/>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Plan and prepare for the installation of complex flow control devices</w:t>
            </w: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1.1</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Work requirements for installing complex flow control, measuring and regulating devices is interpreted from plans, specifications and instructions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1.2</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Rel</w:t>
            </w:r>
            <w:r w:rsidRPr="00D20740">
              <w:t xml:space="preserve">evant requirements and established </w:t>
            </w:r>
            <w:r w:rsidRPr="00D20740">
              <w:t>procedures for the work are communicated to all persons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1.3</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 xml:space="preserve">OHS, environmental and sustainable energy policies and procedures related to the installing complex flow controls are obtained and confirmed </w:t>
            </w:r>
            <w:r w:rsidRPr="00D20740">
              <w:t xml:space="preserve">for the purposes of the work performed and communicated </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1.4</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Work is prioritised and sequenced following consultation with others for completion within acceptable timeframes and in accordance with established procedures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1.5</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 xml:space="preserve">Risk control measures for </w:t>
            </w:r>
            <w:r w:rsidRPr="00D20740">
              <w:t>identified hazards are prioritised, implemented and monitored against the work schedule</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1.6</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Relevant work permits are obtained to access, isolate/de-energise systems and perform work according to requirements and established procedures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1.7</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Resources including appropriately licensed persons, equipment, tools and personal protective equipment required for installing complex flow control devices are identified, scheduled and obtained and confirmed in working order</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1.8</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Liaison and communicati</w:t>
            </w:r>
            <w:r w:rsidRPr="00D20740">
              <w:t>on with authorised persons, authorities, clients and land-owners is completed so that work can be carried out where necessary</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1.9</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Persons participating in the work, including plant operators and contractors are fully briefed and respective responsibilit</w:t>
            </w:r>
            <w:r w:rsidRPr="00D20740">
              <w:t xml:space="preserve">ies confirmed where applicable in accordance with established procedures </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2</w:t>
            </w:r>
          </w:p>
        </w:tc>
        <w:tc>
          <w:tcPr>
            <w:tcW w:w="2296"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Install devices and equipment</w:t>
            </w: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2.1</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Information on device and equipment performance is collected and reported in accordance with organisational requirements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2.2</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 xml:space="preserve">Dealings with customers are consistent with standard operating procedures and the special needs of customers are identified and considered in targeting client service </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2.3</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Essential Knowledge and Associated Skills for installing complex flow control dev</w:t>
            </w:r>
            <w:r w:rsidRPr="00D20740">
              <w:t>ices is applied to ensure completion in an agreed timeframe and to quality standards with a minimum of waste according to requirements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2.4</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Routine inspections of systems are scheduled and monitored in accordance with the work schedule and established pr</w:t>
            </w:r>
            <w:r w:rsidRPr="00D20740">
              <w:t xml:space="preserve">ocedures </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2.5</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Hazard warnings and safety signs are recognised and hazards and assessed OHS risks are reported to the immediate authorised persons for directions according to established procedures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2.6</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Testing procedures a</w:t>
            </w:r>
            <w:r w:rsidRPr="00D20740">
              <w:t xml:space="preserve">re done and unplanned events in the monitoring and operation of complex flow control are undertaken with the scope of established procedures </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2.7</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Samples are taken in accordance with established procedures and known solutions to a variety of problems ar</w:t>
            </w:r>
            <w:r w:rsidRPr="00D20740">
              <w:t>e applied using acquired Essential Knowledge and Associated Skills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2.8</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Ongoing checks of quality of the work are undertaken in accordance with given instructions and established procedures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w:t>
            </w:r>
          </w:p>
        </w:tc>
        <w:tc>
          <w:tcPr>
            <w:tcW w:w="2296" w:type="dxa"/>
            <w:vMerge w:val="restart"/>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Complete the installation of flow control devices</w:t>
            </w: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3.1</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Installed flow control, measuring and regulated devices are tested to meet specifications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3.2</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Accidents and injuries are reported in accordance with established procedures where applicable</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3.3</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Flows and diversions are determined to facilitate repair or emergency activities in accordance with organisational requirements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3.4</w:t>
            </w:r>
          </w:p>
        </w:tc>
        <w:tc>
          <w:tcPr>
            <w:tcW w:w="48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Process faults and operational conditions of the system are identified, addressed and reported in accordance with organis</w:t>
            </w:r>
            <w:r w:rsidRPr="00D20740">
              <w:t>ational requirements</w:t>
            </w:r>
          </w:p>
        </w:tc>
      </w:tr>
      <w:tr w:rsidTr="004514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3.5</w:t>
            </w:r>
          </w:p>
        </w:tc>
        <w:tc>
          <w:tcPr>
            <w:tcW w:w="48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Work completion records, reports and documentation are finalised and processed and appropriate persons notified</w:t>
            </w:r>
          </w:p>
        </w:tc>
      </w:tr>
    </w:tbl>
    <w:p w:rsidR="0045147A" w:rsidP="00D20740">
      <w:pPr>
        <w:pStyle w:val="BodyText"/>
      </w:pPr>
    </w:p>
    <w:p w:rsidR="0045147A" w:rsidP="00D20740">
      <w:pPr>
        <w:pStyle w:val="BodyText"/>
      </w:pPr>
    </w:p>
    <w:p w:rsidR="00000000" w:rsidRPr="00D20740" w:rsidP="00D20740">
      <w:pPr>
        <w:pStyle w:val="Heading1"/>
      </w:pPr>
      <w:bookmarkStart w:id="9" w:name="O_263655"/>
      <w:bookmarkEnd w:id="9"/>
      <w:r w:rsidRPr="00D20740">
        <w:t>Required Skills and Knowledge</w:t>
      </w:r>
    </w:p>
    <w:tbl>
      <w:tblPr>
        <w:tblW w:w="0" w:type="auto"/>
        <w:tblLayout w:type="fixed"/>
        <w:tblCellMar>
          <w:left w:w="62" w:type="dxa"/>
          <w:right w:w="62" w:type="dxa"/>
        </w:tblCellMar>
        <w:tblLook w:val="0000"/>
      </w:tblPr>
      <w:tblGrid>
        <w:gridCol w:w="2700"/>
        <w:gridCol w:w="1080"/>
        <w:gridCol w:w="4680"/>
      </w:tblGrid>
      <w:tr w:rsidTr="0045147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REQUIRED SKILLS AND KNOWLEDGE</w:t>
            </w:r>
          </w:p>
        </w:tc>
      </w:tr>
      <w:tr w:rsidTr="004514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6</w:t>
            </w:r>
            <w:r w:rsidRPr="00D20740">
              <w:t>) This describes the essential skills and knowledge and their level, required for this unit.</w:t>
            </w:r>
          </w:p>
        </w:tc>
      </w:tr>
      <w:tr w:rsidTr="004514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 xml:space="preserve">Evidence shall show that knowledge has been acquired of safe working practices for the installation of complex flow control, measuring and </w:t>
            </w:r>
            <w:r w:rsidRPr="00D20740">
              <w:t>regulating devices for gas pressure control. The extent of the essential knowledge and associated skills (EKAS) required is given in Volume 2 - Part 2.2 EKAS.  It forms an integral part of this unit.</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3.2.1</w:t>
            </w:r>
          </w:p>
        </w:tc>
        <w:tc>
          <w:tcPr>
            <w:tcW w:w="46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Consulting appropriate persons to coordinate w</w:t>
            </w:r>
            <w:r w:rsidRPr="00D20740">
              <w:t>ork and persons on a Gas Industry workplace</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3.2.7</w:t>
            </w:r>
          </w:p>
        </w:tc>
        <w:tc>
          <w:tcPr>
            <w:tcW w:w="46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Prepare reports</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3.2.17</w:t>
            </w:r>
          </w:p>
        </w:tc>
        <w:tc>
          <w:tcPr>
            <w:tcW w:w="46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Maintain records</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3.2.19</w:t>
            </w:r>
          </w:p>
        </w:tc>
        <w:tc>
          <w:tcPr>
            <w:tcW w:w="46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 xml:space="preserve">Liaise and communicate with relevant parties </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3.8.1</w:t>
            </w:r>
          </w:p>
        </w:tc>
        <w:tc>
          <w:tcPr>
            <w:tcW w:w="46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Systems operations flow control</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4.1.5</w:t>
            </w:r>
          </w:p>
        </w:tc>
        <w:tc>
          <w:tcPr>
            <w:tcW w:w="468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Interpreting Gas Industry drawings</w:t>
            </w:r>
          </w:p>
        </w:tc>
      </w:tr>
    </w:tbl>
    <w:p w:rsidR="0045147A" w:rsidP="00D20740">
      <w:pPr>
        <w:pStyle w:val="BodyText"/>
      </w:pPr>
    </w:p>
    <w:p w:rsidR="0045147A" w:rsidP="00D20740">
      <w:pPr>
        <w:pStyle w:val="BodyText"/>
      </w:pPr>
    </w:p>
    <w:p w:rsidR="00000000" w:rsidRPr="00D20740" w:rsidP="00D20740">
      <w:pPr>
        <w:pStyle w:val="Heading1"/>
      </w:pPr>
      <w:bookmarkStart w:id="10" w:name="O_247847"/>
      <w:bookmarkEnd w:id="10"/>
      <w:r w:rsidRPr="00D20740">
        <w:t>Evidence Guide</w:t>
      </w:r>
    </w:p>
    <w:tbl>
      <w:tblPr>
        <w:tblW w:w="0" w:type="auto"/>
        <w:tblLayout w:type="fixed"/>
        <w:tblCellMar>
          <w:left w:w="62" w:type="dxa"/>
          <w:right w:w="62" w:type="dxa"/>
        </w:tblCellMar>
        <w:tblLook w:val="0000"/>
      </w:tblPr>
      <w:tblGrid>
        <w:gridCol w:w="2160"/>
        <w:gridCol w:w="540"/>
        <w:gridCol w:w="900"/>
        <w:gridCol w:w="1980"/>
        <w:gridCol w:w="2880"/>
      </w:tblGrid>
      <w:tr w:rsidTr="0045147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EVIDENCE GUIDE</w:t>
            </w:r>
          </w:p>
        </w:tc>
      </w:tr>
      <w:tr w:rsidTr="0045147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8</w:t>
            </w:r>
            <w:r w:rsidRPr="00D20740">
              <w:t xml:space="preserve">) This provides essential advice for assessment of the Unit of Competency and must be read in conjunction </w:t>
            </w:r>
            <w:r w:rsidRPr="00D20740">
              <w:t>with the Performance Criteria and the Range Statement of the Unit of Competency and the Training Package Assessment Guidelines.</w:t>
            </w:r>
          </w:p>
          <w:p w:rsidR="00000000" w:rsidRPr="00D20740" w:rsidP="00D20740">
            <w:pPr>
              <w:pStyle w:val="BodyText"/>
            </w:pPr>
          </w:p>
          <w:p w:rsidR="00000000" w:rsidP="00D20740">
            <w:pPr>
              <w:pStyle w:val="BodyText"/>
              <w:rPr>
                <w:lang w:val="en-NZ"/>
              </w:rPr>
            </w:pPr>
            <w:r w:rsidRPr="00D20740">
              <w:t>The Evidence Guide forms an integral part of this Unit and shall be used in conjunction with all components parts of the unit a</w:t>
            </w:r>
            <w:r w:rsidRPr="00D20740">
              <w:t>nd performed in accordance with the Assessment Guidelines of this Training Package.</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8</w:t>
            </w:r>
            <w:r w:rsidRPr="00D20740">
              <w:t>.</w:t>
            </w:r>
            <w:r w:rsidRPr="00D20740">
              <w:rPr>
                <w:rStyle w:val="SpecialBold"/>
              </w:rPr>
              <w:t>1</w:t>
            </w:r>
            <w:r w:rsidRPr="00D20740">
              <w:t xml:space="preserve">) </w:t>
            </w:r>
          </w:p>
          <w:p w:rsidR="00000000" w:rsidRPr="00D20740" w:rsidP="00D20740">
            <w:pPr>
              <w:pStyle w:val="BodyText"/>
            </w:pPr>
            <w:r w:rsidRPr="00D20740">
              <w:t>Longitudinal competency development approaches to assessment, such as Profiling, require data to be reliably gathered in a form that can b</w:t>
            </w:r>
            <w:r w:rsidRPr="00D20740">
              <w:t>e consistently interpreted over time. This approach is best utilised in Apprenticeship programs and reduces assessment intervention. It is the Industry's preferred model for apprenticeships. However, where summative (or final) assessment is used it is to i</w:t>
            </w:r>
            <w:r w:rsidRPr="00D20740">
              <w:t>nclude the application of the competency in the normal work environment or, at a minimum, the application of the competency in a realistically simulated work environment. It is recognised that, in some circumstances, assessment in part or full can occur ou</w:t>
            </w:r>
            <w:r w:rsidRPr="00D20740">
              <w:t>tside the workplace. However, it must be in accord with Industry and Regulatory policy in this regard.</w:t>
            </w:r>
          </w:p>
          <w:p w:rsidR="00000000" w:rsidRPr="00D20740" w:rsidP="00D20740">
            <w:pPr>
              <w:pStyle w:val="BodyText"/>
            </w:pPr>
            <w:r w:rsidRPr="00D20740">
              <w:t>Methods chosen for a particular assessment will be influenced by various factors. These include the extent of the assessment, the most effective location</w:t>
            </w:r>
            <w:r w:rsidRPr="00D20740">
              <w:t>s for the assessment activities to take place, access to physical resources, additional safety measures that may be required and the critical nature of the competencies being assessed.</w:t>
            </w:r>
          </w:p>
          <w:p w:rsidR="00000000" w:rsidRPr="00D20740" w:rsidP="00D20740">
            <w:pPr>
              <w:pStyle w:val="BodyText"/>
            </w:pPr>
            <w:r w:rsidRPr="00D20740">
              <w:t>The critical safety nature of working with electricity, electrical equi</w:t>
            </w:r>
            <w:r w:rsidRPr="00D20740">
              <w:t>pment, gas or any other hazardous substance/material carries risk in deeming a person competent. Hence, sources of evidence need to be 'rich' in nature so as to minimise error in judgment.</w:t>
            </w:r>
          </w:p>
          <w:p w:rsidR="00000000" w:rsidP="00D20740">
            <w:pPr>
              <w:pStyle w:val="BodyText"/>
              <w:rPr>
                <w:lang w:val="en-NZ"/>
              </w:rPr>
            </w:pPr>
            <w:r w:rsidRPr="00D20740">
              <w:t xml:space="preserve">Activities associated with normal every day work have a bearing on </w:t>
            </w:r>
            <w:r w:rsidRPr="00D20740">
              <w:t>the decision as to how much and how detailed the data gathered will contribute to its 'richness'. Some skills are more critical to safety and operational requirements while the same skills may be more or less frequently practiced. These points are raised f</w:t>
            </w:r>
            <w:r w:rsidRPr="00D20740">
              <w:t>or the assessors to consider when choosing an assessment method and developing assessment instruments. Sample assessment instruments are included for Assessors in the Assessment Guidelines of this Training Package.</w:t>
            </w:r>
          </w:p>
        </w:tc>
      </w:tr>
      <w:tr w:rsidTr="004514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8</w:t>
            </w:r>
            <w:r w:rsidRPr="00D20740">
              <w:t>.</w:t>
            </w:r>
            <w:r w:rsidRPr="00D20740">
              <w:rPr>
                <w:rStyle w:val="SpecialBold"/>
              </w:rPr>
              <w:t>2</w:t>
            </w:r>
            <w:r w:rsidRPr="00D20740">
              <w:t xml:space="preserve">) </w:t>
            </w:r>
          </w:p>
          <w:p w:rsidR="00000000" w:rsidP="00D20740">
            <w:pPr>
              <w:pStyle w:val="BodyText"/>
              <w:rPr>
                <w:lang w:val="en-NZ"/>
              </w:rPr>
            </w:pPr>
            <w:r w:rsidRPr="00D20740">
              <w:t>Before the critical aspects of evidence are considered all prerequisites shall be met.</w:t>
            </w:r>
          </w:p>
        </w:tc>
      </w:tr>
      <w:tr w:rsidTr="004514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Evidence for competence in this unit shall be considered holistically.  Each elem</w:t>
            </w:r>
            <w:r w:rsidRPr="00D20740">
              <w:t>ent and associated Performance Criteria shall be demonstrated on at least two occasions in accordance with the "Assessment Guidelines - UEG06".  Evidence shall also comprise:</w:t>
            </w:r>
          </w:p>
          <w:p w:rsidR="00000000" w:rsidP="00D20740">
            <w:pPr>
              <w:pStyle w:val="ListBullet"/>
              <w:rPr>
                <w:lang w:val="en-NZ"/>
              </w:rPr>
            </w:pPr>
            <w:r w:rsidRPr="00D20740">
              <w:t xml:space="preserve">A representative body of Performance Criteria demonstrated within the timeframes </w:t>
            </w:r>
            <w:r w:rsidRPr="00D20740">
              <w:t>typically expected of the discipline, work function and industrial environment. In particular this shall incorporate evidence that shows a candidate is able to:</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20740" w:rsidP="00D20740">
            <w:pPr>
              <w:pStyle w:val="ListBullet2"/>
            </w:pPr>
            <w:r w:rsidRPr="00D20740">
              <w:t xml:space="preserve">Implement Occupational Health and Safety workplace procedures and practices including </w:t>
            </w:r>
            <w:r w:rsidRPr="00D20740">
              <w:t>the use of risk control measures as specified in the Performance Criteria and range</w:t>
            </w:r>
          </w:p>
          <w:p w:rsidR="00000000" w:rsidRPr="00D20740" w:rsidP="00D20740">
            <w:pPr>
              <w:pStyle w:val="ListBullet2"/>
            </w:pPr>
            <w:r w:rsidRPr="00D20740">
              <w:t>Apply sustainable energy principles and practices as specified in the Performance Criteria and range</w:t>
            </w:r>
          </w:p>
          <w:p w:rsidR="00000000" w:rsidRPr="00D20740" w:rsidP="00D20740">
            <w:pPr>
              <w:pStyle w:val="ListBullet2"/>
            </w:pPr>
            <w:r w:rsidRPr="00D20740">
              <w:t xml:space="preserve">Demonstrate an understanding of the essential knowledge and associated </w:t>
            </w:r>
            <w:r w:rsidRPr="00D20740">
              <w:t>skills as described in this unit to such an extent that the learner's performance outcome is reported in accordance with the preferred approach; namely a percentile graded result, where required by the regulated environment</w:t>
            </w:r>
          </w:p>
          <w:p w:rsidR="00000000" w:rsidRPr="00D20740" w:rsidP="00D20740">
            <w:pPr>
              <w:pStyle w:val="ListBullet2"/>
            </w:pPr>
            <w:r w:rsidRPr="00D20740">
              <w:t>Demonstrate an appropriate level</w:t>
            </w:r>
            <w:r w:rsidRPr="00D20740">
              <w:t xml:space="preserve"> of skills enabling employment</w:t>
            </w:r>
          </w:p>
          <w:p w:rsidR="00000000" w:rsidP="00D20740">
            <w:pPr>
              <w:pStyle w:val="ListBullet2"/>
              <w:rPr>
                <w:lang w:val="en-NZ"/>
              </w:rPr>
            </w:pPr>
            <w:r w:rsidRPr="00D20740">
              <w:t>Conduct work observing the relevant Anti Discrimination legislation, regulations, polices and workplace procedures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20740">
            <w:pPr>
              <w:pStyle w:val="ListBullet2"/>
              <w:rPr>
                <w:lang w:val="en-NZ"/>
              </w:rPr>
            </w:pPr>
            <w:r w:rsidRPr="00D20740">
              <w:t>Demonstrate performance across a representative range of contexts from the prescribed items below.</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D20740">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rPr>
                <w:rStyle w:val="SpecialBold"/>
              </w:rPr>
              <w:t>Range of tools</w:t>
            </w:r>
            <w:r w:rsidRPr="00D20740">
              <w:t>/</w:t>
            </w:r>
            <w:r w:rsidRPr="00D20740">
              <w:rPr>
                <w:rStyle w:val="SpecialBold"/>
              </w:rPr>
              <w:t>equipment</w:t>
            </w:r>
            <w:r w:rsidRPr="00D20740">
              <w:t>/</w:t>
            </w:r>
            <w:r w:rsidRPr="00D20740">
              <w:rPr>
                <w:rStyle w:val="SpecialBold"/>
              </w:rPr>
              <w:t>materials</w:t>
            </w:r>
            <w:r w:rsidRPr="00D20740">
              <w:t>/</w:t>
            </w:r>
            <w:r w:rsidRPr="00D20740">
              <w:rPr>
                <w:rStyle w:val="SpecialBold"/>
              </w:rPr>
              <w:t>procedures</w:t>
            </w:r>
            <w:r w:rsidRPr="00D20740">
              <w:t>/</w:t>
            </w:r>
            <w:r w:rsidRPr="00D20740">
              <w:br/>
            </w:r>
            <w:r w:rsidRPr="00D20740">
              <w:rPr>
                <w:rStyle w:val="SpecialBold"/>
              </w:rPr>
              <w:t>workplaces</w:t>
            </w:r>
            <w:r w:rsidRPr="00D20740">
              <w:t>/</w:t>
            </w:r>
            <w:r w:rsidRPr="00D20740">
              <w:rPr>
                <w:rStyle w:val="SpecialBold"/>
              </w:rPr>
              <w:t>other variables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D20740">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rPr>
                <w:rStyle w:val="SpecialBold"/>
              </w:rPr>
              <w:t>Item List</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t>Construction:</w:t>
            </w:r>
          </w:p>
          <w:p w:rsidR="00000000" w:rsidRPr="00D20740" w:rsidP="00D20740">
            <w:pPr>
              <w:pStyle w:val="BodyText"/>
            </w:pPr>
            <w:r w:rsidRPr="00D20740">
              <w:t>Piping fabrication</w:t>
            </w:r>
          </w:p>
          <w:p w:rsidR="00000000" w:rsidRPr="00D20740" w:rsidP="00D20740">
            <w:pPr>
              <w:pStyle w:val="BodyText"/>
            </w:pPr>
            <w:r w:rsidRPr="00D20740">
              <w:t>Understanding material specifications and classifications</w:t>
            </w:r>
          </w:p>
          <w:p w:rsidR="00000000" w:rsidRPr="00D20740" w:rsidP="00D20740">
            <w:pPr>
              <w:pStyle w:val="BodyText"/>
            </w:pPr>
            <w:r w:rsidRPr="00D20740">
              <w:t>Hydrostatic and air pressure testing of piping</w:t>
            </w:r>
          </w:p>
          <w:p w:rsidR="00000000" w:rsidP="00D20740">
            <w:pPr>
              <w:pStyle w:val="BodyText"/>
              <w:rPr>
                <w:lang w:val="en-NZ"/>
              </w:rPr>
            </w:pPr>
            <w:r w:rsidRPr="00D20740">
              <w:t>Knowledge and understanding of welding practices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t>Assembly:</w:t>
            </w:r>
          </w:p>
          <w:p w:rsidR="00000000" w:rsidRPr="00D20740" w:rsidP="00D20740">
            <w:pPr>
              <w:pStyle w:val="BodyText"/>
            </w:pPr>
            <w:r w:rsidRPr="00D20740">
              <w:t>Assembling of flanged pipe work, gasket types and bolting methods</w:t>
            </w:r>
          </w:p>
          <w:p w:rsidR="00000000" w:rsidRPr="00D20740" w:rsidP="00D20740">
            <w:pPr>
              <w:pStyle w:val="BodyText"/>
            </w:pPr>
            <w:r w:rsidRPr="00D20740">
              <w:t>Insulating kits a</w:t>
            </w:r>
            <w:r w:rsidRPr="00D20740">
              <w:t>nd assembly</w:t>
            </w:r>
          </w:p>
          <w:p w:rsidR="00000000" w:rsidRPr="00D20740" w:rsidP="00D20740">
            <w:pPr>
              <w:pStyle w:val="BodyText"/>
            </w:pPr>
            <w:r w:rsidRPr="00D20740">
              <w:t>Tube bending&amp;flaring</w:t>
            </w:r>
          </w:p>
          <w:p w:rsidR="00000000" w:rsidRPr="00D20740" w:rsidP="00D20740">
            <w:pPr>
              <w:pStyle w:val="BodyText"/>
            </w:pPr>
            <w:r w:rsidRPr="00D20740">
              <w:t>Pre-commissioning&amp;setting I/C units</w:t>
            </w:r>
          </w:p>
          <w:p w:rsidR="00000000" w:rsidP="00D20740">
            <w:pPr>
              <w:pStyle w:val="BodyText"/>
              <w:rPr>
                <w:lang w:val="en-NZ"/>
              </w:rPr>
            </w:pPr>
            <w:r w:rsidRPr="00D20740">
              <w:t>Valves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t>Knowledge and understanding of Coating and Protection Systems as per cps 2312.1 - 5</w:t>
            </w:r>
          </w:p>
          <w:p w:rsidR="00000000" w:rsidRPr="00D20740" w:rsidP="00D20740">
            <w:pPr>
              <w:pStyle w:val="BodyText"/>
            </w:pPr>
            <w:r w:rsidRPr="00D20740">
              <w:t>Cleaning and blasting pipe work</w:t>
            </w:r>
          </w:p>
          <w:p w:rsidR="00000000" w:rsidRPr="00D20740" w:rsidP="00D20740">
            <w:pPr>
              <w:pStyle w:val="BodyText"/>
            </w:pPr>
            <w:r w:rsidRPr="00D20740">
              <w:t>Paint specifications</w:t>
            </w:r>
          </w:p>
          <w:p w:rsidR="00000000" w:rsidRPr="00D20740" w:rsidP="00D20740">
            <w:pPr>
              <w:pStyle w:val="BodyText"/>
            </w:pPr>
            <w:r w:rsidRPr="00D20740">
              <w:t>Painting schedule and application</w:t>
            </w:r>
          </w:p>
          <w:p w:rsidR="00000000" w:rsidRPr="00D20740" w:rsidP="00D20740">
            <w:pPr>
              <w:pStyle w:val="BodyText"/>
            </w:pPr>
            <w:r w:rsidRPr="00D20740">
              <w:t>Installation of heat Shrink Sleeves</w:t>
            </w:r>
          </w:p>
          <w:p w:rsidR="00000000" w:rsidP="00D20740">
            <w:pPr>
              <w:pStyle w:val="BodyText"/>
              <w:rPr>
                <w:lang w:val="en-NZ"/>
              </w:rPr>
            </w:pPr>
            <w:r w:rsidRPr="00D20740">
              <w:t>Application of Epoxy Resins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t>Knowledge and understanding of meter bypass operations</w:t>
            </w:r>
          </w:p>
          <w:p w:rsidR="00000000" w:rsidP="00D20740">
            <w:pPr>
              <w:pStyle w:val="BodyText"/>
              <w:rPr>
                <w:lang w:val="en-NZ"/>
              </w:rPr>
            </w:pPr>
            <w:r w:rsidRPr="00D20740">
              <w:t>Changing meters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t>Knowledge of Valve Actuators and Slam Shuts:</w:t>
            </w:r>
          </w:p>
          <w:p w:rsidR="00000000" w:rsidRPr="00D20740" w:rsidP="00D20740">
            <w:pPr>
              <w:pStyle w:val="BodyText"/>
            </w:pPr>
            <w:r w:rsidRPr="00D20740">
              <w:t>Valve Actuator and control systems</w:t>
            </w:r>
          </w:p>
          <w:p w:rsidR="00000000" w:rsidRPr="00D20740" w:rsidP="00D20740">
            <w:pPr>
              <w:pStyle w:val="BodyText"/>
            </w:pPr>
            <w:r w:rsidRPr="00D20740">
              <w:t>Actuator type</w:t>
            </w:r>
          </w:p>
          <w:p w:rsidR="00000000" w:rsidP="00D20740">
            <w:pPr>
              <w:pStyle w:val="BodyText"/>
              <w:rPr>
                <w:lang w:val="en-NZ"/>
              </w:rPr>
            </w:pPr>
            <w:r w:rsidRPr="00D20740">
              <w:t>Testing and Setting of Slam Shut systems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F</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At least 2</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Pre-commissioning of completed meter/regulator assemblies.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At least 2</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t>Knowledge of pressure regulators:</w:t>
            </w:r>
          </w:p>
          <w:p w:rsidR="00000000" w:rsidRPr="00D20740" w:rsidP="00D20740">
            <w:pPr>
              <w:pStyle w:val="BodyText"/>
            </w:pPr>
            <w:r w:rsidRPr="00D20740">
              <w:t>Sleeve</w:t>
            </w:r>
          </w:p>
          <w:p w:rsidR="00000000" w:rsidRPr="00D20740" w:rsidP="00D20740">
            <w:pPr>
              <w:pStyle w:val="BodyText"/>
            </w:pPr>
            <w:r w:rsidRPr="00D20740">
              <w:t>Diaphragm</w:t>
            </w:r>
          </w:p>
          <w:p w:rsidR="00000000" w:rsidRPr="00D20740" w:rsidP="00D20740">
            <w:pPr>
              <w:pStyle w:val="BodyText"/>
            </w:pPr>
            <w:r w:rsidRPr="00D20740">
              <w:t>Hydraulic</w:t>
            </w:r>
          </w:p>
          <w:p w:rsidR="00000000" w:rsidP="00D20740">
            <w:pPr>
              <w:pStyle w:val="BodyText"/>
              <w:rPr>
                <w:lang w:val="en-NZ"/>
              </w:rPr>
            </w:pPr>
            <w:r w:rsidRPr="00D20740">
              <w:t>Auxiliary Control Systems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H</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t>Knowledge of Meter types:</w:t>
            </w:r>
          </w:p>
          <w:p w:rsidR="00000000" w:rsidRPr="00D20740" w:rsidP="00D20740">
            <w:pPr>
              <w:pStyle w:val="BodyText"/>
            </w:pPr>
            <w:r w:rsidRPr="00D20740">
              <w:t>Diaphragm</w:t>
            </w:r>
          </w:p>
          <w:p w:rsidR="00000000" w:rsidRPr="00D20740" w:rsidP="00D20740">
            <w:pPr>
              <w:pStyle w:val="BodyText"/>
            </w:pPr>
            <w:r w:rsidRPr="00D20740">
              <w:t>Rotary</w:t>
            </w:r>
          </w:p>
          <w:p w:rsidR="00000000" w:rsidP="00D20740">
            <w:pPr>
              <w:pStyle w:val="BodyText"/>
              <w:rPr>
                <w:lang w:val="en-NZ"/>
              </w:rPr>
            </w:pPr>
            <w:r w:rsidRPr="00D20740">
              <w:t>Turbine</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I</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At least 2</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t>Paper work:</w:t>
            </w:r>
          </w:p>
          <w:p w:rsidR="00000000" w:rsidRPr="00D20740" w:rsidP="00D20740">
            <w:pPr>
              <w:pStyle w:val="BodyText"/>
            </w:pPr>
            <w:r w:rsidRPr="00D20740">
              <w:t>Risk assessments</w:t>
            </w:r>
          </w:p>
          <w:p w:rsidR="00000000" w:rsidRPr="00D20740" w:rsidP="00D20740">
            <w:pPr>
              <w:pStyle w:val="BodyText"/>
            </w:pPr>
            <w:r w:rsidRPr="00D20740">
              <w:t>Time sheets</w:t>
            </w:r>
          </w:p>
          <w:p w:rsidR="00000000" w:rsidRPr="00D20740" w:rsidP="00D20740">
            <w:pPr>
              <w:pStyle w:val="BodyText"/>
            </w:pPr>
            <w:r w:rsidRPr="00D20740">
              <w:t>Industrial/Commercial consumer information card</w:t>
            </w:r>
          </w:p>
          <w:p w:rsidR="00000000" w:rsidRPr="00D20740" w:rsidP="00D20740">
            <w:pPr>
              <w:pStyle w:val="BodyText"/>
            </w:pPr>
            <w:r w:rsidRPr="00D20740">
              <w:t>Workshop unit construction checklist</w:t>
            </w:r>
          </w:p>
          <w:p w:rsidR="00000000" w:rsidRPr="00D20740" w:rsidP="00D20740">
            <w:pPr>
              <w:pStyle w:val="BodyText"/>
            </w:pPr>
            <w:r w:rsidRPr="00D20740">
              <w:t>Site installation and commissioning checklist</w:t>
            </w:r>
          </w:p>
          <w:p w:rsidR="00000000" w:rsidRPr="00D20740" w:rsidP="00D20740">
            <w:pPr>
              <w:pStyle w:val="BodyText"/>
            </w:pPr>
            <w:r w:rsidRPr="00D20740">
              <w:t>Meter bypass forms</w:t>
            </w:r>
          </w:p>
          <w:p w:rsidR="00000000" w:rsidRPr="00D20740" w:rsidP="00D20740">
            <w:pPr>
              <w:pStyle w:val="BodyText"/>
            </w:pPr>
            <w:r w:rsidRPr="00D20740">
              <w:t>Service orders</w:t>
            </w:r>
          </w:p>
          <w:p w:rsidR="00000000" w:rsidP="00D20740">
            <w:pPr>
              <w:pStyle w:val="BodyText"/>
              <w:rPr>
                <w:lang w:val="en-NZ"/>
              </w:rPr>
            </w:pPr>
            <w:r w:rsidRPr="00D20740">
              <w:t>Filling in pressure recording charts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J</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 xml:space="preserve">Deal with an unplanned event by drawing on essential knowledge and associated skills to provide appropriate solutions incorporated in the holistic assessment with the above listed items </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Cont</w:t>
            </w:r>
            <w:r w:rsidRPr="00D20740">
              <w:rPr>
                <w:rStyle w:val="SpecialBold"/>
              </w:rPr>
              <w: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8</w:t>
            </w:r>
            <w:r w:rsidRPr="00D20740">
              <w:t>.</w:t>
            </w:r>
            <w:r w:rsidRPr="00D20740">
              <w:rPr>
                <w:rStyle w:val="SpecialBold"/>
              </w:rPr>
              <w:t>3</w:t>
            </w:r>
            <w:r w:rsidRPr="00D20740">
              <w:t xml:space="preserve">) </w:t>
            </w:r>
          </w:p>
          <w:p w:rsidR="00000000" w:rsidRPr="00D20740" w:rsidP="00D20740">
            <w:pPr>
              <w:pStyle w:val="BodyText"/>
            </w:pPr>
            <w:r w:rsidRPr="00D20740">
              <w:t>This unit should be assessed as it relates to normal work practice using procedures, information and resources typical of a workplace. This should include:</w:t>
            </w:r>
          </w:p>
          <w:p w:rsidR="00000000" w:rsidRPr="00D20740" w:rsidP="00D20740">
            <w:pPr>
              <w:pStyle w:val="ListBullet"/>
            </w:pPr>
            <w:r w:rsidRPr="00D20740">
              <w:t>OHS policy and work procedures and instructions.</w:t>
            </w:r>
          </w:p>
          <w:p w:rsidR="00000000" w:rsidRPr="00D20740" w:rsidP="00D20740">
            <w:pPr>
              <w:pStyle w:val="ListBullet"/>
            </w:pPr>
            <w:r w:rsidRPr="00D20740">
              <w:t>Suitable work environment, facilities, equipment and materials to undertake actual work as prescribed by this Competency Standard Unit.</w:t>
            </w:r>
          </w:p>
          <w:p w:rsidR="00000000" w:rsidRPr="00D20740" w:rsidP="00D20740">
            <w:pPr>
              <w:pStyle w:val="ListBullet"/>
            </w:pPr>
            <w:r w:rsidRPr="00D20740">
              <w:t>Appropriate environmental regulation and work practices.</w:t>
            </w:r>
          </w:p>
          <w:p w:rsidR="00000000" w:rsidP="00D20740">
            <w:pPr>
              <w:pStyle w:val="ListBullet"/>
              <w:rPr>
                <w:lang w:val="en-NZ"/>
              </w:rPr>
            </w:pPr>
            <w:r w:rsidRPr="00D20740">
              <w:t>Appropriate organisational requirements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In addition to the</w:t>
            </w:r>
            <w:r w:rsidRPr="00D20740">
              <w:t xml:space="preserve"> resources listed above, in Context of and specific resources for assessment, evidence should show demonstrated competency in installing complex flow control, measuring and regulating devices for gas pressure control.</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Assessment of this competency mus</w:t>
            </w:r>
            <w:r w:rsidRPr="00D20740">
              <w:t>t also be undertaken in either an actual workplace or under a simulated work environment. Assessment must also integrate the key competencies.</w:t>
            </w:r>
          </w:p>
        </w:tc>
      </w:tr>
      <w:tr w:rsidTr="004514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8</w:t>
            </w:r>
            <w:r w:rsidRPr="00D20740">
              <w:t>.</w:t>
            </w:r>
            <w:r w:rsidRPr="00D20740">
              <w:rPr>
                <w:rStyle w:val="SpecialBold"/>
              </w:rPr>
              <w:t>4</w:t>
            </w:r>
            <w:r w:rsidRPr="00D20740">
              <w:t xml:space="preserve">) </w:t>
            </w:r>
          </w:p>
          <w:p w:rsidR="00000000" w:rsidRPr="00D20740" w:rsidP="00D20740">
            <w:pPr>
              <w:pStyle w:val="BodyText"/>
            </w:pPr>
            <w:r w:rsidRPr="00D20740">
              <w:t>This Competency Standard Unit shall be assessed by methods given in Volume 1, Part 3 "Assessment Guidelines".</w:t>
            </w:r>
          </w:p>
          <w:p w:rsidR="00000000" w:rsidRPr="00D20740" w:rsidP="00D20740">
            <w:pPr>
              <w:pStyle w:val="BodyText"/>
            </w:pPr>
            <w:r w:rsidRPr="00D20740">
              <w:rPr>
                <w:rStyle w:val="SpecialBold"/>
              </w:rPr>
              <w:t>Note</w:t>
            </w:r>
            <w:r w:rsidRPr="00D20740">
              <w:t xml:space="preserve">: Competent performance with inherent safe working practices is expected in the Industry to which this Competency Standard Unit applies. This </w:t>
            </w:r>
            <w:r w:rsidRPr="00D20740">
              <w:t>requires that the specified Essential Knowledge and Associated Skills are assessed in a structured environment which is primarily intended for learning/assessment and incorporates all necessary equipment and facilities for learners to develop and demonstra</w:t>
            </w:r>
            <w:r w:rsidRPr="00D20740">
              <w:t>te the essential knowledge and associated skills described in this unit.</w:t>
            </w:r>
          </w:p>
        </w:tc>
      </w:tr>
    </w:tbl>
    <w:p w:rsidR="00000000" w:rsidRPr="00D20740" w:rsidP="00D20740">
      <w:pPr>
        <w:pStyle w:val="BodyText"/>
      </w:pPr>
    </w:p>
    <w:tbl>
      <w:tblPr>
        <w:tblW w:w="0" w:type="auto"/>
        <w:tblLayout w:type="fixed"/>
        <w:tblCellMar>
          <w:left w:w="62" w:type="dxa"/>
          <w:right w:w="62" w:type="dxa"/>
        </w:tblCellMar>
        <w:tblLook w:val="0000"/>
      </w:tblPr>
      <w:tblGrid>
        <w:gridCol w:w="326"/>
        <w:gridCol w:w="1834"/>
        <w:gridCol w:w="1800"/>
        <w:gridCol w:w="2937"/>
        <w:gridCol w:w="1563"/>
      </w:tblGrid>
      <w:tr w:rsidTr="0045147A">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8</w:t>
            </w:r>
            <w:r w:rsidRPr="00D20740">
              <w:t>.</w:t>
            </w:r>
            <w:r w:rsidRPr="00D20740">
              <w:rPr>
                <w:rStyle w:val="SpecialBold"/>
              </w:rPr>
              <w:t>5</w:t>
            </w:r>
            <w:r w:rsidRPr="00D20740">
              <w:t xml:space="preserve">) </w:t>
            </w:r>
          </w:p>
        </w:tc>
      </w:tr>
      <w:tr w:rsidTr="0045147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There are no recommended concurrent assessments with this unit, however in som</w:t>
            </w:r>
            <w:r w:rsidRPr="00D20740">
              <w:t>e cases efficiencies may be gained in terms of learning and assessment effort being concurrently managed with allied competency standard units where listed.</w:t>
            </w:r>
          </w:p>
        </w:tc>
      </w:tr>
      <w:tr w:rsidTr="0045147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UEGNSG102A</w:t>
            </w:r>
          </w:p>
        </w:tc>
        <w:tc>
          <w:tcPr>
            <w:tcW w:w="450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Carry out work activities in a utilities industry work environment</w:t>
            </w:r>
          </w:p>
        </w:tc>
      </w:tr>
      <w:tr w:rsidTr="004514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UEGNSG103A</w:t>
            </w:r>
          </w:p>
        </w:tc>
        <w:tc>
          <w:tcPr>
            <w:tcW w:w="450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Comply with workplace OHS procedures and practices</w:t>
            </w:r>
          </w:p>
        </w:tc>
      </w:tr>
      <w:tr w:rsidTr="004514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UEGNSG104A</w:t>
            </w:r>
          </w:p>
        </w:tc>
        <w:tc>
          <w:tcPr>
            <w:tcW w:w="450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Comply with environmental policies and procedures</w:t>
            </w:r>
          </w:p>
        </w:tc>
      </w:tr>
      <w:tr w:rsidTr="004514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UEGNSG105A</w:t>
            </w:r>
          </w:p>
        </w:tc>
        <w:tc>
          <w:tcPr>
            <w:tcW w:w="450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Establish the work site</w:t>
            </w:r>
          </w:p>
        </w:tc>
      </w:tr>
      <w:tr w:rsidTr="004514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BSBCMN302A</w:t>
            </w:r>
          </w:p>
        </w:tc>
        <w:tc>
          <w:tcPr>
            <w:tcW w:w="450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Organise personal work priorities and professional development</w:t>
            </w:r>
          </w:p>
        </w:tc>
      </w:tr>
      <w:tr w:rsidTr="004514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BSBFLM312A</w:t>
            </w:r>
          </w:p>
        </w:tc>
        <w:tc>
          <w:tcPr>
            <w:tcW w:w="450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Contribute to team effectiveness</w:t>
            </w:r>
          </w:p>
        </w:tc>
      </w:tr>
      <w:tr w:rsidTr="004514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BSBFLM303A</w:t>
            </w:r>
          </w:p>
        </w:tc>
        <w:tc>
          <w:tcPr>
            <w:tcW w:w="450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Contribute to effective workplace relationships</w:t>
            </w:r>
          </w:p>
        </w:tc>
      </w:tr>
      <w:tr w:rsidTr="004514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BSBCMN311A</w:t>
            </w:r>
          </w:p>
        </w:tc>
        <w:tc>
          <w:tcPr>
            <w:tcW w:w="4500" w:type="dxa"/>
            <w:gridSpan w:val="2"/>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Maintain workplace safety</w:t>
            </w:r>
          </w:p>
        </w:tc>
      </w:tr>
      <w:tr w:rsidTr="0045147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20740" w:rsidP="00D20740">
            <w:pPr>
              <w:pStyle w:val="BodyText"/>
            </w:pPr>
            <w:r w:rsidRPr="00D20740">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8</w:t>
            </w:r>
            <w:r w:rsidRPr="00D20740">
              <w:t>.</w:t>
            </w:r>
            <w:r w:rsidRPr="00D20740">
              <w:rPr>
                <w:rStyle w:val="SpecialBold"/>
              </w:rPr>
              <w:t>6</w:t>
            </w:r>
            <w:r w:rsidRPr="00D20740">
              <w:t xml:space="preserve">) </w:t>
            </w:r>
          </w:p>
          <w:p w:rsidR="00000000" w:rsidP="00D20740">
            <w:pPr>
              <w:pStyle w:val="BodyText"/>
              <w:rPr>
                <w:lang w:val="en-NZ"/>
              </w:rPr>
            </w:pPr>
            <w:r w:rsidRPr="00D20740">
              <w:t>Evidence that particular key competencies have been achieved within this Competency Standard Unit is in the context of the following Performance Criteria of evidence. See Volume 2, Part 4 for an explanation of Key competencies and levels of this Training P</w:t>
            </w:r>
            <w:r w:rsidRPr="00D20740">
              <w:t>ackage.</w:t>
            </w:r>
          </w:p>
        </w:tc>
      </w:tr>
      <w:tr w:rsidTr="0045147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rPr>
                <w:rStyle w:val="SpecialBold"/>
              </w:rPr>
              <w:t>Performance Level</w:t>
            </w:r>
          </w:p>
        </w:tc>
      </w:tr>
      <w:tr w:rsidTr="004514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p>
          <w:p w:rsidR="00000000" w:rsidP="00D20740">
            <w:pPr>
              <w:pStyle w:val="BodyText"/>
              <w:rPr>
                <w:lang w:val="en-NZ"/>
              </w:rPr>
            </w:pPr>
            <w:r w:rsidRPr="00D20740">
              <w:t>3</w:t>
            </w:r>
          </w:p>
        </w:tc>
      </w:tr>
      <w:tr w:rsidTr="004514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1.8; 2.2;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p>
        </w:tc>
      </w:tr>
      <w:tr w:rsidTr="004514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p>
          <w:p w:rsidR="00000000" w:rsidP="00D20740">
            <w:pPr>
              <w:pStyle w:val="BodyText"/>
              <w:rPr>
                <w:lang w:val="en-NZ"/>
              </w:rPr>
            </w:pPr>
            <w:r w:rsidRPr="00D20740">
              <w:t>2</w:t>
            </w:r>
          </w:p>
        </w:tc>
      </w:tr>
      <w:tr w:rsidTr="004514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p>
        </w:tc>
      </w:tr>
      <w:tr w:rsidTr="004514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p>
          <w:p w:rsidR="00000000" w:rsidP="00D20740">
            <w:pPr>
              <w:pStyle w:val="BodyText"/>
              <w:rPr>
                <w:lang w:val="en-NZ"/>
              </w:rPr>
            </w:pPr>
            <w:r w:rsidRPr="00D20740">
              <w:t>2</w:t>
            </w:r>
          </w:p>
        </w:tc>
      </w:tr>
      <w:tr w:rsidTr="004514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1.4;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p>
        </w:tc>
      </w:tr>
      <w:tr w:rsidTr="004514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p>
          <w:p w:rsidR="00000000" w:rsidP="00D20740">
            <w:pPr>
              <w:pStyle w:val="BodyText"/>
              <w:rPr>
                <w:lang w:val="en-NZ"/>
              </w:rPr>
            </w:pPr>
            <w:r w:rsidRPr="00D20740">
              <w:t>2</w:t>
            </w:r>
          </w:p>
        </w:tc>
      </w:tr>
      <w:tr w:rsidTr="004514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p>
        </w:tc>
      </w:tr>
      <w:tr w:rsidTr="004514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p>
          <w:p w:rsidR="00000000" w:rsidP="00D20740">
            <w:pPr>
              <w:pStyle w:val="BodyText"/>
              <w:rPr>
                <w:lang w:val="en-NZ"/>
              </w:rPr>
            </w:pPr>
            <w:r w:rsidRPr="00D20740">
              <w:t>N/A</w:t>
            </w:r>
          </w:p>
        </w:tc>
      </w:tr>
      <w:tr w:rsidTr="004514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p>
        </w:tc>
      </w:tr>
      <w:tr w:rsidTr="004514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p>
          <w:p w:rsidR="00000000" w:rsidP="00D20740">
            <w:pPr>
              <w:pStyle w:val="BodyText"/>
              <w:rPr>
                <w:lang w:val="en-NZ"/>
              </w:rPr>
            </w:pPr>
            <w:r w:rsidRPr="00D20740">
              <w:t>2</w:t>
            </w:r>
          </w:p>
        </w:tc>
      </w:tr>
      <w:tr w:rsidTr="004514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p>
        </w:tc>
      </w:tr>
      <w:tr w:rsidTr="004514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p>
          <w:p w:rsidR="00000000" w:rsidP="00D20740">
            <w:pPr>
              <w:pStyle w:val="BodyText"/>
              <w:rPr>
                <w:lang w:val="en-NZ"/>
              </w:rPr>
            </w:pPr>
            <w:r w:rsidRPr="00D20740">
              <w:t>N/A</w:t>
            </w:r>
          </w:p>
        </w:tc>
      </w:tr>
      <w:tr w:rsidTr="0045147A">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p>
        </w:tc>
      </w:tr>
      <w:tr w:rsidTr="0045147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20740">
            <w:pPr>
              <w:pStyle w:val="BodyText"/>
              <w:rPr>
                <w:lang w:val="en-NZ"/>
              </w:rPr>
            </w:pPr>
          </w:p>
        </w:tc>
      </w:tr>
      <w:tr w:rsidTr="0045147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20740" w:rsidP="00D20740">
            <w:pPr>
              <w:pStyle w:val="BodyText"/>
            </w:pPr>
            <w:r w:rsidRPr="00D20740">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D20740" w:rsidP="00D20740">
            <w:pPr>
              <w:pStyle w:val="BodyText"/>
            </w:pPr>
            <w:r w:rsidRPr="00D20740">
              <w:rPr>
                <w:rStyle w:val="SpecialBold"/>
              </w:rPr>
              <w:t>8</w:t>
            </w:r>
            <w:r w:rsidRPr="00D20740">
              <w:t>.</w:t>
            </w:r>
            <w:r w:rsidRPr="00D20740">
              <w:rPr>
                <w:rStyle w:val="SpecialBold"/>
              </w:rPr>
              <w:t>7</w:t>
            </w:r>
            <w:r w:rsidRPr="00D20740">
              <w:t xml:space="preserve">) </w:t>
            </w:r>
          </w:p>
          <w:p w:rsidR="00000000" w:rsidP="00D20740">
            <w:pPr>
              <w:pStyle w:val="BodyText"/>
              <w:rPr>
                <w:lang w:val="en-NZ"/>
              </w:rPr>
            </w:pPr>
            <w:r w:rsidRPr="00D20740">
              <w:t xml:space="preserve">Evidence that competency in this unit incorporates skills enabling employment is in the context of the following performance. See Volume 2, Part 5 for definitions and an explanation of skills enabling employment. </w:t>
            </w:r>
          </w:p>
        </w:tc>
      </w:tr>
      <w:tr w:rsidTr="0045147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rPr>
                <w:rStyle w:val="SpecialBold"/>
              </w:rPr>
              <w:t>Example of Appli</w:t>
            </w:r>
            <w:r w:rsidRPr="00D20740">
              <w:rPr>
                <w:rStyle w:val="SpecialBold"/>
              </w:rPr>
              <w:t>cation</w:t>
            </w:r>
          </w:p>
        </w:tc>
      </w:tr>
      <w:tr w:rsidTr="004514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r>
      <w:tr w:rsidTr="004514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All</w:t>
            </w:r>
          </w:p>
        </w:tc>
      </w:tr>
      <w:tr w:rsidTr="004514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r>
      <w:tr w:rsidTr="004514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2.6; 2.7</w:t>
            </w:r>
          </w:p>
        </w:tc>
      </w:tr>
      <w:tr w:rsidTr="004514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r>
      <w:tr w:rsidTr="004514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3.3</w:t>
            </w:r>
          </w:p>
        </w:tc>
      </w:tr>
      <w:tr w:rsidTr="004514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r>
      <w:tr w:rsidTr="004514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1.4; 1.8</w:t>
            </w:r>
          </w:p>
        </w:tc>
      </w:tr>
      <w:tr w:rsidTr="004514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r>
      <w:tr w:rsidTr="004514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1.4; 1.5; 1.7; 1.8</w:t>
            </w:r>
          </w:p>
        </w:tc>
      </w:tr>
      <w:tr w:rsidTr="004514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40">
            <w:pPr>
              <w:pStyle w:val="BodyText"/>
              <w:rPr>
                <w:lang w:val="en-NZ"/>
              </w:rPr>
            </w:pPr>
            <w:r w:rsidRPr="00D20740">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740">
            <w:pPr>
              <w:pStyle w:val="BodyText"/>
              <w:rPr>
                <w:lang w:val="en-NZ"/>
              </w:rPr>
            </w:pPr>
            <w:r w:rsidRPr="00D20740">
              <w:t>Refer to the following Performance Criteria for examples of application:</w:t>
            </w:r>
          </w:p>
        </w:tc>
      </w:tr>
      <w:tr w:rsidTr="004514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20740" w:rsidP="00D20740">
            <w:pPr>
              <w:pStyle w:val="BodyText"/>
            </w:pPr>
            <w:r w:rsidRPr="00D20740">
              <w:t>2.6</w:t>
            </w:r>
          </w:p>
        </w:tc>
      </w:tr>
    </w:tbl>
    <w:p w:rsidR="0045147A" w:rsidP="00D20740">
      <w:pPr>
        <w:pStyle w:val="BodyText"/>
      </w:pPr>
    </w:p>
    <w:p w:rsidR="0045147A" w:rsidP="00D20740">
      <w:pPr>
        <w:pStyle w:val="BodyText"/>
      </w:pPr>
    </w:p>
    <w:p w:rsidR="00000000" w:rsidRPr="00D20740" w:rsidP="00D20740">
      <w:pPr>
        <w:pStyle w:val="Heading1"/>
      </w:pPr>
      <w:bookmarkStart w:id="11" w:name="O_255831"/>
      <w:bookmarkEnd w:id="11"/>
      <w:r w:rsidRPr="00D20740">
        <w:t>Range Statement</w:t>
      </w:r>
    </w:p>
    <w:tbl>
      <w:tblPr>
        <w:tblW w:w="0" w:type="auto"/>
        <w:tblLayout w:type="fixed"/>
        <w:tblCellMar>
          <w:left w:w="62" w:type="dxa"/>
          <w:right w:w="62" w:type="dxa"/>
        </w:tblCellMar>
        <w:tblLook w:val="0000"/>
      </w:tblPr>
      <w:tblGrid>
        <w:gridCol w:w="8460"/>
      </w:tblGrid>
      <w:tr w:rsidTr="004514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RANGE STATEMENT</w:t>
            </w:r>
          </w:p>
        </w:tc>
      </w:tr>
      <w:tr w:rsidTr="004514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7</w:t>
            </w:r>
            <w:r w:rsidRPr="00D20740">
              <w:t xml:space="preserve">) This relates to the Unit of Competency as a whole providing the range of contexts and conditions </w:t>
            </w:r>
            <w:r w:rsidRPr="00D20740">
              <w:t>to which the Performance Criteria apply. It allows for different work environments and situations that will affect performance.</w:t>
            </w:r>
          </w:p>
        </w:tc>
      </w:tr>
      <w:tr w:rsidTr="004514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This Competency Standard Unit shall/may be demonstrated in relation to installing complex flow control, measuring and regulatin</w:t>
            </w:r>
            <w:r w:rsidRPr="00D20740">
              <w:t>g devices for gas pressure control.</w:t>
            </w:r>
          </w:p>
          <w:p w:rsidR="00000000" w:rsidRPr="00D20740" w:rsidP="00D20740">
            <w:pPr>
              <w:pStyle w:val="BodyText"/>
            </w:pPr>
            <w:r w:rsidRPr="00D20740">
              <w:t>The following constants and variables included in the element/Performance Criteria in this unit are fully described in the Definitions Section of this volume and form an integral part of the Range Statement of this unit:</w:t>
            </w:r>
          </w:p>
          <w:p w:rsidR="00000000" w:rsidRPr="00D20740" w:rsidP="00D20740">
            <w:pPr>
              <w:pStyle w:val="BodyText"/>
            </w:pPr>
            <w:r w:rsidRPr="00D20740">
              <w:t>Flow control, metering, and regulating devices</w:t>
            </w:r>
          </w:p>
          <w:p w:rsidR="00000000" w:rsidRPr="00D20740" w:rsidP="00D20740">
            <w:pPr>
              <w:pStyle w:val="BodyText"/>
            </w:pPr>
            <w:r w:rsidRPr="00D20740">
              <w:t>Recording and reporting</w:t>
            </w:r>
          </w:p>
          <w:p w:rsidR="00000000" w:rsidRPr="00D20740" w:rsidP="00D20740">
            <w:pPr>
              <w:pStyle w:val="BodyText"/>
            </w:pPr>
            <w:r w:rsidRPr="00D20740">
              <w:t>Organisational and statutory requirements</w:t>
            </w:r>
          </w:p>
        </w:tc>
      </w:tr>
    </w:tbl>
    <w:p w:rsidR="0045147A" w:rsidP="00D20740">
      <w:pPr>
        <w:pStyle w:val="BodyText"/>
      </w:pPr>
    </w:p>
    <w:p w:rsidR="0045147A" w:rsidP="00D20740">
      <w:pPr>
        <w:pStyle w:val="BodyText"/>
      </w:pPr>
    </w:p>
    <w:p w:rsidR="00000000" w:rsidRPr="00D20740" w:rsidP="00D20740">
      <w:pPr>
        <w:pStyle w:val="Heading1"/>
      </w:pPr>
      <w:bookmarkStart w:id="12" w:name="O_296844"/>
      <w:bookmarkEnd w:id="12"/>
      <w:r w:rsidRPr="00D20740">
        <w:t>Unit Sector(s)</w:t>
      </w:r>
    </w:p>
    <w:p w:rsidR="00000000" w:rsidRPr="00D20740" w:rsidP="00D20740">
      <w:pPr>
        <w:pStyle w:val="BodyText"/>
      </w:pPr>
      <w:r w:rsidRPr="00D20740">
        <w:t>Not Applicable</w:t>
      </w:r>
    </w:p>
    <w:p w:rsidR="00000000" w:rsidRPr="00D20740" w:rsidP="00D20740">
      <w:pPr>
        <w:pStyle w:val="AllowPageBreak"/>
      </w:pPr>
    </w:p>
    <w:p w:rsidR="00000000" w:rsidRPr="00D20740" w:rsidP="00D20740">
      <w:pPr>
        <w:pStyle w:val="Heading1"/>
      </w:pPr>
      <w:bookmarkStart w:id="13" w:name="O_229722"/>
      <w:bookmarkEnd w:id="13"/>
      <w:r w:rsidRPr="00D2074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2</w:t>
            </w:r>
            <w:r w:rsidRPr="00D20740">
              <w:t>.</w:t>
            </w:r>
            <w:r w:rsidRPr="00D20740">
              <w:rPr>
                <w:rStyle w:val="SpecialBold"/>
              </w:rPr>
              <w:t>2</w:t>
            </w:r>
            <w:r w:rsidRPr="00D20740">
              <w:t xml:space="preserve">) </w:t>
            </w:r>
            <w:r w:rsidRPr="00D20740">
              <w:rPr>
                <w:rStyle w:val="SpecialBold"/>
              </w:rPr>
              <w:t>L</w:t>
            </w:r>
            <w:r w:rsidRPr="00D20740">
              <w:t>&amp;</w:t>
            </w:r>
            <w:r w:rsidRPr="00D20740">
              <w:rPr>
                <w:rStyle w:val="SpecialBold"/>
              </w:rPr>
              <w:t>N</w:t>
            </w:r>
            <w:r w:rsidRPr="00D20740">
              <w:t>:</w:t>
            </w:r>
          </w:p>
          <w:p w:rsidR="00000000" w:rsidP="00D20740">
            <w:pPr>
              <w:pStyle w:val="BodyText"/>
              <w:rPr>
                <w:lang w:val="en-NZ"/>
              </w:rPr>
            </w:pPr>
            <w:r w:rsidRPr="00D20740">
              <w:t>Participants are best equipped to achieve this unit if they have reading, writing and numeracy skills indicated by the following scales. Description of each scale is given in Volume 2, Part 3 "Literacy and Numeracy"</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Reading</w:t>
            </w:r>
          </w:p>
        </w:tc>
        <w:tc>
          <w:tcPr>
            <w:tcW w:w="805"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w:t>
            </w:r>
          </w:p>
        </w:tc>
        <w:tc>
          <w:tcPr>
            <w:tcW w:w="1184"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Writing</w:t>
            </w:r>
          </w:p>
        </w:tc>
        <w:tc>
          <w:tcPr>
            <w:tcW w:w="805"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3</w:t>
            </w:r>
          </w:p>
        </w:tc>
        <w:tc>
          <w:tcPr>
            <w:tcW w:w="1172"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t>Numeracy</w:t>
            </w:r>
          </w:p>
        </w:tc>
        <w:tc>
          <w:tcPr>
            <w:tcW w:w="805"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3</w:t>
            </w:r>
          </w:p>
        </w:tc>
      </w:tr>
    </w:tbl>
    <w:p w:rsidR="0045147A" w:rsidP="00D20740">
      <w:pPr>
        <w:pStyle w:val="BodyText"/>
      </w:pPr>
    </w:p>
    <w:p w:rsidR="0045147A" w:rsidP="00D20740">
      <w:pPr>
        <w:pStyle w:val="BodyText"/>
      </w:pPr>
    </w:p>
    <w:p w:rsidR="00000000" w:rsidRPr="00D20740" w:rsidP="00D20740">
      <w:pPr>
        <w:pStyle w:val="Heading1"/>
      </w:pPr>
      <w:bookmarkStart w:id="14" w:name="O_229725"/>
      <w:bookmarkEnd w:id="14"/>
      <w:r w:rsidRPr="00D20740">
        <w:t>Competency Field</w:t>
      </w:r>
    </w:p>
    <w:tbl>
      <w:tblPr>
        <w:tblW w:w="0" w:type="auto"/>
        <w:tblLayout w:type="fixed"/>
        <w:tblCellMar>
          <w:left w:w="62" w:type="dxa"/>
          <w:right w:w="62" w:type="dxa"/>
        </w:tblCellMar>
        <w:tblLook w:val="0000"/>
      </w:tblPr>
      <w:tblGrid>
        <w:gridCol w:w="2700"/>
        <w:gridCol w:w="5760"/>
      </w:tblGrid>
      <w:tr w:rsidTr="004514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20740">
            <w:pPr>
              <w:pStyle w:val="BodyText"/>
              <w:rPr>
                <w:lang w:val="en-NZ"/>
              </w:rPr>
            </w:pPr>
            <w:r w:rsidRPr="00D20740">
              <w:rPr>
                <w:rStyle w:val="SpecialBold"/>
              </w:rPr>
              <w:t>4</w:t>
            </w:r>
            <w:r w:rsidRPr="00D20740">
              <w:t xml:space="preserve">) </w:t>
            </w:r>
          </w:p>
        </w:tc>
      </w:tr>
      <w:tr w:rsidTr="004514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0740" w:rsidP="00D20740">
            <w:pPr>
              <w:pStyle w:val="BodyText"/>
            </w:pPr>
            <w:r w:rsidRPr="00D20740">
              <w:t>Systems operations.</w:t>
            </w:r>
          </w:p>
        </w:tc>
      </w:tr>
    </w:tbl>
    <w:p w:rsidR="0045147A" w:rsidP="00D20740">
      <w:pPr>
        <w:pStyle w:val="BodyText"/>
      </w:pPr>
    </w:p>
    <w:p w:rsidR="0045147A" w:rsidP="00D20740">
      <w:pPr>
        <w:pStyle w:val="BodyText"/>
      </w:pPr>
    </w:p>
    <w:p w:rsidR="00000000" w:rsidRPr="00D20740" w:rsidP="00D20740"/>
    <w:sectPr w:rsidSect="00D207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47A" w:rsidP="004514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7A" w:rsidP="00D207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5147A" w:rsidP="00D207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5147A" w:rsidP="00D207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40" w:rsidRPr="0045147A" w:rsidP="004514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7A" w:rsidRPr="002D2AF8" w:rsidP="00D20740">
    <w:pPr>
      <w:pStyle w:val="Header"/>
      <w:framePr w:wrap="around"/>
    </w:pPr>
    <w:r>
      <w:fldChar w:fldCharType="begin"/>
    </w:r>
    <w:r>
      <w:instrText xml:space="preserve"> TITLE   \* MERGEFORMAT </w:instrText>
    </w:r>
    <w:r>
      <w:fldChar w:fldCharType="separate"/>
    </w:r>
    <w:r>
      <w:t>UEGNSG802A Install complex flow control, measuring and regulating devices for gas pressure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5147A" w:rsidP="00D207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EF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C8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16D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740"/>
    <w:pPr>
      <w:spacing w:before="360" w:after="60"/>
      <w:outlineLvl w:val="0"/>
    </w:pPr>
    <w:rPr>
      <w:sz w:val="32"/>
    </w:rPr>
  </w:style>
  <w:style w:type="paragraph" w:styleId="Heading2">
    <w:name w:val="heading 2"/>
    <w:basedOn w:val="HeadingBase"/>
    <w:next w:val="BodyText"/>
    <w:link w:val="Heading2Char"/>
    <w:qFormat/>
    <w:rsid w:val="00D20740"/>
    <w:pPr>
      <w:keepLines/>
      <w:spacing w:before="240" w:after="120"/>
      <w:outlineLvl w:val="1"/>
    </w:pPr>
    <w:rPr>
      <w:sz w:val="28"/>
      <w:szCs w:val="40"/>
    </w:rPr>
  </w:style>
  <w:style w:type="paragraph" w:styleId="Heading3">
    <w:name w:val="heading 3"/>
    <w:basedOn w:val="HeadingBase"/>
    <w:next w:val="BodyText"/>
    <w:link w:val="Heading3Char"/>
    <w:qFormat/>
    <w:rsid w:val="00D20740"/>
    <w:pPr>
      <w:spacing w:before="180" w:after="120"/>
      <w:outlineLvl w:val="2"/>
    </w:pPr>
    <w:rPr>
      <w:spacing w:val="-10"/>
      <w:kern w:val="32"/>
    </w:rPr>
  </w:style>
  <w:style w:type="paragraph" w:styleId="Heading4">
    <w:name w:val="heading 4"/>
    <w:basedOn w:val="HeadingBase"/>
    <w:next w:val="BodyText"/>
    <w:link w:val="Heading4Char"/>
    <w:qFormat/>
    <w:rsid w:val="00D20740"/>
    <w:pPr>
      <w:spacing w:before="160" w:after="120"/>
      <w:outlineLvl w:val="3"/>
    </w:pPr>
    <w:rPr>
      <w:sz w:val="22"/>
    </w:rPr>
  </w:style>
  <w:style w:type="paragraph" w:styleId="Heading5">
    <w:name w:val="heading 5"/>
    <w:basedOn w:val="HeadingBase"/>
    <w:next w:val="Normal"/>
    <w:link w:val="Heading5Char"/>
    <w:qFormat/>
    <w:rsid w:val="00D20740"/>
    <w:pPr>
      <w:spacing w:before="80"/>
      <w:outlineLvl w:val="4"/>
    </w:pPr>
    <w:rPr>
      <w:color w:val="918585"/>
      <w:sz w:val="20"/>
    </w:rPr>
  </w:style>
  <w:style w:type="paragraph" w:styleId="Heading6">
    <w:name w:val="heading 6"/>
    <w:basedOn w:val="HeadingBase"/>
    <w:next w:val="Normal"/>
    <w:link w:val="Heading6Char"/>
    <w:qFormat/>
    <w:rsid w:val="00D20740"/>
    <w:pPr>
      <w:spacing w:before="60"/>
      <w:outlineLvl w:val="5"/>
    </w:pPr>
    <w:rPr>
      <w:color w:val="918585"/>
      <w:sz w:val="20"/>
    </w:rPr>
  </w:style>
  <w:style w:type="paragraph" w:styleId="Heading7">
    <w:name w:val="heading 7"/>
    <w:basedOn w:val="Normal"/>
    <w:next w:val="Normal"/>
    <w:link w:val="Heading7Char"/>
    <w:qFormat/>
    <w:rsid w:val="00D20740"/>
    <w:pPr>
      <w:ind w:left="720"/>
      <w:outlineLvl w:val="6"/>
    </w:pPr>
    <w:rPr>
      <w:i/>
    </w:rPr>
  </w:style>
  <w:style w:type="paragraph" w:styleId="Heading8">
    <w:name w:val="heading 8"/>
    <w:basedOn w:val="Normal"/>
    <w:next w:val="Normal"/>
    <w:link w:val="Heading8Char"/>
    <w:qFormat/>
    <w:rsid w:val="00D20740"/>
    <w:pPr>
      <w:ind w:left="720"/>
      <w:outlineLvl w:val="7"/>
    </w:pPr>
    <w:rPr>
      <w:i/>
    </w:rPr>
  </w:style>
  <w:style w:type="paragraph" w:styleId="Heading9">
    <w:name w:val="heading 9"/>
    <w:basedOn w:val="Normal"/>
    <w:next w:val="Normal"/>
    <w:link w:val="Heading9Char"/>
    <w:qFormat/>
    <w:rsid w:val="00D20740"/>
    <w:pPr>
      <w:ind w:left="720"/>
      <w:outlineLvl w:val="8"/>
    </w:pPr>
    <w:rPr>
      <w:i/>
    </w:rPr>
  </w:style>
  <w:style w:type="character" w:default="1" w:styleId="DefaultParagraphFont">
    <w:name w:val="Default Paragraph Font"/>
    <w:uiPriority w:val="1"/>
    <w:unhideWhenUsed/>
    <w:rsid w:val="00D20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740"/>
  </w:style>
  <w:style w:type="character" w:customStyle="1" w:styleId="Heading1Char">
    <w:name w:val="Heading 1 Char"/>
    <w:basedOn w:val="DefaultParagraphFont"/>
    <w:link w:val="Heading1"/>
    <w:rsid w:val="00D20740"/>
    <w:rPr>
      <w:rFonts w:ascii="Times New Roman" w:eastAsia="Times New Roman" w:hAnsi="Times New Roman" w:cs="Times New Roman"/>
      <w:b/>
      <w:sz w:val="32"/>
      <w:szCs w:val="20"/>
      <w:lang w:eastAsia="en-US"/>
    </w:rPr>
  </w:style>
  <w:style w:type="paragraph" w:styleId="BodyText">
    <w:name w:val="Body Text"/>
    <w:basedOn w:val="Normal"/>
    <w:link w:val="BodyTextChar"/>
    <w:rsid w:val="00D207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740"/>
    <w:rPr>
      <w:rFonts w:ascii="Times New Roman" w:eastAsia="Times New Roman" w:hAnsi="Times New Roman" w:cs="Times New Roman"/>
      <w:sz w:val="24"/>
      <w:lang w:eastAsia="en-US"/>
    </w:rPr>
  </w:style>
  <w:style w:type="paragraph" w:styleId="Footer">
    <w:name w:val="footer"/>
    <w:basedOn w:val="Normal"/>
    <w:link w:val="FooterChar"/>
    <w:rsid w:val="00D20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740"/>
    <w:rPr>
      <w:rFonts w:ascii="Times New Roman" w:eastAsia="Times New Roman" w:hAnsi="Times New Roman" w:cs="Times New Roman"/>
      <w:sz w:val="16"/>
      <w:lang w:eastAsia="en-US"/>
    </w:rPr>
  </w:style>
  <w:style w:type="paragraph" w:styleId="ListBullet">
    <w:name w:val="List Bullet"/>
    <w:basedOn w:val="List"/>
    <w:rsid w:val="00D20740"/>
    <w:pPr>
      <w:numPr>
        <w:numId w:val="13"/>
      </w:numPr>
      <w:tabs>
        <w:tab w:val="clear" w:pos="340"/>
      </w:tabs>
      <w:spacing w:before="40" w:after="40"/>
    </w:pPr>
  </w:style>
  <w:style w:type="character" w:customStyle="1" w:styleId="SpecialBold">
    <w:name w:val="Special Bold"/>
    <w:basedOn w:val="DefaultParagraphFont"/>
    <w:rsid w:val="00D20740"/>
    <w:rPr>
      <w:b/>
      <w:spacing w:val="0"/>
    </w:rPr>
  </w:style>
  <w:style w:type="paragraph" w:styleId="ListBullet2">
    <w:name w:val="List Bullet 2"/>
    <w:basedOn w:val="List2"/>
    <w:rsid w:val="00D20740"/>
    <w:pPr>
      <w:numPr>
        <w:numId w:val="14"/>
      </w:numPr>
      <w:tabs>
        <w:tab w:val="clear" w:pos="680"/>
      </w:tabs>
    </w:pPr>
  </w:style>
  <w:style w:type="paragraph" w:customStyle="1" w:styleId="SuperHeading">
    <w:name w:val="SuperHeading"/>
    <w:basedOn w:val="Normal"/>
    <w:rsid w:val="00D20740"/>
    <w:pPr>
      <w:spacing w:before="240" w:after="120"/>
      <w:outlineLvl w:val="0"/>
    </w:pPr>
    <w:rPr>
      <w:rFonts w:ascii="Times New Roman" w:hAnsi="Times New Roman"/>
      <w:b/>
      <w:sz w:val="28"/>
    </w:rPr>
  </w:style>
  <w:style w:type="paragraph" w:customStyle="1" w:styleId="AllowPageBreak">
    <w:name w:val="AllowPageBreak"/>
    <w:rsid w:val="00D207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7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7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740"/>
    <w:rPr>
      <w:rFonts w:ascii="Courier New" w:eastAsia="Times New Roman" w:hAnsi="Courier New" w:cs="Times New Roman"/>
      <w:i/>
      <w:szCs w:val="20"/>
      <w:lang w:eastAsia="en-US"/>
    </w:rPr>
  </w:style>
  <w:style w:type="paragraph" w:customStyle="1" w:styleId="HeadingBase">
    <w:name w:val="Heading Base"/>
    <w:rsid w:val="00D20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740"/>
    <w:pPr>
      <w:tabs>
        <w:tab w:val="right" w:leader="dot" w:pos="9072"/>
      </w:tabs>
      <w:ind w:left="567"/>
    </w:pPr>
    <w:rPr>
      <w:szCs w:val="22"/>
    </w:rPr>
  </w:style>
  <w:style w:type="paragraph" w:customStyle="1" w:styleId="TOCBase">
    <w:name w:val="TOC Base"/>
    <w:rsid w:val="00D20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740"/>
    <w:pPr>
      <w:tabs>
        <w:tab w:val="right" w:leader="dot" w:pos="9072"/>
      </w:tabs>
      <w:spacing w:before="40" w:after="40"/>
      <w:ind w:left="284"/>
    </w:pPr>
    <w:rPr>
      <w:rFonts w:ascii="Times New Roman" w:hAnsi="Times New Roman"/>
    </w:rPr>
  </w:style>
  <w:style w:type="paragraph" w:styleId="TOC1">
    <w:name w:val="toc 1"/>
    <w:basedOn w:val="TOCBase"/>
    <w:next w:val="Normal"/>
    <w:rsid w:val="00D207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0740"/>
    <w:pPr>
      <w:spacing w:before="5040"/>
      <w:jc w:val="center"/>
    </w:pPr>
    <w:rPr>
      <w:sz w:val="48"/>
      <w:szCs w:val="72"/>
      <w:lang w:val="en-US"/>
    </w:rPr>
  </w:style>
  <w:style w:type="character" w:customStyle="1" w:styleId="TitleChar">
    <w:name w:val="Title Char"/>
    <w:basedOn w:val="DefaultParagraphFont"/>
    <w:link w:val="Title"/>
    <w:rsid w:val="00D20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740"/>
    <w:pPr>
      <w:tabs>
        <w:tab w:val="left" w:pos="3600"/>
        <w:tab w:val="left" w:pos="3958"/>
      </w:tabs>
    </w:pPr>
  </w:style>
  <w:style w:type="paragraph" w:styleId="List">
    <w:name w:val="List"/>
    <w:basedOn w:val="BodyText"/>
    <w:next w:val="BodyText"/>
    <w:rsid w:val="00D20740"/>
    <w:pPr>
      <w:tabs>
        <w:tab w:val="left" w:pos="340"/>
      </w:tabs>
      <w:spacing w:before="60" w:after="60"/>
      <w:ind w:left="340" w:hanging="340"/>
    </w:pPr>
  </w:style>
  <w:style w:type="paragraph" w:customStyle="1" w:styleId="Note">
    <w:name w:val="Note"/>
    <w:basedOn w:val="BodyText"/>
    <w:rsid w:val="00D207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740"/>
    <w:pPr>
      <w:framePr w:wrap="auto" w:hAnchor="text" w:y="6049"/>
    </w:pPr>
    <w:rPr>
      <w:color w:val="000000"/>
      <w:sz w:val="40"/>
    </w:rPr>
  </w:style>
  <w:style w:type="paragraph" w:customStyle="1" w:styleId="TOCTitle">
    <w:name w:val="TOCTitle"/>
    <w:basedOn w:val="Heading1"/>
    <w:rsid w:val="00D20740"/>
    <w:pPr>
      <w:spacing w:after="240"/>
      <w:jc w:val="center"/>
      <w:outlineLvl w:val="9"/>
    </w:pPr>
    <w:rPr>
      <w:caps/>
    </w:rPr>
  </w:style>
  <w:style w:type="paragraph" w:customStyle="1" w:styleId="Version">
    <w:name w:val="Version"/>
    <w:rsid w:val="00D207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740"/>
    <w:pPr>
      <w:keepNext w:val="0"/>
      <w:tabs>
        <w:tab w:val="right" w:pos="4176"/>
      </w:tabs>
      <w:ind w:left="198" w:hanging="198"/>
    </w:pPr>
    <w:rPr>
      <w:rFonts w:ascii="Garamond" w:hAnsi="Garamond"/>
    </w:rPr>
  </w:style>
  <w:style w:type="paragraph" w:styleId="IndexHeading">
    <w:name w:val="index heading"/>
    <w:basedOn w:val="Normal"/>
    <w:next w:val="Index1"/>
    <w:semiHidden/>
    <w:rsid w:val="00D20740"/>
    <w:pPr>
      <w:spacing w:before="120" w:after="120"/>
    </w:pPr>
    <w:rPr>
      <w:rFonts w:ascii="Arial" w:hAnsi="Arial"/>
      <w:b/>
      <w:color w:val="918585"/>
      <w:sz w:val="24"/>
    </w:rPr>
  </w:style>
  <w:style w:type="paragraph" w:styleId="Header">
    <w:name w:val="header"/>
    <w:basedOn w:val="Normal"/>
    <w:link w:val="HeaderChar"/>
    <w:rsid w:val="00D20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740"/>
    <w:rPr>
      <w:rFonts w:ascii="Times New Roman" w:eastAsia="Times New Roman" w:hAnsi="Times New Roman" w:cs="Times New Roman"/>
      <w:sz w:val="16"/>
      <w:szCs w:val="20"/>
      <w:lang w:val="en-GB" w:eastAsia="en-US"/>
    </w:rPr>
  </w:style>
  <w:style w:type="paragraph" w:customStyle="1" w:styleId="Chapter">
    <w:name w:val="Chapter"/>
    <w:basedOn w:val="Normal"/>
    <w:rsid w:val="00D20740"/>
    <w:pPr>
      <w:spacing w:before="240"/>
    </w:pPr>
    <w:rPr>
      <w:rFonts w:ascii="Times New Roman" w:hAnsi="Times New Roman"/>
      <w:smallCaps/>
      <w:spacing w:val="80"/>
      <w:sz w:val="28"/>
    </w:rPr>
  </w:style>
  <w:style w:type="paragraph" w:customStyle="1" w:styleId="InChapter">
    <w:name w:val="InChapter"/>
    <w:basedOn w:val="Heading3"/>
    <w:rsid w:val="00D20740"/>
    <w:pPr>
      <w:spacing w:after="240"/>
      <w:outlineLvl w:val="9"/>
    </w:pPr>
    <w:rPr>
      <w:noProof/>
    </w:rPr>
  </w:style>
  <w:style w:type="paragraph" w:styleId="Index2">
    <w:name w:val="index 2"/>
    <w:basedOn w:val="Normal"/>
    <w:next w:val="Normal"/>
    <w:semiHidden/>
    <w:rsid w:val="00D20740"/>
    <w:pPr>
      <w:tabs>
        <w:tab w:val="right" w:pos="4176"/>
      </w:tabs>
      <w:ind w:left="568" w:hanging="284"/>
    </w:pPr>
    <w:rPr>
      <w:rFonts w:ascii="Garamond" w:hAnsi="Garamond"/>
    </w:rPr>
  </w:style>
  <w:style w:type="paragraph" w:customStyle="1" w:styleId="Byline">
    <w:name w:val="Byline"/>
    <w:rsid w:val="00D20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740"/>
    <w:pPr>
      <w:tabs>
        <w:tab w:val="clear" w:pos="3600"/>
        <w:tab w:val="clear" w:pos="3958"/>
      </w:tabs>
      <w:jc w:val="right"/>
    </w:pPr>
  </w:style>
  <w:style w:type="character" w:styleId="Emphasis">
    <w:name w:val="Emphasis"/>
    <w:basedOn w:val="DefaultParagraphFont"/>
    <w:qFormat/>
    <w:rsid w:val="00D20740"/>
    <w:rPr>
      <w:i/>
    </w:rPr>
  </w:style>
  <w:style w:type="paragraph" w:styleId="Caption">
    <w:name w:val="caption"/>
    <w:basedOn w:val="BodyText"/>
    <w:next w:val="Normal"/>
    <w:qFormat/>
    <w:rsid w:val="00D20740"/>
    <w:pPr>
      <w:framePr w:w="2268" w:hSpace="181" w:vSpace="181" w:wrap="around" w:vAnchor="text" w:hAnchor="page" w:x="1135" w:y="285" w:anchorLock="1"/>
    </w:pPr>
    <w:rPr>
      <w:i/>
    </w:rPr>
  </w:style>
  <w:style w:type="paragraph" w:customStyle="1" w:styleId="MiniTOCTitle">
    <w:name w:val="MiniTOCTitle"/>
    <w:basedOn w:val="Heading4"/>
    <w:rsid w:val="00D20740"/>
    <w:pPr>
      <w:spacing w:before="240"/>
      <w:outlineLvl w:val="9"/>
    </w:pPr>
    <w:rPr>
      <w:noProof/>
      <w:sz w:val="24"/>
    </w:rPr>
  </w:style>
  <w:style w:type="paragraph" w:customStyle="1" w:styleId="MiniTOCItem">
    <w:name w:val="MiniTOCItem"/>
    <w:basedOn w:val="ListBullet"/>
    <w:rsid w:val="00D20740"/>
    <w:pPr>
      <w:numPr>
        <w:numId w:val="0"/>
      </w:numPr>
      <w:tabs>
        <w:tab w:val="right" w:leader="dot" w:pos="6521"/>
      </w:tabs>
      <w:spacing w:before="0" w:after="0"/>
    </w:pPr>
  </w:style>
  <w:style w:type="paragraph" w:customStyle="1" w:styleId="TOFTitle">
    <w:name w:val="TOFTitle"/>
    <w:basedOn w:val="TOCTitle"/>
    <w:rsid w:val="00D20740"/>
  </w:style>
  <w:style w:type="paragraph" w:styleId="TableofFigures">
    <w:name w:val="table of figures"/>
    <w:basedOn w:val="Normal"/>
    <w:next w:val="Normal"/>
    <w:semiHidden/>
    <w:rsid w:val="00D20740"/>
    <w:pPr>
      <w:tabs>
        <w:tab w:val="right" w:leader="dot" w:pos="9072"/>
      </w:tabs>
      <w:ind w:left="970" w:hanging="403"/>
    </w:pPr>
    <w:rPr>
      <w:rFonts w:ascii="Times New Roman" w:hAnsi="Times New Roman"/>
      <w:b/>
    </w:rPr>
  </w:style>
  <w:style w:type="paragraph" w:styleId="ListNumber">
    <w:name w:val="List Number"/>
    <w:basedOn w:val="List"/>
    <w:rsid w:val="00D20740"/>
    <w:pPr>
      <w:numPr>
        <w:numId w:val="11"/>
      </w:numPr>
    </w:pPr>
  </w:style>
  <w:style w:type="character" w:customStyle="1" w:styleId="WingdingSymbols">
    <w:name w:val="Wingding Symbols"/>
    <w:rsid w:val="00D20740"/>
    <w:rPr>
      <w:rFonts w:ascii="Wingdings" w:hAnsi="Wingdings"/>
    </w:rPr>
  </w:style>
  <w:style w:type="paragraph" w:customStyle="1" w:styleId="TableHeading">
    <w:name w:val="Table Heading"/>
    <w:basedOn w:val="HeadingBase"/>
    <w:rsid w:val="00D20740"/>
    <w:pPr>
      <w:keepLines/>
      <w:pBdr>
        <w:bottom w:val="single" w:sz="6" w:space="1" w:color="918585"/>
      </w:pBdr>
      <w:spacing w:before="240"/>
    </w:pPr>
  </w:style>
  <w:style w:type="character" w:customStyle="1" w:styleId="HotSpot">
    <w:name w:val="HotSpot"/>
    <w:rsid w:val="00D20740"/>
    <w:rPr>
      <w:color w:val="0033CC"/>
      <w:u w:val="none"/>
    </w:rPr>
  </w:style>
  <w:style w:type="paragraph" w:customStyle="1" w:styleId="BodyTextRight">
    <w:name w:val="Body Text Right"/>
    <w:basedOn w:val="BodyText"/>
    <w:rsid w:val="00D20740"/>
    <w:pPr>
      <w:spacing w:before="0" w:after="0"/>
      <w:jc w:val="right"/>
    </w:pPr>
  </w:style>
  <w:style w:type="paragraph" w:styleId="Index3">
    <w:name w:val="index 3"/>
    <w:basedOn w:val="ListNumber2"/>
    <w:next w:val="Normal"/>
    <w:semiHidden/>
    <w:rsid w:val="00D20740"/>
    <w:pPr>
      <w:numPr>
        <w:numId w:val="0"/>
      </w:numPr>
      <w:tabs>
        <w:tab w:val="right" w:leader="dot" w:pos="4176"/>
      </w:tabs>
    </w:pPr>
  </w:style>
  <w:style w:type="paragraph" w:styleId="ListNumber2">
    <w:name w:val="List Number 2"/>
    <w:basedOn w:val="List2"/>
    <w:rsid w:val="00D20740"/>
    <w:pPr>
      <w:numPr>
        <w:numId w:val="10"/>
      </w:numPr>
      <w:tabs>
        <w:tab w:val="clear" w:pos="1060"/>
      </w:tabs>
    </w:pPr>
  </w:style>
  <w:style w:type="paragraph" w:customStyle="1" w:styleId="MarginNote">
    <w:name w:val="Margin Note"/>
    <w:basedOn w:val="BodyText"/>
    <w:rsid w:val="00D20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7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740"/>
    <w:rPr>
      <w:sz w:val="32"/>
    </w:rPr>
  </w:style>
  <w:style w:type="paragraph" w:customStyle="1" w:styleId="HeadingProcedure">
    <w:name w:val="Heading Procedure"/>
    <w:basedOn w:val="HeadingBase"/>
    <w:next w:val="Normal"/>
    <w:rsid w:val="00D20740"/>
    <w:pPr>
      <w:tabs>
        <w:tab w:val="left" w:pos="0"/>
      </w:tabs>
      <w:spacing w:before="120" w:after="60"/>
    </w:pPr>
    <w:rPr>
      <w:i/>
      <w:color w:val="918585"/>
      <w:sz w:val="22"/>
    </w:rPr>
  </w:style>
  <w:style w:type="paragraph" w:customStyle="1" w:styleId="TableBodyText">
    <w:name w:val="Table Body Text"/>
    <w:basedOn w:val="BodyText"/>
    <w:rsid w:val="00D20740"/>
    <w:pPr>
      <w:spacing w:before="60" w:after="60"/>
    </w:pPr>
  </w:style>
  <w:style w:type="paragraph" w:styleId="ListContinue">
    <w:name w:val="List Continue"/>
    <w:basedOn w:val="List"/>
    <w:rsid w:val="00D20740"/>
    <w:pPr>
      <w:ind w:firstLine="0"/>
    </w:pPr>
  </w:style>
  <w:style w:type="paragraph" w:customStyle="1" w:styleId="ListNote">
    <w:name w:val="List Note"/>
    <w:basedOn w:val="List"/>
    <w:rsid w:val="00D20740"/>
    <w:pPr>
      <w:pBdr>
        <w:top w:val="single" w:sz="6" w:space="2" w:color="918585"/>
        <w:bottom w:val="single" w:sz="6" w:space="2" w:color="918585"/>
      </w:pBdr>
      <w:tabs>
        <w:tab w:val="left" w:pos="1021"/>
      </w:tabs>
      <w:ind w:firstLine="0"/>
    </w:pPr>
  </w:style>
  <w:style w:type="paragraph" w:customStyle="1" w:styleId="Warning">
    <w:name w:val="Warning"/>
    <w:basedOn w:val="BodyText"/>
    <w:rsid w:val="00D20740"/>
    <w:pPr>
      <w:shd w:val="clear" w:color="auto" w:fill="D9D9D9"/>
      <w:tabs>
        <w:tab w:val="left" w:pos="992"/>
      </w:tabs>
      <w:ind w:left="119" w:right="119"/>
    </w:pPr>
    <w:rPr>
      <w:sz w:val="20"/>
    </w:rPr>
  </w:style>
  <w:style w:type="paragraph" w:customStyle="1" w:styleId="MarginIcons">
    <w:name w:val="Margin Icons"/>
    <w:basedOn w:val="BodyText"/>
    <w:rsid w:val="00D20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740"/>
    <w:rPr>
      <w:rFonts w:ascii="Courier New" w:hAnsi="Courier New"/>
    </w:rPr>
  </w:style>
  <w:style w:type="paragraph" w:customStyle="1" w:styleId="NoteBullet">
    <w:name w:val="Note Bullet"/>
    <w:basedOn w:val="Note"/>
    <w:rsid w:val="00D20740"/>
    <w:pPr>
      <w:tabs>
        <w:tab w:val="clear" w:pos="680"/>
      </w:tabs>
      <w:spacing w:before="60" w:after="60"/>
    </w:pPr>
  </w:style>
  <w:style w:type="paragraph" w:customStyle="1" w:styleId="SubHeading2">
    <w:name w:val="SubHeading2"/>
    <w:basedOn w:val="HeadingBase"/>
    <w:rsid w:val="00D20740"/>
    <w:pPr>
      <w:spacing w:before="240" w:after="60"/>
    </w:pPr>
    <w:rPr>
      <w:sz w:val="20"/>
    </w:rPr>
  </w:style>
  <w:style w:type="paragraph" w:customStyle="1" w:styleId="SubHeading1">
    <w:name w:val="SubHeading1"/>
    <w:basedOn w:val="HeadingBase"/>
    <w:rsid w:val="00D20740"/>
    <w:pPr>
      <w:spacing w:before="240" w:after="60"/>
    </w:pPr>
    <w:rPr>
      <w:color w:val="918585"/>
      <w:sz w:val="22"/>
    </w:rPr>
  </w:style>
  <w:style w:type="paragraph" w:customStyle="1" w:styleId="SideHeading">
    <w:name w:val="Side Heading"/>
    <w:basedOn w:val="HeadingBase"/>
    <w:rsid w:val="00D20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740"/>
    <w:pPr>
      <w:numPr>
        <w:numId w:val="12"/>
      </w:numPr>
    </w:pPr>
  </w:style>
  <w:style w:type="paragraph" w:styleId="PlainText">
    <w:name w:val="Plain Text"/>
    <w:basedOn w:val="Normal"/>
    <w:link w:val="PlainTextChar"/>
    <w:rsid w:val="00D20740"/>
    <w:rPr>
      <w:sz w:val="20"/>
    </w:rPr>
  </w:style>
  <w:style w:type="character" w:customStyle="1" w:styleId="PlainTextChar">
    <w:name w:val="Plain Text Char"/>
    <w:basedOn w:val="DefaultParagraphFont"/>
    <w:link w:val="PlainText"/>
    <w:rsid w:val="00D20740"/>
    <w:rPr>
      <w:rFonts w:ascii="Courier New" w:eastAsia="Times New Roman" w:hAnsi="Courier New" w:cs="Times New Roman"/>
      <w:sz w:val="20"/>
      <w:szCs w:val="20"/>
      <w:lang w:eastAsia="en-US"/>
    </w:rPr>
  </w:style>
  <w:style w:type="character" w:customStyle="1" w:styleId="MenuOption">
    <w:name w:val="Menu Option"/>
    <w:basedOn w:val="DefaultParagraphFont"/>
    <w:rsid w:val="00D20740"/>
    <w:rPr>
      <w:b/>
      <w:smallCaps/>
    </w:rPr>
  </w:style>
  <w:style w:type="paragraph" w:customStyle="1" w:styleId="TableListNumber">
    <w:name w:val="Table List Number"/>
    <w:basedOn w:val="ListNumber"/>
    <w:rsid w:val="00D20740"/>
    <w:pPr>
      <w:numPr>
        <w:numId w:val="0"/>
      </w:numPr>
    </w:pPr>
  </w:style>
  <w:style w:type="paragraph" w:styleId="TOC4">
    <w:name w:val="toc 4"/>
    <w:basedOn w:val="TOCBase"/>
    <w:next w:val="Normal"/>
    <w:semiHidden/>
    <w:rsid w:val="00D20740"/>
    <w:pPr>
      <w:tabs>
        <w:tab w:val="right" w:leader="dot" w:pos="9071"/>
      </w:tabs>
      <w:ind w:left="1701"/>
    </w:pPr>
  </w:style>
  <w:style w:type="paragraph" w:customStyle="1" w:styleId="ListAlpha">
    <w:name w:val="List Alpha"/>
    <w:basedOn w:val="List"/>
    <w:rsid w:val="00D20740"/>
    <w:pPr>
      <w:numPr>
        <w:numId w:val="9"/>
      </w:numPr>
    </w:pPr>
  </w:style>
  <w:style w:type="paragraph" w:customStyle="1" w:styleId="ListAlpha2">
    <w:name w:val="List Alpha 2"/>
    <w:basedOn w:val="List2"/>
    <w:rsid w:val="00D20740"/>
    <w:pPr>
      <w:numPr>
        <w:numId w:val="8"/>
      </w:numPr>
    </w:pPr>
  </w:style>
  <w:style w:type="paragraph" w:styleId="List2">
    <w:name w:val="List 2"/>
    <w:basedOn w:val="BodyText"/>
    <w:rsid w:val="00D20740"/>
    <w:pPr>
      <w:tabs>
        <w:tab w:val="left" w:pos="680"/>
      </w:tabs>
      <w:spacing w:before="60" w:after="60"/>
      <w:ind w:left="680" w:hanging="340"/>
    </w:pPr>
  </w:style>
  <w:style w:type="paragraph" w:styleId="List3">
    <w:name w:val="List 3"/>
    <w:basedOn w:val="BodyText"/>
    <w:rsid w:val="00D20740"/>
    <w:pPr>
      <w:tabs>
        <w:tab w:val="left" w:pos="1021"/>
      </w:tabs>
      <w:spacing w:before="60" w:after="60"/>
      <w:ind w:left="1020" w:hanging="340"/>
    </w:pPr>
  </w:style>
  <w:style w:type="paragraph" w:styleId="List4">
    <w:name w:val="List 4"/>
    <w:basedOn w:val="BodyText"/>
    <w:rsid w:val="00D20740"/>
    <w:pPr>
      <w:tabs>
        <w:tab w:val="left" w:pos="1361"/>
      </w:tabs>
      <w:spacing w:before="60" w:after="60"/>
      <w:ind w:left="1361" w:hanging="340"/>
    </w:pPr>
  </w:style>
  <w:style w:type="paragraph" w:styleId="List5">
    <w:name w:val="List 5"/>
    <w:basedOn w:val="BodyText"/>
    <w:rsid w:val="00D20740"/>
    <w:pPr>
      <w:tabs>
        <w:tab w:val="left" w:pos="1701"/>
      </w:tabs>
      <w:spacing w:before="60" w:after="60"/>
      <w:ind w:left="1701" w:hanging="340"/>
    </w:pPr>
  </w:style>
  <w:style w:type="paragraph" w:styleId="ListBullet3">
    <w:name w:val="List Bullet 3"/>
    <w:basedOn w:val="List3"/>
    <w:rsid w:val="00D20740"/>
    <w:pPr>
      <w:numPr>
        <w:numId w:val="15"/>
      </w:numPr>
      <w:tabs>
        <w:tab w:val="clear" w:pos="1021"/>
      </w:tabs>
      <w:ind w:left="1037" w:hanging="357"/>
    </w:pPr>
  </w:style>
  <w:style w:type="paragraph" w:styleId="ListBullet4">
    <w:name w:val="List Bullet 4"/>
    <w:basedOn w:val="List4"/>
    <w:rsid w:val="00D20740"/>
    <w:pPr>
      <w:numPr>
        <w:numId w:val="3"/>
      </w:numPr>
    </w:pPr>
  </w:style>
  <w:style w:type="paragraph" w:styleId="ListBullet5">
    <w:name w:val="List Bullet 5"/>
    <w:basedOn w:val="List5"/>
    <w:rsid w:val="00D20740"/>
    <w:pPr>
      <w:numPr>
        <w:numId w:val="4"/>
      </w:numPr>
    </w:pPr>
  </w:style>
  <w:style w:type="paragraph" w:styleId="ListContinue2">
    <w:name w:val="List Continue 2"/>
    <w:basedOn w:val="List2"/>
    <w:rsid w:val="00D20740"/>
    <w:pPr>
      <w:ind w:firstLine="0"/>
    </w:pPr>
  </w:style>
  <w:style w:type="paragraph" w:styleId="ListContinue3">
    <w:name w:val="List Continue 3"/>
    <w:basedOn w:val="List3"/>
    <w:rsid w:val="00D20740"/>
    <w:pPr>
      <w:ind w:left="1021" w:firstLine="0"/>
    </w:pPr>
  </w:style>
  <w:style w:type="paragraph" w:styleId="ListContinue4">
    <w:name w:val="List Continue 4"/>
    <w:basedOn w:val="List4"/>
    <w:rsid w:val="00D20740"/>
    <w:pPr>
      <w:ind w:firstLine="0"/>
    </w:pPr>
  </w:style>
  <w:style w:type="paragraph" w:styleId="ListContinue5">
    <w:name w:val="List Continue 5"/>
    <w:basedOn w:val="List5"/>
    <w:rsid w:val="00D20740"/>
    <w:pPr>
      <w:ind w:firstLine="0"/>
    </w:pPr>
  </w:style>
  <w:style w:type="paragraph" w:styleId="ListNumber3">
    <w:name w:val="List Number 3"/>
    <w:basedOn w:val="List3"/>
    <w:rsid w:val="00D20740"/>
    <w:pPr>
      <w:numPr>
        <w:numId w:val="5"/>
      </w:numPr>
    </w:pPr>
  </w:style>
  <w:style w:type="paragraph" w:styleId="ListNumber4">
    <w:name w:val="List Number 4"/>
    <w:basedOn w:val="List4"/>
    <w:rsid w:val="00D20740"/>
    <w:pPr>
      <w:numPr>
        <w:numId w:val="6"/>
      </w:numPr>
    </w:pPr>
  </w:style>
  <w:style w:type="paragraph" w:styleId="ListNumber5">
    <w:name w:val="List Number 5"/>
    <w:basedOn w:val="List5"/>
    <w:rsid w:val="00D20740"/>
    <w:pPr>
      <w:numPr>
        <w:numId w:val="7"/>
      </w:numPr>
    </w:pPr>
  </w:style>
  <w:style w:type="paragraph" w:styleId="BlockText">
    <w:name w:val="Block Text"/>
    <w:basedOn w:val="Normal"/>
    <w:rsid w:val="00D20740"/>
    <w:pPr>
      <w:spacing w:after="120"/>
      <w:ind w:left="1440" w:right="1440"/>
    </w:pPr>
  </w:style>
  <w:style w:type="character" w:customStyle="1" w:styleId="Subscript">
    <w:name w:val="Subscript"/>
    <w:basedOn w:val="DefaultParagraphFont"/>
    <w:rsid w:val="00D20740"/>
    <w:rPr>
      <w:sz w:val="16"/>
      <w:vertAlign w:val="subscript"/>
    </w:rPr>
  </w:style>
  <w:style w:type="character" w:customStyle="1" w:styleId="Superscript">
    <w:name w:val="Superscript"/>
    <w:basedOn w:val="DefaultParagraphFont"/>
    <w:rsid w:val="00D20740"/>
    <w:rPr>
      <w:sz w:val="16"/>
      <w:vertAlign w:val="superscript"/>
    </w:rPr>
  </w:style>
  <w:style w:type="character" w:customStyle="1" w:styleId="Symbols">
    <w:name w:val="Symbols"/>
    <w:basedOn w:val="DefaultParagraphFont"/>
    <w:rsid w:val="00D20740"/>
    <w:rPr>
      <w:rFonts w:ascii="Symbol" w:hAnsi="Symbol"/>
    </w:rPr>
  </w:style>
  <w:style w:type="character" w:customStyle="1" w:styleId="MenuOptions">
    <w:name w:val="Menu Options"/>
    <w:basedOn w:val="DefaultParagraphFont"/>
    <w:rsid w:val="00D20740"/>
    <w:rPr>
      <w:rFonts w:ascii="Arial Narrow" w:hAnsi="Arial Narrow"/>
      <w:smallCaps/>
    </w:rPr>
  </w:style>
  <w:style w:type="character" w:customStyle="1" w:styleId="Buttons">
    <w:name w:val="Buttons"/>
    <w:basedOn w:val="DefaultParagraphFont"/>
    <w:rsid w:val="00D20740"/>
    <w:rPr>
      <w:b/>
    </w:rPr>
  </w:style>
  <w:style w:type="character" w:customStyle="1" w:styleId="Underlined">
    <w:name w:val="Underlined"/>
    <w:basedOn w:val="DefaultParagraphFont"/>
    <w:rsid w:val="00D20740"/>
    <w:rPr>
      <w:u w:val="single"/>
    </w:rPr>
  </w:style>
  <w:style w:type="paragraph" w:customStyle="1" w:styleId="TableBodyTextRight">
    <w:name w:val="Table Body Text Right"/>
    <w:basedOn w:val="TableBodyText"/>
    <w:rsid w:val="00D20740"/>
    <w:pPr>
      <w:widowControl w:val="0"/>
      <w:autoSpaceDE w:val="0"/>
      <w:autoSpaceDN w:val="0"/>
      <w:adjustRightInd w:val="0"/>
      <w:jc w:val="right"/>
    </w:pPr>
    <w:rPr>
      <w:rFonts w:cs="Arial"/>
      <w:szCs w:val="18"/>
    </w:rPr>
  </w:style>
  <w:style w:type="paragraph" w:customStyle="1" w:styleId="CopyrightText">
    <w:name w:val="Copyright Text"/>
    <w:basedOn w:val="BodyText"/>
    <w:rsid w:val="00D20740"/>
    <w:rPr>
      <w:sz w:val="18"/>
    </w:rPr>
  </w:style>
  <w:style w:type="paragraph" w:customStyle="1" w:styleId="BodySmallRight">
    <w:name w:val="Body Small Right"/>
    <w:basedOn w:val="BodyTextRight"/>
    <w:rsid w:val="00D20740"/>
    <w:rPr>
      <w:sz w:val="18"/>
      <w:szCs w:val="18"/>
    </w:rPr>
  </w:style>
  <w:style w:type="paragraph" w:customStyle="1" w:styleId="MarginEdition">
    <w:name w:val="Margin Edition"/>
    <w:basedOn w:val="MarginNote"/>
    <w:rsid w:val="00D20740"/>
    <w:pPr>
      <w:spacing w:before="0" w:after="0"/>
    </w:pPr>
    <w:rPr>
      <w:rFonts w:ascii="Times New Roman" w:hAnsi="Times New Roman"/>
      <w:color w:val="999999"/>
    </w:rPr>
  </w:style>
  <w:style w:type="paragraph" w:customStyle="1" w:styleId="Spacer">
    <w:name w:val="Spacer"/>
    <w:basedOn w:val="Normal"/>
    <w:rsid w:val="00D20740"/>
    <w:rPr>
      <w:sz w:val="2"/>
      <w:szCs w:val="2"/>
    </w:rPr>
  </w:style>
  <w:style w:type="character" w:customStyle="1" w:styleId="Small">
    <w:name w:val="Small"/>
    <w:basedOn w:val="DefaultParagraphFont"/>
    <w:rsid w:val="00D20740"/>
    <w:rPr>
      <w:sz w:val="16"/>
    </w:rPr>
  </w:style>
  <w:style w:type="paragraph" w:customStyle="1" w:styleId="WideTable">
    <w:name w:val="Wide Table"/>
    <w:basedOn w:val="Normal"/>
    <w:rsid w:val="00D20740"/>
    <w:pPr>
      <w:ind w:left="-1418"/>
    </w:pPr>
    <w:rPr>
      <w:sz w:val="2"/>
      <w:szCs w:val="2"/>
    </w:rPr>
  </w:style>
  <w:style w:type="character" w:styleId="PageNumber">
    <w:name w:val="page number"/>
    <w:basedOn w:val="DefaultParagraphFont"/>
    <w:rsid w:val="00D20740"/>
  </w:style>
  <w:style w:type="paragraph" w:styleId="Quote">
    <w:name w:val="Quote"/>
    <w:basedOn w:val="Heading1"/>
    <w:link w:val="QuoteChar"/>
    <w:qFormat/>
    <w:rsid w:val="00D20740"/>
    <w:rPr>
      <w:b w:val="0"/>
      <w:sz w:val="72"/>
      <w:szCs w:val="72"/>
      <w:lang w:val="en-NZ"/>
    </w:rPr>
  </w:style>
  <w:style w:type="character" w:customStyle="1" w:styleId="QuoteChar">
    <w:name w:val="Quote Char"/>
    <w:basedOn w:val="DefaultParagraphFont"/>
    <w:link w:val="Quote"/>
    <w:rsid w:val="00D20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740"/>
    <w:pPr>
      <w:pageBreakBefore/>
    </w:pPr>
  </w:style>
  <w:style w:type="paragraph" w:customStyle="1" w:styleId="Border">
    <w:name w:val="Border"/>
    <w:basedOn w:val="Normal"/>
    <w:qFormat/>
    <w:rsid w:val="00D20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740"/>
    <w:rPr>
      <w:b/>
      <w:bCs/>
      <w:i/>
      <w:iCs/>
      <w:color w:val="auto"/>
    </w:rPr>
  </w:style>
  <w:style w:type="paragraph" w:styleId="IntenseQuote">
    <w:name w:val="Intense Quote"/>
    <w:basedOn w:val="Normal"/>
    <w:next w:val="Normal"/>
    <w:link w:val="IntenseQuoteChar"/>
    <w:uiPriority w:val="30"/>
    <w:qFormat/>
    <w:rsid w:val="00D20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7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740"/>
    <w:rPr>
      <w:smallCaps/>
      <w:color w:val="auto"/>
      <w:u w:val="single"/>
    </w:rPr>
  </w:style>
  <w:style w:type="character" w:styleId="IntenseReference">
    <w:name w:val="Intense Reference"/>
    <w:basedOn w:val="DefaultParagraphFont"/>
    <w:uiPriority w:val="32"/>
    <w:qFormat/>
    <w:rsid w:val="00D20740"/>
    <w:rPr>
      <w:b/>
      <w:bCs/>
      <w:smallCaps/>
      <w:color w:val="auto"/>
      <w:spacing w:val="5"/>
      <w:u w:val="single"/>
    </w:rPr>
  </w:style>
  <w:style w:type="paragraph" w:customStyle="1" w:styleId="2ColumnHeading">
    <w:name w:val="2Column Heading"/>
    <w:basedOn w:val="BodyText"/>
    <w:qFormat/>
    <w:rsid w:val="00D20740"/>
    <w:pPr>
      <w:spacing w:after="60"/>
      <w:ind w:left="-2268"/>
    </w:pPr>
    <w:rPr>
      <w:b/>
    </w:rPr>
  </w:style>
  <w:style w:type="paragraph" w:customStyle="1" w:styleId="Heading1TOC">
    <w:name w:val="Heading1 TOC"/>
    <w:basedOn w:val="Normal"/>
    <w:qFormat/>
    <w:rsid w:val="00D20740"/>
    <w:pPr>
      <w:spacing w:before="240" w:after="120"/>
    </w:pPr>
    <w:rPr>
      <w:rFonts w:ascii="Times New Roman" w:hAnsi="Times New Roman"/>
      <w:b/>
      <w:sz w:val="32"/>
    </w:rPr>
  </w:style>
  <w:style w:type="paragraph" w:customStyle="1" w:styleId="Heading2TOC">
    <w:name w:val="Heading2 TOC"/>
    <w:basedOn w:val="Normal"/>
    <w:qFormat/>
    <w:rsid w:val="00D20740"/>
    <w:pPr>
      <w:spacing w:before="240" w:after="60"/>
    </w:pPr>
    <w:rPr>
      <w:rFonts w:ascii="Times New Roman" w:hAnsi="Times New Roman"/>
      <w:b/>
      <w:sz w:val="28"/>
    </w:rPr>
  </w:style>
  <w:style w:type="character" w:customStyle="1" w:styleId="Underline">
    <w:name w:val="Underline"/>
    <w:basedOn w:val="DefaultParagraphFont"/>
    <w:qFormat/>
    <w:rsid w:val="00D20740"/>
    <w:rPr>
      <w:u w:val="single"/>
    </w:rPr>
  </w:style>
  <w:style w:type="character" w:customStyle="1" w:styleId="BoldandItalics">
    <w:name w:val="Bold and Italics"/>
    <w:qFormat/>
    <w:rsid w:val="00D20740"/>
    <w:rPr>
      <w:b/>
      <w:i/>
      <w:u w:val="none"/>
    </w:rPr>
  </w:style>
  <w:style w:type="paragraph" w:styleId="BalloonText">
    <w:name w:val="Balloon Text"/>
    <w:basedOn w:val="Normal"/>
    <w:link w:val="BalloonTextChar"/>
    <w:rsid w:val="00D20740"/>
    <w:rPr>
      <w:rFonts w:ascii="Tahoma" w:hAnsi="Tahoma" w:cs="Tahoma"/>
      <w:sz w:val="16"/>
      <w:szCs w:val="16"/>
    </w:rPr>
  </w:style>
  <w:style w:type="character" w:customStyle="1" w:styleId="BalloonTextChar">
    <w:name w:val="Balloon Text Char"/>
    <w:basedOn w:val="DefaultParagraphFont"/>
    <w:link w:val="BalloonText"/>
    <w:rsid w:val="00D207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7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7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740"/>
    <w:rPr>
      <w:b/>
      <w:color w:val="660033"/>
      <w:spacing w:val="0"/>
    </w:rPr>
  </w:style>
  <w:style w:type="paragraph" w:customStyle="1" w:styleId="Nameditemlist">
    <w:name w:val="Named item list"/>
    <w:basedOn w:val="BodyText"/>
    <w:qFormat/>
    <w:rsid w:val="00D207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2527</Words>
  <Characters>15237</Characters>
  <Application>Microsoft Office Word</Application>
  <DocSecurity>0</DocSecurity>
  <Lines>756</Lines>
  <Paragraphs>303</Paragraphs>
  <ScaleCrop>false</ScaleCrop>
  <Company>Author-it Software Corporation Ltd.</Company>
  <LinksUpToDate>false</LinksUpToDate>
  <CharactersWithSpaces>17495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UEGNSG802A Install complex flow control, measuring and regulating devices for gas pressure control</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2012-10-11T19:26:00Z</dcterms:created>
  <dcterms:modified xsi:type="dcterms:W3CDTF">2012-10-11T19:26:00Z</dcterms:modified>
</cp:coreProperties>
</file>