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B15" w:rsidP="00261B15">
      <w:pPr>
        <w:pStyle w:val="Title"/>
      </w:pPr>
      <w:bookmarkStart w:id="0" w:name="_GoBack"/>
      <w:bookmarkEnd w:id="0"/>
      <w:r>
        <w:fldChar w:fldCharType="begin"/>
      </w:r>
      <w:r>
        <w:instrText xml:space="preserve"> TITLE   \* MERGEFORMAT </w:instrText>
      </w:r>
      <w:r>
        <w:fldChar w:fldCharType="separate"/>
      </w:r>
      <w:r>
        <w:t>UEGNSG801A Monitor and operate complex flow control, measuring and regulating devices for gas pressure control</w:t>
      </w:r>
      <w:r>
        <w:fldChar w:fldCharType="end"/>
      </w:r>
    </w:p>
    <w:p w:rsidR="00261B15" w:rsidP="00261B15">
      <w:pPr>
        <w:pStyle w:val="Version"/>
        <w:sectPr w:rsidSect="00AF2B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B65" w:rsidP="00AF2B65">
      <w:pPr>
        <w:pStyle w:val="SuperHeading"/>
      </w:pPr>
      <w:r w:rsidRPr="00AF2B65">
        <w:t>UEGNSG801A Monitor and operate complex flow control, measuring and regulating devices for gas pressure control</w:t>
      </w:r>
    </w:p>
    <w:p w:rsidR="00000000" w:rsidRPr="00AF2B65" w:rsidP="00AF2B65">
      <w:pPr>
        <w:pStyle w:val="Heading1"/>
      </w:pPr>
      <w:bookmarkStart w:id="1" w:name="O_275149"/>
      <w:bookmarkEnd w:id="1"/>
      <w:r w:rsidRPr="00AF2B65">
        <w:t>Modification History</w:t>
      </w:r>
    </w:p>
    <w:p w:rsidR="00000000" w:rsidRPr="00AF2B65" w:rsidP="00AF2B65">
      <w:pPr>
        <w:pStyle w:val="BodyText"/>
      </w:pPr>
      <w:r w:rsidRPr="00AF2B65">
        <w:t>Not Applicable</w:t>
      </w:r>
    </w:p>
    <w:p w:rsidR="00000000" w:rsidRPr="00AF2B65" w:rsidP="00AF2B65">
      <w:pPr>
        <w:pStyle w:val="AllowPageBreak"/>
      </w:pPr>
    </w:p>
    <w:p w:rsidR="00000000" w:rsidRPr="00AF2B65" w:rsidP="00AF2B65">
      <w:pPr>
        <w:pStyle w:val="Heading1"/>
      </w:pPr>
      <w:bookmarkStart w:id="2" w:name="O_229714"/>
      <w:bookmarkEnd w:id="2"/>
      <w:r w:rsidRPr="00AF2B65">
        <w:t>Unit Descriptor</w:t>
      </w:r>
    </w:p>
    <w:tbl>
      <w:tblPr>
        <w:tblW w:w="0" w:type="auto"/>
        <w:tblLayout w:type="fixed"/>
        <w:tblCellMar>
          <w:left w:w="62" w:type="dxa"/>
          <w:right w:w="62" w:type="dxa"/>
        </w:tblCellMar>
        <w:tblLook w:val="0000"/>
      </w:tblPr>
      <w:tblGrid>
        <w:gridCol w:w="2700"/>
        <w:gridCol w:w="5760"/>
      </w:tblGrid>
      <w:tr w:rsidTr="00261B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rPr>
                <w:rStyle w:val="SpecialBold"/>
              </w:rPr>
              <w:t>1</w:t>
            </w:r>
            <w:r w:rsidRPr="00AF2B65">
              <w:t xml:space="preserve">) </w:t>
            </w:r>
          </w:p>
        </w:tc>
      </w:tr>
      <w:tr w:rsidTr="00261B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t>This Unit covers the monitoring and operation of complex flow control, measuring and regulating devices to monitor and control gas supply in gas distribution systems. The competency standard refers to Inspecting and controlling; Regulation of flow and pres</w:t>
            </w:r>
            <w:r w:rsidRPr="00AF2B65">
              <w:t>sure; Measuring; Recording and reporting; Regulation of flow and regulation devices; Regulation of the system; Equipment; Organisational and statutory requirements.</w:t>
            </w:r>
          </w:p>
        </w:tc>
      </w:tr>
    </w:tbl>
    <w:p w:rsidR="00261B15" w:rsidP="00AF2B65">
      <w:pPr>
        <w:pStyle w:val="BodyText"/>
      </w:pPr>
    </w:p>
    <w:p w:rsidR="00261B15" w:rsidP="00AF2B65">
      <w:pPr>
        <w:pStyle w:val="BodyText"/>
      </w:pPr>
    </w:p>
    <w:p w:rsidR="00000000" w:rsidRPr="00AF2B65" w:rsidP="00AF2B65">
      <w:pPr>
        <w:pStyle w:val="Heading1"/>
      </w:pPr>
      <w:bookmarkStart w:id="3" w:name="O_229717"/>
      <w:bookmarkEnd w:id="3"/>
      <w:r w:rsidRPr="00AF2B65">
        <w:t>Application of the Unit</w:t>
      </w:r>
    </w:p>
    <w:tbl>
      <w:tblPr>
        <w:tblW w:w="0" w:type="auto"/>
        <w:tblLayout w:type="fixed"/>
        <w:tblCellMar>
          <w:left w:w="62" w:type="dxa"/>
          <w:right w:w="62" w:type="dxa"/>
        </w:tblCellMar>
        <w:tblLook w:val="0000"/>
      </w:tblPr>
      <w:tblGrid>
        <w:gridCol w:w="2700"/>
        <w:gridCol w:w="5760"/>
      </w:tblGrid>
      <w:tr w:rsidTr="00261B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rPr>
                <w:rStyle w:val="SpecialBold"/>
              </w:rPr>
              <w:t>3</w:t>
            </w:r>
            <w:r w:rsidRPr="00AF2B65">
              <w:t xml:space="preserve">) </w:t>
            </w:r>
          </w:p>
        </w:tc>
      </w:tr>
      <w:tr w:rsidTr="00261B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t>This competency s</w:t>
            </w:r>
            <w:r w:rsidRPr="00AF2B65">
              <w:t>tandard shall apply to any basic and safe work site where Gas Industry operations occur. It could also apply, where applicable to other workplaces in the electricity supply industry (transmission and distribution and generation), the electrotechnology indu</w:t>
            </w:r>
            <w:r w:rsidRPr="00AF2B65">
              <w:t>stry and the water industry, subject to all Occupational Health and Safety and duty of care requirements being met for the workplace.</w:t>
            </w:r>
          </w:p>
        </w:tc>
      </w:tr>
    </w:tbl>
    <w:p w:rsidR="00261B15" w:rsidP="00AF2B65">
      <w:pPr>
        <w:pStyle w:val="BodyText"/>
      </w:pPr>
    </w:p>
    <w:p w:rsidR="00261B15" w:rsidP="00AF2B65">
      <w:pPr>
        <w:pStyle w:val="BodyText"/>
      </w:pPr>
    </w:p>
    <w:p w:rsidR="00000000" w:rsidRPr="00AF2B65" w:rsidP="00AF2B65">
      <w:pPr>
        <w:pStyle w:val="Heading1"/>
      </w:pPr>
      <w:bookmarkStart w:id="4" w:name="O_229718"/>
      <w:bookmarkEnd w:id="4"/>
      <w:r w:rsidRPr="00AF2B65">
        <w:t>Licensing/Regulatory Information</w:t>
      </w:r>
    </w:p>
    <w:tbl>
      <w:tblPr>
        <w:tblW w:w="0" w:type="auto"/>
        <w:tblLayout w:type="fixed"/>
        <w:tblCellMar>
          <w:left w:w="62" w:type="dxa"/>
          <w:right w:w="62" w:type="dxa"/>
        </w:tblCellMar>
        <w:tblLook w:val="0000"/>
      </w:tblPr>
      <w:tblGrid>
        <w:gridCol w:w="2700"/>
        <w:gridCol w:w="5760"/>
      </w:tblGrid>
      <w:tr w:rsidTr="00261B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rPr>
                <w:rStyle w:val="SpecialBold"/>
              </w:rPr>
              <w:t>3</w:t>
            </w:r>
            <w:r w:rsidRPr="00AF2B65">
              <w:t>.</w:t>
            </w:r>
            <w:r w:rsidRPr="00AF2B65">
              <w:rPr>
                <w:rStyle w:val="SpecialBold"/>
              </w:rPr>
              <w:t>1</w:t>
            </w:r>
            <w:r w:rsidRPr="00AF2B65">
              <w:t xml:space="preserve">) </w:t>
            </w:r>
          </w:p>
        </w:tc>
      </w:tr>
      <w:tr w:rsidTr="00261B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t xml:space="preserve">The skills and knowledge described in this unit are not subject to licence regulation other than those directly related to Occupational Health and Safety, gas/electricity/water industry safety and compliance, </w:t>
            </w:r>
            <w:r w:rsidRPr="00AF2B65">
              <w:t>industrial relations, environmental protection,</w:t>
            </w:r>
            <w:r w:rsidRPr="00AF2B65">
              <w:t xml:space="preserve"> telecommunications, anti discrimination and training. Commonwealth, State/Territory or Local Government legislation and regulations may exist that limits the age at which persons can operate certain equipment.</w:t>
            </w:r>
          </w:p>
        </w:tc>
      </w:tr>
    </w:tbl>
    <w:p w:rsidR="00261B15" w:rsidP="00AF2B65">
      <w:pPr>
        <w:pStyle w:val="BodyText"/>
      </w:pPr>
    </w:p>
    <w:p w:rsidR="00261B15" w:rsidP="00AF2B65">
      <w:pPr>
        <w:pStyle w:val="BodyText"/>
      </w:pPr>
    </w:p>
    <w:p w:rsidR="00000000" w:rsidRPr="00AF2B65" w:rsidP="00AF2B65">
      <w:pPr>
        <w:pStyle w:val="Heading1"/>
      </w:pPr>
      <w:bookmarkStart w:id="5" w:name="O_229715"/>
      <w:bookmarkEnd w:id="5"/>
      <w:r w:rsidRPr="00AF2B65">
        <w:t>Pre-Requisites</w:t>
      </w:r>
    </w:p>
    <w:tbl>
      <w:tblPr>
        <w:tblW w:w="0" w:type="auto"/>
        <w:tblLayout w:type="fixed"/>
        <w:tblCellMar>
          <w:left w:w="62" w:type="dxa"/>
          <w:right w:w="62" w:type="dxa"/>
        </w:tblCellMar>
        <w:tblLook w:val="0000"/>
      </w:tblPr>
      <w:tblGrid>
        <w:gridCol w:w="2700"/>
        <w:gridCol w:w="1800"/>
        <w:gridCol w:w="3960"/>
      </w:tblGrid>
      <w:tr w:rsidTr="00261B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rPr>
                <w:rStyle w:val="SpecialBold"/>
              </w:rPr>
              <w:t>Prerequisi</w:t>
            </w:r>
            <w:r w:rsidRPr="00AF2B65">
              <w:rPr>
                <w:rStyle w:val="SpecialBold"/>
              </w:rPr>
              <w:t>te Unit</w:t>
            </w:r>
            <w:r w:rsidRPr="00AF2B65">
              <w:t>(</w:t>
            </w:r>
            <w:r w:rsidRPr="00AF2B65">
              <w:rPr>
                <w:rStyle w:val="SpecialBold"/>
              </w:rPr>
              <w:t>s</w:t>
            </w:r>
            <w:r w:rsidRPr="00AF2B65">
              <w:t>)</w:t>
            </w:r>
          </w:p>
        </w:tc>
        <w:tc>
          <w:tcPr>
            <w:tcW w:w="5760" w:type="dxa"/>
            <w:gridSpan w:val="2"/>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rPr>
                <w:rStyle w:val="SpecialBold"/>
              </w:rPr>
              <w:t>2</w:t>
            </w:r>
            <w:r w:rsidRPr="00AF2B65">
              <w:t xml:space="preserve">) </w:t>
            </w:r>
          </w:p>
        </w:tc>
      </w:tr>
      <w:tr w:rsidTr="00261B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rPr>
                <w:rStyle w:val="SpecialBold"/>
              </w:rPr>
              <w:t>2</w:t>
            </w:r>
            <w:r w:rsidRPr="00AF2B65">
              <w:t>.</w:t>
            </w:r>
            <w:r w:rsidRPr="00AF2B65">
              <w:rPr>
                <w:rStyle w:val="SpecialBold"/>
              </w:rPr>
              <w:t>1</w:t>
            </w:r>
            <w:r w:rsidRPr="00AF2B65">
              <w:t xml:space="preserve">) </w:t>
            </w:r>
          </w:p>
        </w:tc>
      </w:tr>
      <w:tr w:rsidTr="00261B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Granting of competency in this unit shall be made only after competency in the following unit(s) has/have been confirmed:</w:t>
            </w:r>
          </w:p>
        </w:tc>
      </w:tr>
      <w:tr w:rsidTr="00261B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Nil</w:t>
            </w:r>
          </w:p>
        </w:tc>
        <w:tc>
          <w:tcPr>
            <w:tcW w:w="3960" w:type="dxa"/>
            <w:tcBorders>
              <w:top w:val="nil"/>
              <w:left w:val="nil"/>
              <w:bottom w:val="nil"/>
              <w:right w:val="nil"/>
            </w:tcBorders>
            <w:tcMar>
              <w:top w:w="0" w:type="dxa"/>
              <w:left w:w="62" w:type="dxa"/>
              <w:bottom w:w="0" w:type="dxa"/>
              <w:right w:w="62" w:type="dxa"/>
            </w:tcMar>
          </w:tcPr>
          <w:p w:rsidR="00000000" w:rsidRPr="00AF2B65" w:rsidP="00AF2B65">
            <w:pPr>
              <w:pStyle w:val="BodyText"/>
            </w:pPr>
          </w:p>
        </w:tc>
      </w:tr>
    </w:tbl>
    <w:p w:rsidR="00261B15" w:rsidP="00AF2B65">
      <w:pPr>
        <w:pStyle w:val="BodyText"/>
      </w:pPr>
    </w:p>
    <w:p w:rsidR="00261B15" w:rsidP="00AF2B65">
      <w:pPr>
        <w:pStyle w:val="BodyText"/>
      </w:pPr>
    </w:p>
    <w:p w:rsidR="00000000" w:rsidRPr="00AF2B65" w:rsidP="00AF2B65">
      <w:pPr>
        <w:pStyle w:val="Heading1"/>
      </w:pPr>
      <w:bookmarkStart w:id="6" w:name="O_285398"/>
      <w:bookmarkEnd w:id="6"/>
      <w:r w:rsidRPr="00AF2B65">
        <w:t>Employability Skills Information</w:t>
      </w:r>
    </w:p>
    <w:p w:rsidR="00000000" w:rsidRPr="00AF2B65" w:rsidP="00AF2B65">
      <w:pPr>
        <w:pStyle w:val="BodyText"/>
      </w:pPr>
      <w:r w:rsidRPr="00AF2B65">
        <w:t>Refer to the Evidence Guide</w:t>
      </w:r>
    </w:p>
    <w:p w:rsidR="00000000" w:rsidRPr="00AF2B65" w:rsidP="00AF2B65">
      <w:pPr>
        <w:pStyle w:val="AllowPageBreak"/>
      </w:pPr>
    </w:p>
    <w:p w:rsidR="00000000" w:rsidRPr="00AF2B65" w:rsidP="00AF2B65">
      <w:pPr>
        <w:pStyle w:val="Heading1"/>
      </w:pPr>
      <w:bookmarkStart w:id="7" w:name="O_293195"/>
      <w:bookmarkEnd w:id="7"/>
      <w:r w:rsidRPr="00AF2B65">
        <w:t>Elements and Performance Criteria Pre-Content</w:t>
      </w:r>
    </w:p>
    <w:tbl>
      <w:tblPr>
        <w:tblW w:w="0" w:type="auto"/>
        <w:tblLayout w:type="fixed"/>
        <w:tblCellMar>
          <w:left w:w="62" w:type="dxa"/>
          <w:right w:w="62" w:type="dxa"/>
        </w:tblCellMar>
        <w:tblLook w:val="0000"/>
      </w:tblPr>
      <w:tblGrid>
        <w:gridCol w:w="2700"/>
        <w:gridCol w:w="5760"/>
      </w:tblGrid>
      <w:tr w:rsidTr="00261B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rPr>
                <w:rStyle w:val="SpecialBold"/>
              </w:rPr>
              <w:t>5</w:t>
            </w:r>
            <w:r w:rsidRPr="00AF2B6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t>Performance Criteria describe the required performance needed to demonstrate achievement of the element. Assessment of perform</w:t>
            </w:r>
            <w:r w:rsidRPr="00AF2B65">
              <w:t>ance is to be consistent with the Evidence Guide.</w:t>
            </w:r>
          </w:p>
        </w:tc>
      </w:tr>
    </w:tbl>
    <w:p w:rsidR="00000000" w:rsidRPr="00AF2B65" w:rsidP="00AF2B65">
      <w:pPr>
        <w:pStyle w:val="BodyText"/>
      </w:pPr>
    </w:p>
    <w:p w:rsidR="00000000" w:rsidRPr="00AF2B65" w:rsidP="00AF2B65">
      <w:pPr>
        <w:pStyle w:val="AllowPageBreak"/>
      </w:pPr>
    </w:p>
    <w:p w:rsidR="00000000" w:rsidRPr="00AF2B65" w:rsidP="00AF2B65">
      <w:pPr>
        <w:pStyle w:val="Heading1"/>
      </w:pPr>
      <w:bookmarkStart w:id="8" w:name="O_239863"/>
      <w:bookmarkEnd w:id="8"/>
      <w:r w:rsidRPr="00AF2B6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61B1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rPr>
                <w:rStyle w:val="SpecialBold"/>
              </w:rPr>
              <w:t>PERFORMANCE CRITERIA</w:t>
            </w:r>
          </w:p>
        </w:tc>
      </w:tr>
      <w:tr w:rsidTr="00261B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1</w:t>
            </w:r>
          </w:p>
        </w:tc>
        <w:tc>
          <w:tcPr>
            <w:tcW w:w="2296" w:type="dxa"/>
            <w:vMerge w:val="restart"/>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 xml:space="preserve">Plan and prepare for the operation of complex flow control </w:t>
            </w:r>
          </w:p>
        </w:tc>
        <w:tc>
          <w:tcPr>
            <w:tcW w:w="9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1.1</w:t>
            </w:r>
          </w:p>
        </w:tc>
        <w:tc>
          <w:tcPr>
            <w:tcW w:w="48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Work requirements for monitoring and operating complex flow control, measuring and regulating devices are interpreted from plans, specifications and instructions</w:t>
            </w:r>
          </w:p>
        </w:tc>
      </w:tr>
      <w:tr w:rsidTr="00261B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1.2</w:t>
            </w:r>
          </w:p>
        </w:tc>
        <w:tc>
          <w:tcPr>
            <w:tcW w:w="48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Relevant requirements and established procedures for the work are communicated to all p</w:t>
            </w:r>
            <w:r w:rsidRPr="00AF2B65">
              <w:t>ersons</w:t>
            </w:r>
          </w:p>
        </w:tc>
      </w:tr>
      <w:tr w:rsidTr="00261B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1.3</w:t>
            </w:r>
          </w:p>
        </w:tc>
        <w:tc>
          <w:tcPr>
            <w:tcW w:w="48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 xml:space="preserve">OHS, environmental and sustainable energy policies and procedures related to the monitoring and operating of complex flow controls are obtained and confirmed for the purposes of the work performed and communicated </w:t>
            </w:r>
          </w:p>
        </w:tc>
      </w:tr>
      <w:tr w:rsidTr="00261B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1.4</w:t>
            </w:r>
          </w:p>
        </w:tc>
        <w:tc>
          <w:tcPr>
            <w:tcW w:w="48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Work is prioritised and sequenced following consultation with others for completion within acceptable timeframes and in accordance with established procedures</w:t>
            </w:r>
          </w:p>
        </w:tc>
      </w:tr>
      <w:tr w:rsidTr="00261B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1.5</w:t>
            </w:r>
          </w:p>
        </w:tc>
        <w:tc>
          <w:tcPr>
            <w:tcW w:w="48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Risk control measures for identified hazards are prioritised, implemented and monitored ag</w:t>
            </w:r>
            <w:r w:rsidRPr="00AF2B65">
              <w:t>ainst the work schedule</w:t>
            </w:r>
          </w:p>
        </w:tc>
      </w:tr>
      <w:tr w:rsidTr="00261B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1.6</w:t>
            </w:r>
          </w:p>
        </w:tc>
        <w:tc>
          <w:tcPr>
            <w:tcW w:w="48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Relevant work permits are obtained to access, isolate/de-energise systems and perform work according to requirements and established procedures</w:t>
            </w:r>
          </w:p>
        </w:tc>
      </w:tr>
      <w:tr w:rsidTr="00261B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1.7</w:t>
            </w:r>
          </w:p>
        </w:tc>
        <w:tc>
          <w:tcPr>
            <w:tcW w:w="48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Resources includin</w:t>
            </w:r>
            <w:r w:rsidRPr="00AF2B65">
              <w:t>g appropriately licensed persons, equipment, tools and personal protective equipment required for investigating billing exceptions and conditions are identified, scheduled and obtained and confirmed in working order</w:t>
            </w:r>
          </w:p>
        </w:tc>
      </w:tr>
      <w:tr w:rsidTr="00261B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1.8</w:t>
            </w:r>
          </w:p>
        </w:tc>
        <w:tc>
          <w:tcPr>
            <w:tcW w:w="48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Liaison and communication with au</w:t>
            </w:r>
            <w:r w:rsidRPr="00AF2B65">
              <w:t>thorised persons, authorities, clients and land-owners is completed so that work can be carried out where necessary</w:t>
            </w:r>
          </w:p>
        </w:tc>
      </w:tr>
      <w:tr w:rsidTr="00261B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1.9</w:t>
            </w:r>
          </w:p>
        </w:tc>
        <w:tc>
          <w:tcPr>
            <w:tcW w:w="48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Persons participating in the work, including plant operators and contractors are fully briefed and respective responsibilities confir</w:t>
            </w:r>
            <w:r w:rsidRPr="00AF2B65">
              <w:t xml:space="preserve">med where applicable in accordance with established procedures </w:t>
            </w:r>
          </w:p>
        </w:tc>
      </w:tr>
      <w:tr w:rsidTr="00261B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2</w:t>
            </w:r>
          </w:p>
        </w:tc>
        <w:tc>
          <w:tcPr>
            <w:tcW w:w="2296" w:type="dxa"/>
            <w:vMerge w:val="restart"/>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Repair and replace devices and equipment and monitor system performance</w:t>
            </w:r>
          </w:p>
        </w:tc>
        <w:tc>
          <w:tcPr>
            <w:tcW w:w="9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2.1</w:t>
            </w:r>
          </w:p>
        </w:tc>
        <w:tc>
          <w:tcPr>
            <w:tcW w:w="48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Information on device and equipment performance is collected and reported in accordance with organisational requirements</w:t>
            </w:r>
          </w:p>
        </w:tc>
      </w:tr>
      <w:tr w:rsidTr="00261B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2.2</w:t>
            </w:r>
          </w:p>
        </w:tc>
        <w:tc>
          <w:tcPr>
            <w:tcW w:w="48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Dealing with customers are consistent with standard operating procedures and the special needs of customers are identified and c</w:t>
            </w:r>
            <w:r w:rsidRPr="00AF2B65">
              <w:t xml:space="preserve">onsidered in targeting client service </w:t>
            </w:r>
          </w:p>
        </w:tc>
      </w:tr>
      <w:tr w:rsidTr="00261B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2.3</w:t>
            </w:r>
          </w:p>
        </w:tc>
        <w:tc>
          <w:tcPr>
            <w:tcW w:w="48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Essential Knowledge and Associated Skills for monitoring and operating complex flow control devices are applied to ensure completion in an agreed timeframe and to quality standards with a minimum of waste accor</w:t>
            </w:r>
            <w:r w:rsidRPr="00AF2B65">
              <w:t>ding to requirements</w:t>
            </w:r>
          </w:p>
        </w:tc>
      </w:tr>
      <w:tr w:rsidTr="00261B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2.4</w:t>
            </w:r>
          </w:p>
        </w:tc>
        <w:tc>
          <w:tcPr>
            <w:tcW w:w="48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 xml:space="preserve">Routine inspections of system are scheduled and monitored in accordance with the work schedule and established procedures </w:t>
            </w:r>
          </w:p>
        </w:tc>
      </w:tr>
      <w:tr w:rsidTr="00261B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2.5</w:t>
            </w:r>
          </w:p>
        </w:tc>
        <w:tc>
          <w:tcPr>
            <w:tcW w:w="48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Hazard warnings and safety signs are recognised and hazards and assessed OHS risks are reported to the immediate authorised persons for directions according to established procedures</w:t>
            </w:r>
          </w:p>
        </w:tc>
      </w:tr>
      <w:tr w:rsidTr="00261B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2.6</w:t>
            </w:r>
          </w:p>
        </w:tc>
        <w:tc>
          <w:tcPr>
            <w:tcW w:w="48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Data on system performance and usage is collected, analysed and re</w:t>
            </w:r>
            <w:r w:rsidRPr="00AF2B65">
              <w:t xml:space="preserve">ported and unplanned events in the monitoring and operation of complex flow control are undertaken with the scope of established procedures </w:t>
            </w:r>
          </w:p>
        </w:tc>
      </w:tr>
      <w:tr w:rsidTr="00261B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2.7</w:t>
            </w:r>
          </w:p>
        </w:tc>
        <w:tc>
          <w:tcPr>
            <w:tcW w:w="48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Samples are taken in accordance with established procedures and known solutions to a variety of problems are applied using Essential Knowledge and Associated Skills</w:t>
            </w:r>
          </w:p>
        </w:tc>
      </w:tr>
      <w:tr w:rsidTr="00261B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2.8</w:t>
            </w:r>
          </w:p>
        </w:tc>
        <w:tc>
          <w:tcPr>
            <w:tcW w:w="48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Ongoing checks of quality of the work are undertaken in accordance with given instru</w:t>
            </w:r>
            <w:r w:rsidRPr="00AF2B65">
              <w:t>ctions and established procedures</w:t>
            </w:r>
          </w:p>
        </w:tc>
      </w:tr>
      <w:tr w:rsidTr="00261B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3</w:t>
            </w:r>
          </w:p>
        </w:tc>
        <w:tc>
          <w:tcPr>
            <w:tcW w:w="2296" w:type="dxa"/>
            <w:vMerge w:val="restart"/>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Controlling and adjusting flows and compilation of records and reports</w:t>
            </w:r>
          </w:p>
        </w:tc>
        <w:tc>
          <w:tcPr>
            <w:tcW w:w="9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3.1</w:t>
            </w:r>
          </w:p>
        </w:tc>
        <w:tc>
          <w:tcPr>
            <w:tcW w:w="48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Flow and overflow regulating systems are inspected and adjustments made to meet demand and customer requirements</w:t>
            </w:r>
          </w:p>
        </w:tc>
      </w:tr>
      <w:tr w:rsidTr="00261B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3.2</w:t>
            </w:r>
          </w:p>
        </w:tc>
        <w:tc>
          <w:tcPr>
            <w:tcW w:w="48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Accidents and injuries are reported in accordance with established procedures where applicable</w:t>
            </w:r>
          </w:p>
        </w:tc>
      </w:tr>
      <w:tr w:rsidTr="00261B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3.3</w:t>
            </w:r>
          </w:p>
        </w:tc>
        <w:tc>
          <w:tcPr>
            <w:tcW w:w="48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Flows and diversions are determined to facilitate repair or emergency activities in accordance with organisational requirements</w:t>
            </w:r>
          </w:p>
        </w:tc>
      </w:tr>
      <w:tr w:rsidTr="00261B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3.4</w:t>
            </w:r>
          </w:p>
        </w:tc>
        <w:tc>
          <w:tcPr>
            <w:tcW w:w="48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Process faults and operational conditions of the system are identified, addressed and reported in accordance with organisational requirements</w:t>
            </w:r>
          </w:p>
        </w:tc>
      </w:tr>
      <w:tr w:rsidTr="00261B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3.5</w:t>
            </w:r>
          </w:p>
        </w:tc>
        <w:tc>
          <w:tcPr>
            <w:tcW w:w="4860" w:type="dxa"/>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t>Work completion records, reports and documentation are finalised and processed and appropriate persons noti</w:t>
            </w:r>
            <w:r w:rsidRPr="00AF2B65">
              <w:t>fied</w:t>
            </w:r>
          </w:p>
        </w:tc>
      </w:tr>
    </w:tbl>
    <w:p w:rsidR="00261B15" w:rsidP="00AF2B65">
      <w:pPr>
        <w:pStyle w:val="BodyText"/>
      </w:pPr>
    </w:p>
    <w:p w:rsidR="00261B15" w:rsidP="00AF2B65">
      <w:pPr>
        <w:pStyle w:val="BodyText"/>
      </w:pPr>
    </w:p>
    <w:p w:rsidR="00000000" w:rsidRPr="00AF2B65" w:rsidP="00AF2B65">
      <w:pPr>
        <w:pStyle w:val="Heading1"/>
      </w:pPr>
      <w:bookmarkStart w:id="9" w:name="O_263654"/>
      <w:bookmarkEnd w:id="9"/>
      <w:r w:rsidRPr="00AF2B65">
        <w:t>Required Skills and Knowledge</w:t>
      </w:r>
    </w:p>
    <w:tbl>
      <w:tblPr>
        <w:tblW w:w="0" w:type="auto"/>
        <w:tblLayout w:type="fixed"/>
        <w:tblCellMar>
          <w:left w:w="62" w:type="dxa"/>
          <w:right w:w="62" w:type="dxa"/>
        </w:tblCellMar>
        <w:tblLook w:val="0000"/>
      </w:tblPr>
      <w:tblGrid>
        <w:gridCol w:w="2700"/>
        <w:gridCol w:w="1080"/>
        <w:gridCol w:w="4680"/>
      </w:tblGrid>
      <w:tr w:rsidTr="00261B1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rPr>
                <w:rStyle w:val="SpecialBold"/>
              </w:rPr>
              <w:t>REQUIRED SKILLS AND KNOWLEDGE</w:t>
            </w:r>
          </w:p>
        </w:tc>
      </w:tr>
      <w:tr w:rsidTr="00261B1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rPr>
                <w:rStyle w:val="SpecialBold"/>
              </w:rPr>
              <w:t>6</w:t>
            </w:r>
            <w:r w:rsidRPr="00AF2B65">
              <w:t>) This describes the essential skills and knowledge and their level, required for this unit.</w:t>
            </w:r>
          </w:p>
        </w:tc>
      </w:tr>
      <w:tr w:rsidTr="00261B1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Evidence shall show that knowledge has been acquired of safe working practices monitoring and operating complex flow control, measuring and regulating devices for gas pressure control. The extent of the essential knowledge and associated skills (EKAS) requ</w:t>
            </w:r>
            <w:r w:rsidRPr="00AF2B65">
              <w:t>ired is given in Volume 2 - Part 2.2 EKAS.  It forms an integral part of this unit.</w:t>
            </w:r>
          </w:p>
        </w:tc>
      </w:tr>
      <w:tr w:rsidTr="00261B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3.2.1</w:t>
            </w:r>
          </w:p>
        </w:tc>
        <w:tc>
          <w:tcPr>
            <w:tcW w:w="468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Consulting appropriate persons to coordinate work and persons on a Gas Industry workplace</w:t>
            </w:r>
          </w:p>
        </w:tc>
      </w:tr>
      <w:tr w:rsidTr="00261B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3.2.7</w:t>
            </w:r>
          </w:p>
        </w:tc>
        <w:tc>
          <w:tcPr>
            <w:tcW w:w="468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Prepare reports</w:t>
            </w:r>
          </w:p>
        </w:tc>
      </w:tr>
      <w:tr w:rsidTr="00261B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3.2.17</w:t>
            </w:r>
          </w:p>
        </w:tc>
        <w:tc>
          <w:tcPr>
            <w:tcW w:w="468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Maintain records</w:t>
            </w:r>
          </w:p>
        </w:tc>
      </w:tr>
      <w:tr w:rsidTr="00261B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3.2.19</w:t>
            </w:r>
          </w:p>
        </w:tc>
        <w:tc>
          <w:tcPr>
            <w:tcW w:w="468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 xml:space="preserve">Liaise and communicate with relevant parties </w:t>
            </w:r>
          </w:p>
        </w:tc>
      </w:tr>
      <w:tr w:rsidTr="00261B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3.8.1</w:t>
            </w:r>
          </w:p>
        </w:tc>
        <w:tc>
          <w:tcPr>
            <w:tcW w:w="468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Systems operations flow control</w:t>
            </w:r>
          </w:p>
        </w:tc>
      </w:tr>
      <w:tr w:rsidTr="00261B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4.1.5</w:t>
            </w:r>
          </w:p>
        </w:tc>
        <w:tc>
          <w:tcPr>
            <w:tcW w:w="4680" w:type="dxa"/>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t>Interpreting Gas Industry drawings</w:t>
            </w:r>
          </w:p>
        </w:tc>
      </w:tr>
    </w:tbl>
    <w:p w:rsidR="00261B15" w:rsidP="00AF2B65">
      <w:pPr>
        <w:pStyle w:val="BodyText"/>
      </w:pPr>
    </w:p>
    <w:p w:rsidR="00261B15" w:rsidP="00AF2B65">
      <w:pPr>
        <w:pStyle w:val="BodyText"/>
      </w:pPr>
    </w:p>
    <w:p w:rsidR="00000000" w:rsidRPr="00AF2B65" w:rsidP="00AF2B65">
      <w:pPr>
        <w:pStyle w:val="Heading1"/>
      </w:pPr>
      <w:bookmarkStart w:id="10" w:name="O_247846"/>
      <w:bookmarkEnd w:id="10"/>
      <w:r w:rsidRPr="00AF2B65">
        <w:t>Evidence Guide</w:t>
      </w:r>
    </w:p>
    <w:tbl>
      <w:tblPr>
        <w:tblW w:w="0" w:type="auto"/>
        <w:tblLayout w:type="fixed"/>
        <w:tblCellMar>
          <w:left w:w="62" w:type="dxa"/>
          <w:right w:w="62" w:type="dxa"/>
        </w:tblCellMar>
        <w:tblLook w:val="0000"/>
      </w:tblPr>
      <w:tblGrid>
        <w:gridCol w:w="2160"/>
        <w:gridCol w:w="540"/>
        <w:gridCol w:w="900"/>
        <w:gridCol w:w="1980"/>
        <w:gridCol w:w="2880"/>
      </w:tblGrid>
      <w:tr w:rsidTr="00261B15">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rPr>
                <w:rStyle w:val="SpecialBold"/>
              </w:rPr>
              <w:t>EVIDENCE GUIDE</w:t>
            </w:r>
          </w:p>
        </w:tc>
      </w:tr>
      <w:tr w:rsidTr="00261B15">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rPr>
                <w:rStyle w:val="SpecialBold"/>
              </w:rPr>
              <w:t>8</w:t>
            </w:r>
            <w:r w:rsidRPr="00AF2B65">
              <w:t>)  The Evidenc</w:t>
            </w:r>
            <w:r w:rsidRPr="00AF2B65">
              <w:t>e Guide forms an integral part of this Unit and shall be used in conjunction with all components parts of the unit and performed in accordance with the Assessment Guidelines of this Training Package.</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rPr>
                <w:rStyle w:val="SpecialBold"/>
              </w:rPr>
              <w:t>8</w:t>
            </w:r>
            <w:r w:rsidRPr="00AF2B65">
              <w:t>.</w:t>
            </w:r>
            <w:r w:rsidRPr="00AF2B65">
              <w:rPr>
                <w:rStyle w:val="SpecialBold"/>
              </w:rPr>
              <w:t>1</w:t>
            </w:r>
            <w:r w:rsidRPr="00AF2B65">
              <w:t xml:space="preserve">) </w:t>
            </w:r>
          </w:p>
          <w:p w:rsidR="00000000" w:rsidRPr="00AF2B65" w:rsidP="00AF2B65">
            <w:pPr>
              <w:pStyle w:val="BodyText"/>
            </w:pPr>
            <w:r w:rsidRPr="00AF2B65">
              <w:t>Longitudinal competenc</w:t>
            </w:r>
            <w:r w:rsidRPr="00AF2B65">
              <w:t>y development approaches to assessment, such as Profiling, require data to be reliably gathered in a form that can be consistently interpreted over time. This approach is best utilised in Apprenticeship programs and reduces assessment intervention. It is t</w:t>
            </w:r>
            <w:r w:rsidRPr="00AF2B65">
              <w:t>he Industry's preferred model for apprenticeships. However, where summative (or final) assessment is used it is to include the application of the competency in the normal work environment or, at a minimum, the application of the competency in a realistical</w:t>
            </w:r>
            <w:r w:rsidRPr="00AF2B65">
              <w:t>ly simulated work environment. It is recognised that, in some circumstances, assessment in part or full can occur outside the workplace. However, it must be in accord with Industry and Regulatory policy in this regard.</w:t>
            </w:r>
          </w:p>
          <w:p w:rsidR="00000000" w:rsidRPr="00AF2B65" w:rsidP="00AF2B65">
            <w:pPr>
              <w:pStyle w:val="BodyText"/>
            </w:pPr>
            <w:r w:rsidRPr="00AF2B65">
              <w:t>Methods chosen for a particular asses</w:t>
            </w:r>
            <w:r w:rsidRPr="00AF2B65">
              <w:t>sment will be influenced by various factors. These include the extent of the assessment, the most effective locations for the assessment activities to take place, access to physical resources, additional safety measures that may be required and the critica</w:t>
            </w:r>
            <w:r w:rsidRPr="00AF2B65">
              <w:t>l nature of the competencies being assessed.</w:t>
            </w:r>
          </w:p>
          <w:p w:rsidR="00000000" w:rsidRPr="00AF2B65" w:rsidP="00AF2B65">
            <w:pPr>
              <w:pStyle w:val="BodyText"/>
            </w:pPr>
            <w:r w:rsidRPr="00AF2B65">
              <w:t>The critical safety nature of working with electricity, electrical equipment, gas or any other hazardous substance/material carries risk in deeming a person competent. Hence, sources of evidence need to be 'rich</w:t>
            </w:r>
            <w:r w:rsidRPr="00AF2B65">
              <w:t>' in nature so as to minimise error in judgment.</w:t>
            </w:r>
          </w:p>
          <w:p w:rsidR="00000000" w:rsidP="00AF2B65">
            <w:pPr>
              <w:pStyle w:val="BodyText"/>
              <w:rPr>
                <w:lang w:val="en-NZ"/>
              </w:rPr>
            </w:pPr>
            <w:r w:rsidRPr="00AF2B65">
              <w:t>Activities associated with normal every day work have a bearing on the decision as to how much and how detailed the data gathered will contribute to its 'richness'. Some skills are more critical to safety an</w:t>
            </w:r>
            <w:r w:rsidRPr="00AF2B65">
              <w:t>d operational requirements while the same skills may be more or less frequently practiced. These points are raised for the assessors to consider when choosing an assessment method and developing assessment instruments. Sample instruments are included for A</w:t>
            </w:r>
            <w:r w:rsidRPr="00AF2B65">
              <w:t>ssessors in the Assessment Guidelines of this Training Package.</w:t>
            </w:r>
          </w:p>
        </w:tc>
      </w:tr>
      <w:tr w:rsidTr="00261B1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rPr>
                <w:rStyle w:val="SpecialBold"/>
              </w:rPr>
              <w:t xml:space="preserve">Critical aspects of evidence required to demonstrate </w:t>
            </w:r>
            <w:r w:rsidRPr="00AF2B65">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rPr>
                <w:rStyle w:val="SpecialBold"/>
              </w:rPr>
              <w:t>8</w:t>
            </w:r>
            <w:r w:rsidRPr="00AF2B65">
              <w:t>.</w:t>
            </w:r>
            <w:r w:rsidRPr="00AF2B65">
              <w:rPr>
                <w:rStyle w:val="SpecialBold"/>
              </w:rPr>
              <w:t>2</w:t>
            </w:r>
            <w:r w:rsidRPr="00AF2B65">
              <w:t xml:space="preserve">) </w:t>
            </w:r>
          </w:p>
          <w:p w:rsidR="00000000" w:rsidP="00AF2B65">
            <w:pPr>
              <w:pStyle w:val="BodyText"/>
              <w:rPr>
                <w:lang w:val="en-NZ"/>
              </w:rPr>
            </w:pPr>
            <w:r w:rsidRPr="00AF2B65">
              <w:t>Before the critical aspects of evidence are considered all prerequisites shall be met.</w:t>
            </w:r>
          </w:p>
        </w:tc>
      </w:tr>
      <w:tr w:rsidTr="00261B1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t>Evidence for competence in this unit shall be considered holistically.  Each element and associated Performance Criteria shall be demonstrated on at least two occasions in accordance with the "Assessment Guidelines  UEG06".  Evidence shall also comprise:</w:t>
            </w:r>
          </w:p>
          <w:p w:rsidR="00000000" w:rsidP="00AF2B65">
            <w:pPr>
              <w:pStyle w:val="ListBullet"/>
              <w:rPr>
                <w:lang w:val="en-NZ"/>
              </w:rPr>
            </w:pPr>
            <w:r w:rsidRPr="00AF2B65">
              <w:t>A</w:t>
            </w:r>
            <w:r w:rsidRPr="00AF2B65">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F2B65" w:rsidP="00AF2B65">
            <w:pPr>
              <w:pStyle w:val="ListBullet2"/>
            </w:pPr>
            <w:r w:rsidRPr="00AF2B65">
              <w:t>Implement Occupational Health and Safety workplace procedures and practices including the use of risk control measures as specified in the Performance Criteria and range</w:t>
            </w:r>
          </w:p>
          <w:p w:rsidR="00000000" w:rsidRPr="00AF2B65" w:rsidP="00AF2B65">
            <w:pPr>
              <w:pStyle w:val="ListBullet2"/>
            </w:pPr>
            <w:r w:rsidRPr="00AF2B65">
              <w:t>Apply sustainable energy principles and practices as specified in the Performance Crit</w:t>
            </w:r>
            <w:r w:rsidRPr="00AF2B65">
              <w:t>eria and range</w:t>
            </w:r>
          </w:p>
          <w:p w:rsidR="00000000" w:rsidRPr="00AF2B65" w:rsidP="00AF2B65">
            <w:pPr>
              <w:pStyle w:val="ListBullet2"/>
            </w:pPr>
            <w:r w:rsidRPr="00AF2B65">
              <w:t>Demonstrate an understanding of the essential knowledge and associated skills as described in this unit to such an extent that the learner's performance outcome is reported in accordance with the preferred approach; namely a percentile grade</w:t>
            </w:r>
            <w:r w:rsidRPr="00AF2B65">
              <w:t>d result, where required by the regulated environment</w:t>
            </w:r>
          </w:p>
          <w:p w:rsidR="00000000" w:rsidRPr="00AF2B65" w:rsidP="00AF2B65">
            <w:pPr>
              <w:pStyle w:val="ListBullet2"/>
            </w:pPr>
            <w:r w:rsidRPr="00AF2B65">
              <w:t>Demonstrate an appropriate level of skills enabling employment</w:t>
            </w:r>
          </w:p>
          <w:p w:rsidR="00000000" w:rsidP="00AF2B65">
            <w:pPr>
              <w:pStyle w:val="ListBullet2"/>
              <w:rPr>
                <w:lang w:val="en-NZ"/>
              </w:rPr>
            </w:pPr>
            <w:r w:rsidRPr="00AF2B65">
              <w:t>Conduct work observing the relevant Anti Discrimination legislation, regulations, polices and workplace procedures</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F2B65">
            <w:pPr>
              <w:pStyle w:val="ListBullet2"/>
              <w:rPr>
                <w:lang w:val="en-NZ"/>
              </w:rPr>
            </w:pPr>
            <w:r w:rsidRPr="00AF2B65">
              <w:t>Demonstrate performance across a representative range of contexts from the prescribed items below.</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AF2B65">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rPr>
                <w:rStyle w:val="SpecialBold"/>
              </w:rPr>
              <w:t>Range of tools</w:t>
            </w:r>
            <w:r w:rsidRPr="00AF2B65">
              <w:t>/</w:t>
            </w:r>
            <w:r w:rsidRPr="00AF2B65">
              <w:rPr>
                <w:rStyle w:val="SpecialBold"/>
              </w:rPr>
              <w:t>equipment</w:t>
            </w:r>
            <w:r w:rsidRPr="00AF2B65">
              <w:t>/</w:t>
            </w:r>
            <w:r w:rsidRPr="00AF2B65">
              <w:rPr>
                <w:rStyle w:val="SpecialBold"/>
              </w:rPr>
              <w:t>materials</w:t>
            </w:r>
            <w:r w:rsidRPr="00AF2B65">
              <w:t>/</w:t>
            </w:r>
            <w:r w:rsidRPr="00AF2B65">
              <w:rPr>
                <w:rStyle w:val="SpecialBold"/>
              </w:rPr>
              <w:t>procedures</w:t>
            </w:r>
            <w:r w:rsidRPr="00AF2B65">
              <w:t>/</w:t>
            </w:r>
            <w:r w:rsidRPr="00AF2B65">
              <w:br/>
            </w:r>
            <w:r w:rsidRPr="00AF2B65">
              <w:rPr>
                <w:rStyle w:val="SpecialBold"/>
              </w:rPr>
              <w:t>workplaces</w:t>
            </w:r>
            <w:r w:rsidRPr="00AF2B65">
              <w:t>/</w:t>
            </w:r>
            <w:r w:rsidRPr="00AF2B65">
              <w:rPr>
                <w:rStyle w:val="SpecialBold"/>
              </w:rPr>
              <w:t>other variables</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AF2B65">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r w:rsidRPr="00AF2B65">
              <w:rPr>
                <w:rStyle w:val="SpecialBold"/>
              </w:rPr>
              <w:t>Group No</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r w:rsidRPr="00AF2B65">
              <w:rPr>
                <w:rStyle w:val="SpecialBold"/>
              </w:rPr>
              <w:t>The minimum number of items on which skill is to be demonstrated</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rPr>
                <w:rStyle w:val="SpecialBold"/>
              </w:rPr>
              <w:t>Item List</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At least 3</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r w:rsidRPr="00AF2B65">
              <w:t>Interpret technical drawings and symbols</w:t>
            </w:r>
          </w:p>
          <w:p w:rsidR="00000000" w:rsidRPr="00AF2B65" w:rsidP="00AF2B65">
            <w:pPr>
              <w:pStyle w:val="BodyText"/>
            </w:pPr>
            <w:r w:rsidRPr="00AF2B65">
              <w:t>Selection of appropriate tools and equipment</w:t>
            </w:r>
          </w:p>
          <w:p w:rsidR="00000000" w:rsidRPr="00AF2B65" w:rsidP="00AF2B65">
            <w:pPr>
              <w:pStyle w:val="BodyText"/>
            </w:pPr>
            <w:r w:rsidRPr="00AF2B65">
              <w:t>System knowledge of TP, HP, MP, LP</w:t>
            </w:r>
          </w:p>
          <w:p w:rsidR="00000000" w:rsidP="00AF2B65">
            <w:pPr>
              <w:pStyle w:val="BodyText"/>
              <w:rPr>
                <w:lang w:val="en-NZ"/>
              </w:rPr>
            </w:pPr>
            <w:r w:rsidRPr="00AF2B65">
              <w:t>Relevant knowledge of AS1697 Distribution Code</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B</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r w:rsidRPr="00AF2B65">
              <w:t>Auxiliary control systems knowledge&amp;understanding</w:t>
            </w:r>
          </w:p>
          <w:p w:rsidR="00000000" w:rsidRPr="00AF2B65" w:rsidP="00AF2B65">
            <w:pPr>
              <w:pStyle w:val="BodyText"/>
            </w:pPr>
            <w:r w:rsidRPr="00AF2B65">
              <w:t>Wide open monitor operation</w:t>
            </w:r>
          </w:p>
          <w:p w:rsidR="00000000" w:rsidP="00AF2B65">
            <w:pPr>
              <w:pStyle w:val="BodyText"/>
              <w:rPr>
                <w:lang w:val="en-NZ"/>
              </w:rPr>
            </w:pPr>
            <w:r w:rsidRPr="00AF2B65">
              <w:t>Two stage pressure reduction with monitor override</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C</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r w:rsidRPr="00AF2B65">
              <w:t>SCADA Operation&amp;understanding</w:t>
            </w:r>
          </w:p>
          <w:p w:rsidR="00000000" w:rsidRPr="00AF2B65" w:rsidP="00AF2B65">
            <w:pPr>
              <w:pStyle w:val="BodyText"/>
            </w:pPr>
            <w:r w:rsidRPr="00AF2B65">
              <w:t>SCADA control system layout and operation</w:t>
            </w:r>
          </w:p>
          <w:p w:rsidR="00000000" w:rsidRPr="00AF2B65" w:rsidP="00AF2B65">
            <w:pPr>
              <w:pStyle w:val="BodyText"/>
            </w:pPr>
            <w:r w:rsidRPr="00AF2B65">
              <w:t>SCADA auxiliary low pressure operation</w:t>
            </w:r>
          </w:p>
          <w:p w:rsidR="00000000" w:rsidP="00AF2B65">
            <w:pPr>
              <w:pStyle w:val="BodyText"/>
              <w:rPr>
                <w:lang w:val="en-NZ"/>
              </w:rPr>
            </w:pPr>
            <w:r w:rsidRPr="00AF2B65">
              <w:t>Failsafe pilot operation</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D</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r w:rsidRPr="00AF2B65">
              <w:t>Winter testing programme</w:t>
            </w:r>
          </w:p>
          <w:p w:rsidR="00000000" w:rsidRPr="00AF2B65" w:rsidP="00AF2B65">
            <w:pPr>
              <w:pStyle w:val="BodyText"/>
            </w:pPr>
            <w:r w:rsidRPr="00AF2B65">
              <w:t>Tapping domestic services</w:t>
            </w:r>
          </w:p>
          <w:p w:rsidR="00000000" w:rsidP="00AF2B65">
            <w:pPr>
              <w:pStyle w:val="BodyText"/>
              <w:rPr>
                <w:lang w:val="en-NZ"/>
              </w:rPr>
            </w:pPr>
            <w:r w:rsidRPr="00AF2B65">
              <w:t>Installation of recorders</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E</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r w:rsidRPr="00AF2B65">
              <w:t>Pressure Recorders</w:t>
            </w:r>
          </w:p>
          <w:p w:rsidR="00000000" w:rsidRPr="00AF2B65" w:rsidP="00AF2B65">
            <w:pPr>
              <w:pStyle w:val="BodyText"/>
            </w:pPr>
            <w:r w:rsidRPr="00AF2B65">
              <w:t>Knowledge</w:t>
            </w:r>
            <w:r w:rsidRPr="00AF2B65">
              <w:t>&amp;understanding of pressure recorders</w:t>
            </w:r>
          </w:p>
          <w:p w:rsidR="00000000" w:rsidP="00AF2B65">
            <w:pPr>
              <w:pStyle w:val="BodyText"/>
              <w:rPr>
                <w:lang w:val="en-NZ"/>
              </w:rPr>
            </w:pPr>
            <w:r w:rsidRPr="00AF2B65">
              <w:t>Chart changing at Regulator Stations</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F</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At least 2</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r w:rsidRPr="00AF2B65">
              <w:t>Pressure Controllers, operation, maintenance&amp;understanding</w:t>
            </w:r>
          </w:p>
          <w:p w:rsidR="00000000" w:rsidRPr="00AF2B65" w:rsidP="00AF2B65">
            <w:pPr>
              <w:pStyle w:val="BodyText"/>
            </w:pPr>
            <w:r w:rsidRPr="00AF2B65">
              <w:t>Commissioning/Setting,</w:t>
            </w:r>
          </w:p>
          <w:p w:rsidR="00000000" w:rsidRPr="00AF2B65" w:rsidP="00AF2B65">
            <w:pPr>
              <w:pStyle w:val="BodyText"/>
            </w:pPr>
            <w:r w:rsidRPr="00AF2B65">
              <w:t>Troubleshooting</w:t>
            </w:r>
          </w:p>
          <w:p w:rsidR="00000000" w:rsidRPr="00AF2B65" w:rsidP="00AF2B65">
            <w:pPr>
              <w:pStyle w:val="BodyText"/>
            </w:pPr>
            <w:r w:rsidRPr="00AF2B65">
              <w:t>Pressure Boosters minor repairs</w:t>
            </w:r>
          </w:p>
          <w:p w:rsidR="00000000" w:rsidP="00AF2B65">
            <w:pPr>
              <w:pStyle w:val="BodyText"/>
              <w:rPr>
                <w:lang w:val="en-NZ"/>
              </w:rPr>
            </w:pPr>
            <w:r w:rsidRPr="00AF2B65">
              <w:t>Knowledge of types/models</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At le</w:t>
            </w:r>
            <w:r w:rsidRPr="00AF2B65">
              <w:t>ast 2</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r w:rsidRPr="00AF2B65">
              <w:t>Basic regulator knowledge&amp;understanding</w:t>
            </w:r>
          </w:p>
          <w:p w:rsidR="00000000" w:rsidRPr="00AF2B65" w:rsidP="00AF2B65">
            <w:pPr>
              <w:pStyle w:val="BodyText"/>
            </w:pPr>
            <w:r w:rsidRPr="00AF2B65">
              <w:t>Sleeve types</w:t>
            </w:r>
          </w:p>
          <w:p w:rsidR="00000000" w:rsidRPr="00AF2B65" w:rsidP="00AF2B65">
            <w:pPr>
              <w:pStyle w:val="BodyText"/>
            </w:pPr>
            <w:r w:rsidRPr="00AF2B65">
              <w:t>Diaphragm types</w:t>
            </w:r>
          </w:p>
          <w:p w:rsidR="00000000" w:rsidP="00AF2B65">
            <w:pPr>
              <w:pStyle w:val="BodyText"/>
              <w:rPr>
                <w:lang w:val="en-NZ"/>
              </w:rPr>
            </w:pPr>
            <w:r w:rsidRPr="00AF2B65">
              <w:t>Hydraulic Plug types</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H</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r w:rsidRPr="00AF2B65">
              <w:t>Distribution Valves:</w:t>
            </w:r>
          </w:p>
          <w:p w:rsidR="00000000" w:rsidRPr="00AF2B65" w:rsidP="00AF2B65">
            <w:pPr>
              <w:pStyle w:val="BodyText"/>
            </w:pPr>
            <w:r w:rsidRPr="00AF2B65">
              <w:t>Valve maintenance&amp;operation</w:t>
            </w:r>
          </w:p>
          <w:p w:rsidR="00000000" w:rsidP="00AF2B65">
            <w:pPr>
              <w:pStyle w:val="BodyText"/>
              <w:rPr>
                <w:lang w:val="en-NZ"/>
              </w:rPr>
            </w:pPr>
            <w:r w:rsidRPr="00AF2B65">
              <w:t>Construction of Ball, Plug, Gate Instrument&amp;Butterfly valves</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I</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At least 2</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r w:rsidRPr="00AF2B65">
              <w:t>Metering knowledge&amp;understanding</w:t>
            </w:r>
          </w:p>
          <w:p w:rsidR="00000000" w:rsidRPr="00AF2B65" w:rsidP="00AF2B65">
            <w:pPr>
              <w:pStyle w:val="BodyText"/>
            </w:pPr>
            <w:r w:rsidRPr="00AF2B65">
              <w:t>Diaphragm meters</w:t>
            </w:r>
          </w:p>
          <w:p w:rsidR="00000000" w:rsidRPr="00AF2B65" w:rsidP="00AF2B65">
            <w:pPr>
              <w:pStyle w:val="BodyText"/>
            </w:pPr>
            <w:r w:rsidRPr="00AF2B65">
              <w:t>Rotary meters</w:t>
            </w:r>
          </w:p>
          <w:p w:rsidR="00000000" w:rsidRPr="00AF2B65" w:rsidP="00AF2B65">
            <w:pPr>
              <w:pStyle w:val="BodyText"/>
            </w:pPr>
            <w:r w:rsidRPr="00AF2B65">
              <w:t>Turbine meters</w:t>
            </w:r>
          </w:p>
          <w:p w:rsidR="00000000" w:rsidP="00AF2B65">
            <w:pPr>
              <w:pStyle w:val="BodyText"/>
              <w:rPr>
                <w:lang w:val="en-NZ"/>
              </w:rPr>
            </w:pPr>
            <w:r w:rsidRPr="00AF2B65">
              <w:t>Oil changing</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J</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At least 3</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r w:rsidRPr="00AF2B65">
              <w:t>Operational checks</w:t>
            </w:r>
          </w:p>
          <w:p w:rsidR="00000000" w:rsidRPr="00AF2B65" w:rsidP="00AF2B65">
            <w:pPr>
              <w:pStyle w:val="BodyText"/>
            </w:pPr>
            <w:r w:rsidRPr="00AF2B65">
              <w:t>Single run units</w:t>
            </w:r>
          </w:p>
          <w:p w:rsidR="00000000" w:rsidRPr="00AF2B65" w:rsidP="00AF2B65">
            <w:pPr>
              <w:pStyle w:val="BodyText"/>
            </w:pPr>
            <w:r w:rsidRPr="00AF2B65">
              <w:t>Dual run units</w:t>
            </w:r>
          </w:p>
          <w:p w:rsidR="00000000" w:rsidRPr="00AF2B65" w:rsidP="00AF2B65">
            <w:pPr>
              <w:pStyle w:val="BodyText"/>
            </w:pPr>
            <w:r w:rsidRPr="00AF2B65">
              <w:t>District regulators</w:t>
            </w:r>
          </w:p>
          <w:p w:rsidR="00000000" w:rsidP="00AF2B65">
            <w:pPr>
              <w:pStyle w:val="BodyText"/>
              <w:rPr>
                <w:lang w:val="en-NZ"/>
              </w:rPr>
            </w:pPr>
            <w:r w:rsidRPr="00AF2B65">
              <w:t>Field regulators</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K</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At least 3</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r w:rsidRPr="00AF2B65">
              <w:t>Full Maintenance Activities</w:t>
            </w:r>
          </w:p>
          <w:p w:rsidR="00000000" w:rsidRPr="00AF2B65" w:rsidP="00AF2B65">
            <w:pPr>
              <w:pStyle w:val="BodyText"/>
            </w:pPr>
            <w:r w:rsidRPr="00AF2B65">
              <w:t>Single run units</w:t>
            </w:r>
          </w:p>
          <w:p w:rsidR="00000000" w:rsidRPr="00AF2B65" w:rsidP="00AF2B65">
            <w:pPr>
              <w:pStyle w:val="BodyText"/>
            </w:pPr>
            <w:r w:rsidRPr="00AF2B65">
              <w:t>Dual run units</w:t>
            </w:r>
          </w:p>
          <w:p w:rsidR="00000000" w:rsidRPr="00AF2B65" w:rsidP="00AF2B65">
            <w:pPr>
              <w:pStyle w:val="BodyText"/>
            </w:pPr>
            <w:r w:rsidRPr="00AF2B65">
              <w:t>District Regulators</w:t>
            </w:r>
          </w:p>
          <w:p w:rsidR="00000000" w:rsidP="00AF2B65">
            <w:pPr>
              <w:pStyle w:val="BodyText"/>
              <w:rPr>
                <w:lang w:val="en-NZ"/>
              </w:rPr>
            </w:pPr>
            <w:r w:rsidRPr="00AF2B65">
              <w:t>Field Regulators</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L</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At least 3</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r w:rsidRPr="00AF2B65">
              <w:t>Pressure alterations</w:t>
            </w:r>
          </w:p>
          <w:p w:rsidR="00000000" w:rsidRPr="00AF2B65" w:rsidP="00AF2B65">
            <w:pPr>
              <w:pStyle w:val="BodyText"/>
            </w:pPr>
            <w:r w:rsidRPr="00AF2B65">
              <w:t>Industrial units</w:t>
            </w:r>
          </w:p>
          <w:p w:rsidR="00000000" w:rsidRPr="00AF2B65" w:rsidP="00AF2B65">
            <w:pPr>
              <w:pStyle w:val="BodyText"/>
            </w:pPr>
            <w:r w:rsidRPr="00AF2B65">
              <w:t>Regulator Stations</w:t>
            </w:r>
          </w:p>
          <w:p w:rsidR="00000000" w:rsidP="00AF2B65">
            <w:pPr>
              <w:pStyle w:val="BodyText"/>
              <w:rPr>
                <w:lang w:val="en-NZ"/>
              </w:rPr>
            </w:pPr>
            <w:r w:rsidRPr="00AF2B65">
              <w:t>Distribution mains</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M</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At least 3</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r w:rsidRPr="00AF2B65">
              <w:t>Flaring&amp;Purging</w:t>
            </w:r>
          </w:p>
          <w:p w:rsidR="00000000" w:rsidRPr="00AF2B65" w:rsidP="00AF2B65">
            <w:pPr>
              <w:pStyle w:val="BodyText"/>
            </w:pPr>
            <w:r w:rsidRPr="00AF2B65">
              <w:t>Industrial units</w:t>
            </w:r>
          </w:p>
          <w:p w:rsidR="00000000" w:rsidRPr="00AF2B65" w:rsidP="00AF2B65">
            <w:pPr>
              <w:pStyle w:val="BodyText"/>
            </w:pPr>
            <w:r w:rsidRPr="00AF2B65">
              <w:t>Regulator Stations</w:t>
            </w:r>
          </w:p>
          <w:p w:rsidR="00000000" w:rsidP="00AF2B65">
            <w:pPr>
              <w:pStyle w:val="BodyText"/>
              <w:rPr>
                <w:lang w:val="en-NZ"/>
              </w:rPr>
            </w:pPr>
            <w:r w:rsidRPr="00AF2B65">
              <w:t>Distribution mains</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N</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At least 3</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r w:rsidRPr="00AF2B65">
              <w:t>Overpressure Protection Systems function&amp;operation</w:t>
            </w:r>
          </w:p>
          <w:p w:rsidR="00000000" w:rsidRPr="00AF2B65" w:rsidP="00AF2B65">
            <w:pPr>
              <w:pStyle w:val="BodyText"/>
            </w:pPr>
            <w:r w:rsidRPr="00AF2B65">
              <w:t>OPSO</w:t>
            </w:r>
          </w:p>
          <w:p w:rsidR="00000000" w:rsidRPr="00AF2B65" w:rsidP="00AF2B65">
            <w:pPr>
              <w:pStyle w:val="BodyText"/>
            </w:pPr>
            <w:r w:rsidRPr="00AF2B65">
              <w:t>Internal pressure relief systems</w:t>
            </w:r>
          </w:p>
          <w:p w:rsidR="00000000" w:rsidRPr="00AF2B65" w:rsidP="00AF2B65">
            <w:pPr>
              <w:pStyle w:val="BodyText"/>
            </w:pPr>
            <w:r w:rsidRPr="00AF2B65">
              <w:t>Pressure relief valves</w:t>
            </w:r>
          </w:p>
          <w:p w:rsidR="00000000" w:rsidRPr="00AF2B65" w:rsidP="00AF2B65">
            <w:pPr>
              <w:pStyle w:val="BodyText"/>
            </w:pPr>
            <w:r w:rsidRPr="00AF2B65">
              <w:t>Slam Shut systems</w:t>
            </w:r>
          </w:p>
          <w:p w:rsidR="00000000" w:rsidP="00AF2B65">
            <w:pPr>
              <w:pStyle w:val="BodyText"/>
              <w:rPr>
                <w:lang w:val="en-NZ"/>
              </w:rPr>
            </w:pPr>
            <w:r w:rsidRPr="00AF2B65">
              <w:t>Valve Actuator&amp;control systems</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O</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r w:rsidRPr="00AF2B65">
              <w:t>Paperwork:</w:t>
            </w:r>
          </w:p>
          <w:p w:rsidR="00000000" w:rsidRPr="00AF2B65" w:rsidP="00AF2B65">
            <w:pPr>
              <w:pStyle w:val="BodyText"/>
            </w:pPr>
            <w:r w:rsidRPr="00AF2B65">
              <w:t>Risk assessments</w:t>
            </w:r>
          </w:p>
          <w:p w:rsidR="00000000" w:rsidRPr="00AF2B65" w:rsidP="00AF2B65">
            <w:pPr>
              <w:pStyle w:val="BodyText"/>
            </w:pPr>
            <w:r w:rsidRPr="00AF2B65">
              <w:t>Time sheets</w:t>
            </w:r>
          </w:p>
          <w:p w:rsidR="00000000" w:rsidRPr="00AF2B65" w:rsidP="00AF2B65">
            <w:pPr>
              <w:pStyle w:val="BodyText"/>
            </w:pPr>
            <w:r w:rsidRPr="00AF2B65">
              <w:t>Completing work sheets</w:t>
            </w:r>
          </w:p>
          <w:p w:rsidR="00000000" w:rsidRPr="00AF2B65" w:rsidP="00AF2B65">
            <w:pPr>
              <w:pStyle w:val="BodyText"/>
            </w:pPr>
            <w:r w:rsidRPr="00AF2B65">
              <w:t>Notifications and work permits</w:t>
            </w:r>
          </w:p>
          <w:p w:rsidR="00000000" w:rsidRPr="00AF2B65" w:rsidP="00AF2B65">
            <w:pPr>
              <w:pStyle w:val="BodyText"/>
            </w:pPr>
            <w:r w:rsidRPr="00AF2B65">
              <w:t>Equipment check lists</w:t>
            </w:r>
          </w:p>
          <w:p w:rsidR="00000000" w:rsidRPr="00AF2B65" w:rsidP="00AF2B65">
            <w:pPr>
              <w:pStyle w:val="BodyText"/>
            </w:pPr>
            <w:r w:rsidRPr="00AF2B65">
              <w:t>Meter Bypass forms</w:t>
            </w:r>
          </w:p>
          <w:p w:rsidR="00000000" w:rsidRPr="00AF2B65" w:rsidP="00AF2B65">
            <w:pPr>
              <w:pStyle w:val="BodyText"/>
            </w:pPr>
            <w:r w:rsidRPr="00AF2B65">
              <w:t>Service orders</w:t>
            </w:r>
          </w:p>
          <w:p w:rsidR="00000000" w:rsidP="00AF2B65">
            <w:pPr>
              <w:pStyle w:val="BodyText"/>
              <w:rPr>
                <w:lang w:val="en-NZ"/>
              </w:rPr>
            </w:pPr>
            <w:r w:rsidRPr="00AF2B65">
              <w:t>Pressure recording charts</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P</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r w:rsidRPr="00AF2B65">
              <w:t>City Gate Heaters:</w:t>
            </w:r>
          </w:p>
          <w:p w:rsidR="00000000" w:rsidRPr="00AF2B65" w:rsidP="00AF2B65">
            <w:pPr>
              <w:pStyle w:val="BodyText"/>
            </w:pPr>
            <w:r w:rsidRPr="00AF2B65">
              <w:t>Heater: scheduled maintenance procedures</w:t>
            </w:r>
          </w:p>
          <w:p w:rsidR="00000000" w:rsidRPr="00AF2B65" w:rsidP="00AF2B65">
            <w:pPr>
              <w:pStyle w:val="BodyText"/>
            </w:pPr>
            <w:r w:rsidRPr="00AF2B65">
              <w:t>Heater: operational checks.</w:t>
            </w:r>
          </w:p>
          <w:p w:rsidR="00000000" w:rsidP="00AF2B65">
            <w:pPr>
              <w:pStyle w:val="BodyText"/>
              <w:rPr>
                <w:lang w:val="en-NZ"/>
              </w:rPr>
            </w:pPr>
            <w:r w:rsidRPr="00AF2B65">
              <w:t>Water quality testing</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Q</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At least one occasion</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 xml:space="preserve">Dealing with an unplanned event by drawing on essential knowledge and associated skills to provide appropriate solutions incorporated in the holistic assessment with the above listed items </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rPr>
                <w:rStyle w:val="SpecialBold"/>
              </w:rPr>
              <w:t>Context of and specific resources for asses</w:t>
            </w:r>
            <w:r w:rsidRPr="00AF2B65">
              <w:rPr>
                <w:rStyle w:val="SpecialBold"/>
              </w:rPr>
              <w:t>sment</w:t>
            </w:r>
          </w:p>
        </w:tc>
        <w:tc>
          <w:tcPr>
            <w:tcW w:w="6300" w:type="dxa"/>
            <w:gridSpan w:val="4"/>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rPr>
                <w:rStyle w:val="SpecialBold"/>
              </w:rPr>
              <w:t>8</w:t>
            </w:r>
            <w:r w:rsidRPr="00AF2B65">
              <w:t>.</w:t>
            </w:r>
            <w:r w:rsidRPr="00AF2B65">
              <w:rPr>
                <w:rStyle w:val="SpecialBold"/>
              </w:rPr>
              <w:t>3</w:t>
            </w:r>
            <w:r w:rsidRPr="00AF2B65">
              <w:t xml:space="preserve">) </w:t>
            </w:r>
          </w:p>
          <w:p w:rsidR="00000000" w:rsidRPr="00AF2B65" w:rsidP="00AF2B65">
            <w:pPr>
              <w:pStyle w:val="BodyText"/>
            </w:pPr>
            <w:r w:rsidRPr="00AF2B65">
              <w:t>This unit should be assessed as it relates to normal work practice using procedures, information and resources typical of a workplace. This should include:</w:t>
            </w:r>
          </w:p>
          <w:p w:rsidR="00000000" w:rsidRPr="00AF2B65" w:rsidP="00AF2B65">
            <w:pPr>
              <w:pStyle w:val="ListBullet"/>
            </w:pPr>
            <w:r w:rsidRPr="00AF2B65">
              <w:t>OHS policy and work procedures and instructions.</w:t>
            </w:r>
          </w:p>
          <w:p w:rsidR="00000000" w:rsidRPr="00AF2B65" w:rsidP="00AF2B65">
            <w:pPr>
              <w:pStyle w:val="ListBullet"/>
            </w:pPr>
            <w:r w:rsidRPr="00AF2B65">
              <w:t xml:space="preserve">Suitable work environment, facilities, </w:t>
            </w:r>
            <w:r w:rsidRPr="00AF2B65">
              <w:t>equipment and materials to undertake actual work as prescribed by this Competency Standard Unit.</w:t>
            </w:r>
          </w:p>
          <w:p w:rsidR="00000000" w:rsidRPr="00AF2B65" w:rsidP="00AF2B65">
            <w:pPr>
              <w:pStyle w:val="ListBullet"/>
            </w:pPr>
            <w:r w:rsidRPr="00AF2B65">
              <w:t>Appropriate environmental regulation and work practices.</w:t>
            </w:r>
          </w:p>
          <w:p w:rsidR="00000000" w:rsidP="00AF2B65">
            <w:pPr>
              <w:pStyle w:val="ListBullet"/>
              <w:rPr>
                <w:lang w:val="en-NZ"/>
              </w:rPr>
            </w:pPr>
            <w:r w:rsidRPr="00AF2B65">
              <w:t>Appropriate organisational requirements.</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In additi</w:t>
            </w:r>
            <w:r w:rsidRPr="00AF2B65">
              <w:t>on to the resources listed above, in Context of and specific resources for assessment, evidence should show demonstrated competency in monitoring and operating complex flow control, measuring and regulating devices for gas pressure control.</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Assessment</w:t>
            </w:r>
            <w:r w:rsidRPr="00AF2B65">
              <w:t xml:space="preserve"> of this competency must also be undertaken in either an actual workplace or under a simulated work environment. Assessment must also integrate the key competencies.</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rPr>
                <w:rStyle w:val="SpecialBold"/>
              </w:rPr>
              <w:t>8</w:t>
            </w:r>
            <w:r w:rsidRPr="00AF2B65">
              <w:t>.</w:t>
            </w:r>
            <w:r w:rsidRPr="00AF2B65">
              <w:rPr>
                <w:rStyle w:val="SpecialBold"/>
              </w:rPr>
              <w:t>4</w:t>
            </w:r>
            <w:r w:rsidRPr="00AF2B65">
              <w:t xml:space="preserve">) </w:t>
            </w:r>
          </w:p>
          <w:p w:rsidR="00000000" w:rsidRPr="00AF2B65" w:rsidP="00AF2B65">
            <w:pPr>
              <w:pStyle w:val="BodyText"/>
            </w:pPr>
            <w:r w:rsidRPr="00AF2B65">
              <w:t>This Competency Standard Unit shall be assessed by methods given in Volume 1, Part 3 "Assessment Guidelines".</w:t>
            </w:r>
          </w:p>
          <w:p w:rsidR="00000000" w:rsidRPr="00AF2B65" w:rsidP="00AF2B65">
            <w:pPr>
              <w:pStyle w:val="BodyText"/>
            </w:pPr>
            <w:r w:rsidRPr="00AF2B65">
              <w:t>Note:</w:t>
            </w:r>
            <w:r w:rsidRPr="00AF2B65">
              <w:br/>
              <w:t xml:space="preserve">Competent performance with inherent safe working practices is expected in the Industry to which this Competency Standard Unit applies. This </w:t>
            </w:r>
            <w:r w:rsidRPr="00AF2B65">
              <w:t>requires that the specified Essential Knowledge and Associated Skills are assessed in a structured environment which is primarily intended for learning/assessment and incorporates all necessary equipment and facilities for learners to develop and demonstra</w:t>
            </w:r>
            <w:r w:rsidRPr="00AF2B65">
              <w:t>te the essential knowledge and associated skills described in this unit.</w:t>
            </w:r>
          </w:p>
        </w:tc>
      </w:tr>
    </w:tbl>
    <w:p w:rsidR="00000000" w:rsidRPr="00AF2B65" w:rsidP="00AF2B65">
      <w:pPr>
        <w:pStyle w:val="BodyText"/>
      </w:pPr>
    </w:p>
    <w:p w:rsidR="00000000" w:rsidRPr="00AF2B65" w:rsidP="00AF2B65">
      <w:pPr>
        <w:pStyle w:val="BodyText"/>
      </w:pPr>
    </w:p>
    <w:tbl>
      <w:tblPr>
        <w:tblW w:w="0" w:type="auto"/>
        <w:tblLayout w:type="fixed"/>
        <w:tblCellMar>
          <w:left w:w="62" w:type="dxa"/>
          <w:right w:w="62" w:type="dxa"/>
        </w:tblCellMar>
        <w:tblLook w:val="0000"/>
      </w:tblPr>
      <w:tblGrid>
        <w:gridCol w:w="2160"/>
        <w:gridCol w:w="1800"/>
        <w:gridCol w:w="4500"/>
      </w:tblGrid>
      <w:tr w:rsidTr="00261B1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rPr>
                <w:rStyle w:val="SpecialBold"/>
              </w:rPr>
              <w:t>8</w:t>
            </w:r>
            <w:r w:rsidRPr="00AF2B65">
              <w:t>.</w:t>
            </w:r>
            <w:r w:rsidRPr="00AF2B65">
              <w:rPr>
                <w:rStyle w:val="SpecialBold"/>
              </w:rPr>
              <w:t>5</w:t>
            </w:r>
            <w:r w:rsidRPr="00AF2B65">
              <w:t xml:space="preserve">) </w:t>
            </w:r>
          </w:p>
        </w:tc>
      </w:tr>
      <w:tr w:rsidTr="00261B1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There are no recommended concurrent assessments with this unit, however in some cases efficiencies may be gained in terms of learning and assessment effort being concurrently managed with allied competency standard units where listed.</w:t>
            </w:r>
          </w:p>
        </w:tc>
      </w:tr>
      <w:tr w:rsidTr="00261B1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UEGNSG102A</w:t>
            </w:r>
          </w:p>
        </w:tc>
        <w:tc>
          <w:tcPr>
            <w:tcW w:w="45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Carry o</w:t>
            </w:r>
            <w:r w:rsidRPr="00AF2B65">
              <w:t>ut work activities in a utilities industry work environment</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UEGNSG103A</w:t>
            </w:r>
          </w:p>
        </w:tc>
        <w:tc>
          <w:tcPr>
            <w:tcW w:w="45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Comply with workplace OHS procedures and practices</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UEGNSG104A</w:t>
            </w:r>
          </w:p>
        </w:tc>
        <w:tc>
          <w:tcPr>
            <w:tcW w:w="45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Comply with environmental policies and procedures</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UEGNSG105A</w:t>
            </w:r>
          </w:p>
        </w:tc>
        <w:tc>
          <w:tcPr>
            <w:tcW w:w="45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Establish the work site</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BSBCMN302A</w:t>
            </w:r>
          </w:p>
        </w:tc>
        <w:tc>
          <w:tcPr>
            <w:tcW w:w="45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Organise personal work priorities and professional development</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BSBFLM312A</w:t>
            </w:r>
          </w:p>
        </w:tc>
        <w:tc>
          <w:tcPr>
            <w:tcW w:w="45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Contribute to team effectiveness</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BSBFLM303A</w:t>
            </w:r>
          </w:p>
        </w:tc>
        <w:tc>
          <w:tcPr>
            <w:tcW w:w="45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Contribute to effective workplace relationships</w:t>
            </w:r>
          </w:p>
        </w:tc>
      </w:tr>
      <w:tr w:rsidTr="00261B1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BSBCMN311A</w:t>
            </w:r>
          </w:p>
        </w:tc>
        <w:tc>
          <w:tcPr>
            <w:tcW w:w="4500" w:type="dxa"/>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t>Maintain workplace safety</w:t>
            </w:r>
          </w:p>
        </w:tc>
      </w:tr>
    </w:tbl>
    <w:p w:rsidR="00000000" w:rsidRPr="00AF2B65" w:rsidP="00AF2B65">
      <w:pPr>
        <w:pStyle w:val="BodyText"/>
      </w:pPr>
    </w:p>
    <w:tbl>
      <w:tblPr>
        <w:tblW w:w="0" w:type="auto"/>
        <w:tblLayout w:type="fixed"/>
        <w:tblCellMar>
          <w:left w:w="62" w:type="dxa"/>
          <w:right w:w="62" w:type="dxa"/>
        </w:tblCellMar>
        <w:tblLook w:val="0000"/>
      </w:tblPr>
      <w:tblGrid>
        <w:gridCol w:w="2160"/>
        <w:gridCol w:w="4737"/>
        <w:gridCol w:w="1563"/>
      </w:tblGrid>
      <w:tr w:rsidTr="00261B15">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AF2B65" w:rsidP="00AF2B65">
            <w:pPr>
              <w:pStyle w:val="BodyText"/>
            </w:pPr>
            <w:r w:rsidRPr="00AF2B65">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rPr>
                <w:rStyle w:val="SpecialBold"/>
              </w:rPr>
              <w:t>8</w:t>
            </w:r>
            <w:r w:rsidRPr="00AF2B65">
              <w:t>.</w:t>
            </w:r>
            <w:r w:rsidRPr="00AF2B65">
              <w:rPr>
                <w:rStyle w:val="SpecialBold"/>
              </w:rPr>
              <w:t>6</w:t>
            </w:r>
            <w:r w:rsidRPr="00AF2B65">
              <w:t xml:space="preserve">) </w:t>
            </w:r>
          </w:p>
          <w:p w:rsidR="00000000" w:rsidP="00AF2B65">
            <w:pPr>
              <w:pStyle w:val="BodyText"/>
              <w:rPr>
                <w:lang w:val="en-NZ"/>
              </w:rPr>
            </w:pPr>
            <w:r w:rsidRPr="00AF2B65">
              <w:t>Evidence that particular key competencies have been achieved within this Competency Standard Unit is in the context of the following Performance Criteria of evidence. See Volume 2, Part 4 for an explanation of Key competencies and levels of this Training P</w:t>
            </w:r>
            <w:r w:rsidRPr="00AF2B65">
              <w:t>ackage.</w:t>
            </w:r>
          </w:p>
        </w:tc>
      </w:tr>
      <w:tr w:rsidTr="00261B15">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r w:rsidRPr="00AF2B65">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r w:rsidRPr="00AF2B6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rPr>
                <w:rStyle w:val="SpecialBold"/>
              </w:rPr>
              <w:t>Performance Level</w:t>
            </w:r>
          </w:p>
        </w:tc>
      </w:tr>
      <w:tr w:rsidTr="00261B1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2B65">
            <w:pPr>
              <w:pStyle w:val="BodyText"/>
              <w:rPr>
                <w:lang w:val="en-NZ"/>
              </w:rPr>
            </w:pPr>
            <w:r w:rsidRPr="00AF2B6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p>
          <w:p w:rsidR="00000000" w:rsidP="00AF2B65">
            <w:pPr>
              <w:pStyle w:val="BodyText"/>
              <w:rPr>
                <w:lang w:val="en-NZ"/>
              </w:rPr>
            </w:pPr>
            <w:r w:rsidRPr="00AF2B65">
              <w:t>3</w:t>
            </w:r>
          </w:p>
        </w:tc>
      </w:tr>
      <w:tr w:rsidTr="00261B1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1.8; 2.2;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p>
        </w:tc>
      </w:tr>
      <w:tr w:rsidTr="00261B1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2B65">
            <w:pPr>
              <w:pStyle w:val="BodyText"/>
              <w:rPr>
                <w:lang w:val="en-NZ"/>
              </w:rPr>
            </w:pPr>
            <w:r w:rsidRPr="00AF2B6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p>
          <w:p w:rsidR="00000000" w:rsidP="00AF2B65">
            <w:pPr>
              <w:pStyle w:val="BodyText"/>
              <w:rPr>
                <w:lang w:val="en-NZ"/>
              </w:rPr>
            </w:pPr>
            <w:r w:rsidRPr="00AF2B65">
              <w:t>2</w:t>
            </w:r>
          </w:p>
        </w:tc>
      </w:tr>
      <w:tr w:rsidTr="00261B1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p>
        </w:tc>
      </w:tr>
      <w:tr w:rsidTr="00261B1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2B65">
            <w:pPr>
              <w:pStyle w:val="BodyText"/>
              <w:rPr>
                <w:lang w:val="en-NZ"/>
              </w:rPr>
            </w:pPr>
            <w:r w:rsidRPr="00AF2B6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p>
          <w:p w:rsidR="00000000" w:rsidP="00AF2B65">
            <w:pPr>
              <w:pStyle w:val="BodyText"/>
              <w:rPr>
                <w:lang w:val="en-NZ"/>
              </w:rPr>
            </w:pPr>
            <w:r w:rsidRPr="00AF2B65">
              <w:t>2</w:t>
            </w:r>
          </w:p>
        </w:tc>
      </w:tr>
      <w:tr w:rsidTr="00261B1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1.4; 1.7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p>
        </w:tc>
      </w:tr>
      <w:tr w:rsidTr="00261B1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2B65">
            <w:pPr>
              <w:pStyle w:val="BodyText"/>
              <w:rPr>
                <w:lang w:val="en-NZ"/>
              </w:rPr>
            </w:pPr>
            <w:r w:rsidRPr="00AF2B6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p>
          <w:p w:rsidR="00000000" w:rsidP="00AF2B65">
            <w:pPr>
              <w:pStyle w:val="BodyText"/>
              <w:rPr>
                <w:lang w:val="en-NZ"/>
              </w:rPr>
            </w:pPr>
            <w:r w:rsidRPr="00AF2B65">
              <w:t>2</w:t>
            </w:r>
          </w:p>
        </w:tc>
      </w:tr>
      <w:tr w:rsidTr="00261B1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3.1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p>
        </w:tc>
      </w:tr>
      <w:tr w:rsidTr="00261B1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2B65">
            <w:pPr>
              <w:pStyle w:val="BodyText"/>
              <w:rPr>
                <w:lang w:val="en-NZ"/>
              </w:rPr>
            </w:pPr>
            <w:r w:rsidRPr="00AF2B6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p>
          <w:p w:rsidR="00000000" w:rsidP="00AF2B65">
            <w:pPr>
              <w:pStyle w:val="BodyText"/>
              <w:rPr>
                <w:lang w:val="en-NZ"/>
              </w:rPr>
            </w:pPr>
            <w:r w:rsidRPr="00AF2B65">
              <w:t>N/A</w:t>
            </w:r>
          </w:p>
        </w:tc>
      </w:tr>
      <w:tr w:rsidTr="00261B1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p>
        </w:tc>
      </w:tr>
      <w:tr w:rsidTr="00261B1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2B65">
            <w:pPr>
              <w:pStyle w:val="BodyText"/>
              <w:rPr>
                <w:lang w:val="en-NZ"/>
              </w:rPr>
            </w:pPr>
            <w:r w:rsidRPr="00AF2B6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p>
          <w:p w:rsidR="00000000" w:rsidP="00AF2B65">
            <w:pPr>
              <w:pStyle w:val="BodyText"/>
              <w:rPr>
                <w:lang w:val="en-NZ"/>
              </w:rPr>
            </w:pPr>
            <w:r w:rsidRPr="00AF2B65">
              <w:t>2</w:t>
            </w:r>
          </w:p>
        </w:tc>
      </w:tr>
      <w:tr w:rsidTr="00261B1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3.3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p>
        </w:tc>
      </w:tr>
      <w:tr w:rsidTr="00261B1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2B65">
            <w:pPr>
              <w:pStyle w:val="BodyText"/>
              <w:rPr>
                <w:lang w:val="en-NZ"/>
              </w:rPr>
            </w:pPr>
            <w:r w:rsidRPr="00AF2B6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p>
          <w:p w:rsidR="00000000" w:rsidP="00AF2B65">
            <w:pPr>
              <w:pStyle w:val="BodyText"/>
              <w:rPr>
                <w:lang w:val="en-NZ"/>
              </w:rPr>
            </w:pPr>
            <w:r w:rsidRPr="00AF2B65">
              <w:t>N/A</w:t>
            </w:r>
          </w:p>
        </w:tc>
      </w:tr>
      <w:tr w:rsidTr="00261B1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p>
        </w:tc>
      </w:tr>
    </w:tbl>
    <w:p w:rsidR="00000000" w:rsidRPr="00AF2B65" w:rsidP="00AF2B65">
      <w:pPr>
        <w:pStyle w:val="BodyText"/>
      </w:pPr>
    </w:p>
    <w:tbl>
      <w:tblPr>
        <w:tblW w:w="0" w:type="auto"/>
        <w:tblLayout w:type="fixed"/>
        <w:tblCellMar>
          <w:left w:w="62" w:type="dxa"/>
          <w:right w:w="62" w:type="dxa"/>
        </w:tblCellMar>
        <w:tblLook w:val="0000"/>
      </w:tblPr>
      <w:tblGrid>
        <w:gridCol w:w="326"/>
        <w:gridCol w:w="1834"/>
        <w:gridCol w:w="6300"/>
      </w:tblGrid>
      <w:tr w:rsidTr="00261B15">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F2B65" w:rsidP="00AF2B65">
            <w:pPr>
              <w:pStyle w:val="BodyText"/>
            </w:pPr>
            <w:r w:rsidRPr="00AF2B65">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AF2B65" w:rsidP="00AF2B65">
            <w:pPr>
              <w:pStyle w:val="BodyText"/>
            </w:pPr>
            <w:r w:rsidRPr="00AF2B65">
              <w:rPr>
                <w:rStyle w:val="SpecialBold"/>
              </w:rPr>
              <w:t>8</w:t>
            </w:r>
            <w:r w:rsidRPr="00AF2B65">
              <w:t>.</w:t>
            </w:r>
            <w:r w:rsidRPr="00AF2B65">
              <w:rPr>
                <w:rStyle w:val="SpecialBold"/>
              </w:rPr>
              <w:t>7</w:t>
            </w:r>
            <w:r w:rsidRPr="00AF2B65">
              <w:t xml:space="preserve">) </w:t>
            </w:r>
          </w:p>
          <w:p w:rsidR="00000000" w:rsidP="00AF2B65">
            <w:pPr>
              <w:pStyle w:val="BodyText"/>
              <w:rPr>
                <w:lang w:val="en-NZ"/>
              </w:rPr>
            </w:pPr>
            <w:r w:rsidRPr="00AF2B65">
              <w:t>Evidence that competency in this unit incorporates skills enabling employment is in the context of the following performance. See Volume 2, Part 5 for definitions and an explanation of skills enabling employment.</w:t>
            </w:r>
          </w:p>
        </w:tc>
      </w:tr>
      <w:tr w:rsidTr="00261B15">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r w:rsidRPr="00AF2B65">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rPr>
                <w:rStyle w:val="SpecialBold"/>
              </w:rPr>
              <w:t>Example of Applicat</w:t>
            </w:r>
            <w:r w:rsidRPr="00AF2B65">
              <w:rPr>
                <w:rStyle w:val="SpecialBold"/>
              </w:rPr>
              <w:t>ion</w:t>
            </w:r>
          </w:p>
        </w:tc>
      </w:tr>
      <w:tr w:rsidTr="00261B1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2B65">
            <w:pPr>
              <w:pStyle w:val="BodyText"/>
              <w:rPr>
                <w:lang w:val="en-NZ"/>
              </w:rPr>
            </w:pPr>
            <w:r w:rsidRPr="00AF2B65">
              <w:t>Refer to the following Performance Criteria for examples of application:</w:t>
            </w:r>
          </w:p>
        </w:tc>
      </w:tr>
      <w:tr w:rsidTr="00261B1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All</w:t>
            </w:r>
          </w:p>
        </w:tc>
      </w:tr>
      <w:tr w:rsidTr="00261B1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2B65">
            <w:pPr>
              <w:pStyle w:val="BodyText"/>
              <w:rPr>
                <w:lang w:val="en-NZ"/>
              </w:rPr>
            </w:pPr>
            <w:r w:rsidRPr="00AF2B65">
              <w:t>Refer to the following Performance Criteria for examples of application:</w:t>
            </w:r>
          </w:p>
        </w:tc>
      </w:tr>
      <w:tr w:rsidTr="00261B1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2.6; 2.7</w:t>
            </w:r>
          </w:p>
        </w:tc>
      </w:tr>
      <w:tr w:rsidTr="00261B1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2B65">
            <w:pPr>
              <w:pStyle w:val="BodyText"/>
              <w:rPr>
                <w:lang w:val="en-NZ"/>
              </w:rPr>
            </w:pPr>
            <w:r w:rsidRPr="00AF2B65">
              <w:t>Refer to the following Performance Criteria for examples of application:</w:t>
            </w:r>
          </w:p>
        </w:tc>
      </w:tr>
      <w:tr w:rsidTr="00261B1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3.3</w:t>
            </w:r>
          </w:p>
        </w:tc>
      </w:tr>
      <w:tr w:rsidTr="00261B1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2B65">
            <w:pPr>
              <w:pStyle w:val="BodyText"/>
              <w:rPr>
                <w:lang w:val="en-NZ"/>
              </w:rPr>
            </w:pPr>
            <w:r w:rsidRPr="00AF2B65">
              <w:t>Refer to the following Performance Criteria for examples of application:</w:t>
            </w:r>
          </w:p>
        </w:tc>
      </w:tr>
      <w:tr w:rsidTr="00261B1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1.4; 1.8</w:t>
            </w:r>
          </w:p>
        </w:tc>
      </w:tr>
      <w:tr w:rsidTr="00261B1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2B65">
            <w:pPr>
              <w:pStyle w:val="BodyText"/>
              <w:rPr>
                <w:lang w:val="en-NZ"/>
              </w:rPr>
            </w:pPr>
            <w:r w:rsidRPr="00AF2B65">
              <w:t>Refer to the following Performance Criteria for examples of application:</w:t>
            </w:r>
          </w:p>
        </w:tc>
      </w:tr>
      <w:tr w:rsidTr="00261B1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1.4; 1.5; 1.7; 1.8</w:t>
            </w:r>
          </w:p>
        </w:tc>
      </w:tr>
      <w:tr w:rsidTr="00261B1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65">
            <w:pPr>
              <w:pStyle w:val="BodyText"/>
              <w:rPr>
                <w:lang w:val="en-NZ"/>
              </w:rPr>
            </w:pPr>
            <w:r w:rsidRPr="00AF2B65">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2B65">
            <w:pPr>
              <w:pStyle w:val="BodyText"/>
              <w:rPr>
                <w:lang w:val="en-NZ"/>
              </w:rPr>
            </w:pPr>
            <w:r w:rsidRPr="00AF2B65">
              <w:t>Refer to the following Performance Criteria for examples of application:</w:t>
            </w:r>
          </w:p>
        </w:tc>
      </w:tr>
      <w:tr w:rsidTr="00261B1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F2B65" w:rsidP="00AF2B65">
            <w:pPr>
              <w:pStyle w:val="BodyText"/>
            </w:pPr>
            <w:r w:rsidRPr="00AF2B65">
              <w:t>2.6</w:t>
            </w:r>
          </w:p>
        </w:tc>
      </w:tr>
    </w:tbl>
    <w:p w:rsidR="00261B15" w:rsidP="00AF2B65">
      <w:pPr>
        <w:pStyle w:val="BodyText"/>
      </w:pPr>
    </w:p>
    <w:p w:rsidR="00261B15" w:rsidP="00AF2B65">
      <w:pPr>
        <w:pStyle w:val="BodyText"/>
      </w:pPr>
    </w:p>
    <w:p w:rsidR="00000000" w:rsidRPr="00AF2B65" w:rsidP="00AF2B65">
      <w:pPr>
        <w:pStyle w:val="Heading1"/>
      </w:pPr>
      <w:bookmarkStart w:id="11" w:name="O_255830"/>
      <w:bookmarkEnd w:id="11"/>
      <w:r w:rsidRPr="00AF2B65">
        <w:t>Range Statement</w:t>
      </w:r>
    </w:p>
    <w:tbl>
      <w:tblPr>
        <w:tblW w:w="0" w:type="auto"/>
        <w:tblLayout w:type="fixed"/>
        <w:tblCellMar>
          <w:left w:w="62" w:type="dxa"/>
          <w:right w:w="62" w:type="dxa"/>
        </w:tblCellMar>
        <w:tblLook w:val="0000"/>
      </w:tblPr>
      <w:tblGrid>
        <w:gridCol w:w="8460"/>
      </w:tblGrid>
      <w:tr w:rsidTr="00261B1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rPr>
                <w:rStyle w:val="SpecialBold"/>
              </w:rPr>
              <w:t>RANGE STATEMENT</w:t>
            </w:r>
          </w:p>
        </w:tc>
      </w:tr>
      <w:tr w:rsidTr="00261B1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rPr>
                <w:rStyle w:val="SpecialBold"/>
              </w:rPr>
              <w:t>7</w:t>
            </w:r>
            <w:r w:rsidRPr="00AF2B65">
              <w:t>) This relates to the Unit of Competency as a whole providing the range of contexts and conditions to which the Performance Criteria apply. It allows for different work environments and situations that will affect performance.</w:t>
            </w:r>
          </w:p>
        </w:tc>
      </w:tr>
      <w:tr w:rsidTr="00261B1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t>This Competency Standard Uni</w:t>
            </w:r>
            <w:r w:rsidRPr="00AF2B65">
              <w:t>t shall/may be demonstrated in relation to the monitoring and operating of complex flow control, measuring and regulating devices for gas pressure control.</w:t>
            </w:r>
          </w:p>
          <w:p w:rsidR="00000000" w:rsidRPr="00AF2B65" w:rsidP="00AF2B65">
            <w:pPr>
              <w:pStyle w:val="BodyText"/>
            </w:pPr>
            <w:r w:rsidRPr="00AF2B65">
              <w:t xml:space="preserve">The following constants and variables included in the element/Performance Criteria in this unit are </w:t>
            </w:r>
            <w:r w:rsidRPr="00AF2B65">
              <w:t>fully described in the Definitions Section of this volume and form an integral part of the Range Statement of this unit:</w:t>
            </w:r>
          </w:p>
          <w:p w:rsidR="00000000" w:rsidRPr="00AF2B65" w:rsidP="00AF2B65">
            <w:pPr>
              <w:pStyle w:val="BodyText"/>
            </w:pPr>
            <w:r w:rsidRPr="00AF2B65">
              <w:t>Inspecting and controlling</w:t>
            </w:r>
          </w:p>
          <w:p w:rsidR="00000000" w:rsidRPr="00AF2B65" w:rsidP="00AF2B65">
            <w:pPr>
              <w:pStyle w:val="BodyText"/>
            </w:pPr>
            <w:r w:rsidRPr="00AF2B65">
              <w:t>Regulation of flow and pressure</w:t>
            </w:r>
          </w:p>
          <w:p w:rsidR="00000000" w:rsidRPr="00AF2B65" w:rsidP="00AF2B65">
            <w:pPr>
              <w:pStyle w:val="BodyText"/>
            </w:pPr>
            <w:r w:rsidRPr="00AF2B65">
              <w:t>Measuring</w:t>
            </w:r>
          </w:p>
          <w:p w:rsidR="00000000" w:rsidRPr="00AF2B65" w:rsidP="00AF2B65">
            <w:pPr>
              <w:pStyle w:val="BodyText"/>
            </w:pPr>
            <w:r w:rsidRPr="00AF2B65">
              <w:t>Recording and reporting</w:t>
            </w:r>
          </w:p>
          <w:p w:rsidR="00000000" w:rsidRPr="00AF2B65" w:rsidP="00AF2B65">
            <w:pPr>
              <w:pStyle w:val="BodyText"/>
            </w:pPr>
            <w:r w:rsidRPr="00AF2B65">
              <w:t>Regulation of flow and regulation devices</w:t>
            </w:r>
          </w:p>
          <w:p w:rsidR="00000000" w:rsidRPr="00AF2B65" w:rsidP="00AF2B65">
            <w:pPr>
              <w:pStyle w:val="BodyText"/>
            </w:pPr>
            <w:r w:rsidRPr="00AF2B65">
              <w:t>Regulation of the system</w:t>
            </w:r>
          </w:p>
          <w:p w:rsidR="00000000" w:rsidRPr="00AF2B65" w:rsidP="00AF2B65">
            <w:pPr>
              <w:pStyle w:val="BodyText"/>
            </w:pPr>
            <w:r w:rsidRPr="00AF2B65">
              <w:t>Equipment</w:t>
            </w:r>
          </w:p>
          <w:p w:rsidR="00000000" w:rsidRPr="00AF2B65" w:rsidP="00AF2B65">
            <w:pPr>
              <w:pStyle w:val="BodyText"/>
            </w:pPr>
            <w:r w:rsidRPr="00AF2B65">
              <w:t>Organisational and statutory requirements</w:t>
            </w:r>
          </w:p>
        </w:tc>
      </w:tr>
    </w:tbl>
    <w:p w:rsidR="00261B15" w:rsidP="00AF2B65">
      <w:pPr>
        <w:pStyle w:val="BodyText"/>
      </w:pPr>
    </w:p>
    <w:p w:rsidR="00261B15" w:rsidP="00AF2B65">
      <w:pPr>
        <w:pStyle w:val="BodyText"/>
      </w:pPr>
    </w:p>
    <w:p w:rsidR="00000000" w:rsidRPr="00AF2B65" w:rsidP="00AF2B65">
      <w:pPr>
        <w:pStyle w:val="Heading1"/>
      </w:pPr>
      <w:bookmarkStart w:id="12" w:name="O_296843"/>
      <w:bookmarkEnd w:id="12"/>
      <w:r w:rsidRPr="00AF2B65">
        <w:t>Unit Sector(s)</w:t>
      </w:r>
    </w:p>
    <w:p w:rsidR="00000000" w:rsidRPr="00AF2B65" w:rsidP="00AF2B65">
      <w:pPr>
        <w:pStyle w:val="BodyText"/>
      </w:pPr>
      <w:r w:rsidRPr="00AF2B65">
        <w:t>Not Applicable</w:t>
      </w:r>
    </w:p>
    <w:p w:rsidR="00000000" w:rsidRPr="00AF2B65" w:rsidP="00AF2B65">
      <w:pPr>
        <w:pStyle w:val="AllowPageBreak"/>
      </w:pPr>
    </w:p>
    <w:p w:rsidR="00000000" w:rsidRPr="00AF2B65" w:rsidP="00AF2B65">
      <w:pPr>
        <w:pStyle w:val="Heading1"/>
      </w:pPr>
      <w:bookmarkStart w:id="13" w:name="O_229716"/>
      <w:bookmarkEnd w:id="13"/>
      <w:r w:rsidRPr="00AF2B6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61B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rPr>
                <w:rStyle w:val="SpecialBold"/>
              </w:rPr>
              <w:t>2</w:t>
            </w:r>
            <w:r w:rsidRPr="00AF2B65">
              <w:t>.</w:t>
            </w:r>
            <w:r w:rsidRPr="00AF2B65">
              <w:rPr>
                <w:rStyle w:val="SpecialBold"/>
              </w:rPr>
              <w:t>2</w:t>
            </w:r>
            <w:r w:rsidRPr="00AF2B65">
              <w:t xml:space="preserve">) </w:t>
            </w:r>
          </w:p>
          <w:p w:rsidR="00000000" w:rsidP="00AF2B65">
            <w:pPr>
              <w:pStyle w:val="BodyText"/>
              <w:rPr>
                <w:lang w:val="en-NZ"/>
              </w:rPr>
            </w:pPr>
            <w:r w:rsidRPr="00AF2B65">
              <w:t xml:space="preserve">Participants are best equipped to </w:t>
            </w:r>
            <w:r w:rsidRPr="00AF2B65">
              <w:t>achieve this unit if they have reading, writing and numeracy skills indicated by the following scales. Description of each scale is given in Volume 2, Part 3 "Literacy and Numeracy"</w:t>
            </w:r>
          </w:p>
        </w:tc>
      </w:tr>
      <w:tr w:rsidTr="00261B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Reading</w:t>
            </w:r>
          </w:p>
        </w:tc>
        <w:tc>
          <w:tcPr>
            <w:tcW w:w="805"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3</w:t>
            </w:r>
          </w:p>
        </w:tc>
        <w:tc>
          <w:tcPr>
            <w:tcW w:w="1184"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Writing</w:t>
            </w:r>
          </w:p>
        </w:tc>
        <w:tc>
          <w:tcPr>
            <w:tcW w:w="805"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3</w:t>
            </w:r>
          </w:p>
        </w:tc>
        <w:tc>
          <w:tcPr>
            <w:tcW w:w="1172"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t>Numeracy</w:t>
            </w:r>
          </w:p>
        </w:tc>
        <w:tc>
          <w:tcPr>
            <w:tcW w:w="805" w:type="dxa"/>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t>3</w:t>
            </w:r>
          </w:p>
        </w:tc>
      </w:tr>
    </w:tbl>
    <w:p w:rsidR="00261B15" w:rsidP="00AF2B65">
      <w:pPr>
        <w:pStyle w:val="BodyText"/>
      </w:pPr>
    </w:p>
    <w:p w:rsidR="00261B15" w:rsidP="00AF2B65">
      <w:pPr>
        <w:pStyle w:val="BodyText"/>
      </w:pPr>
    </w:p>
    <w:p w:rsidR="00000000" w:rsidRPr="00AF2B65" w:rsidP="00AF2B65">
      <w:pPr>
        <w:pStyle w:val="Heading1"/>
      </w:pPr>
      <w:bookmarkStart w:id="14" w:name="O_229719"/>
      <w:bookmarkEnd w:id="14"/>
      <w:r w:rsidRPr="00AF2B65">
        <w:t>Competency Field</w:t>
      </w:r>
    </w:p>
    <w:tbl>
      <w:tblPr>
        <w:tblW w:w="0" w:type="auto"/>
        <w:tblLayout w:type="fixed"/>
        <w:tblCellMar>
          <w:left w:w="62" w:type="dxa"/>
          <w:right w:w="62" w:type="dxa"/>
        </w:tblCellMar>
        <w:tblLook w:val="0000"/>
      </w:tblPr>
      <w:tblGrid>
        <w:gridCol w:w="2700"/>
        <w:gridCol w:w="5760"/>
      </w:tblGrid>
      <w:tr w:rsidTr="00261B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F2B65">
            <w:pPr>
              <w:pStyle w:val="BodyText"/>
              <w:rPr>
                <w:lang w:val="en-NZ"/>
              </w:rPr>
            </w:pPr>
            <w:r w:rsidRPr="00AF2B65">
              <w:rPr>
                <w:rStyle w:val="SpecialBold"/>
              </w:rPr>
              <w:t>4</w:t>
            </w:r>
            <w:r w:rsidRPr="00AF2B65">
              <w:t xml:space="preserve">) </w:t>
            </w:r>
          </w:p>
        </w:tc>
      </w:tr>
      <w:tr w:rsidTr="00261B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2B65" w:rsidP="00AF2B65">
            <w:pPr>
              <w:pStyle w:val="BodyText"/>
            </w:pPr>
            <w:r w:rsidRPr="00AF2B65">
              <w:t>Systems operations.</w:t>
            </w:r>
          </w:p>
        </w:tc>
      </w:tr>
    </w:tbl>
    <w:p w:rsidR="00261B15" w:rsidP="00AF2B65">
      <w:pPr>
        <w:pStyle w:val="BodyText"/>
      </w:pPr>
    </w:p>
    <w:p w:rsidR="00261B15" w:rsidP="00AF2B65">
      <w:pPr>
        <w:pStyle w:val="BodyText"/>
      </w:pPr>
    </w:p>
    <w:p w:rsidR="00000000" w:rsidRPr="00AF2B65" w:rsidP="00AF2B65"/>
    <w:sectPr w:rsidSect="00AF2B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1B15" w:rsidP="00261B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B15" w:rsidP="00AF2B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61B15" w:rsidP="00AF2B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61B15" w:rsidP="00AF2B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65" w:rsidRPr="00261B15" w:rsidP="00261B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B15" w:rsidRPr="002D2AF8" w:rsidP="00AF2B65">
    <w:pPr>
      <w:pStyle w:val="Header"/>
      <w:framePr w:wrap="around"/>
    </w:pPr>
    <w:r>
      <w:fldChar w:fldCharType="begin"/>
    </w:r>
    <w:r>
      <w:instrText xml:space="preserve"> TITLE   \* MERGEFORMAT </w:instrText>
    </w:r>
    <w:r>
      <w:fldChar w:fldCharType="separate"/>
    </w:r>
    <w:r>
      <w:t>UEGNSG801A Monitor and operate complex flow control, measuring and regulating devices for gas pressure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61B15" w:rsidP="00AF2B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ACCF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30B8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E644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B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2B65"/>
    <w:pPr>
      <w:spacing w:before="360" w:after="60"/>
      <w:outlineLvl w:val="0"/>
    </w:pPr>
    <w:rPr>
      <w:sz w:val="32"/>
    </w:rPr>
  </w:style>
  <w:style w:type="paragraph" w:styleId="Heading2">
    <w:name w:val="heading 2"/>
    <w:basedOn w:val="HeadingBase"/>
    <w:next w:val="BodyText"/>
    <w:link w:val="Heading2Char"/>
    <w:qFormat/>
    <w:rsid w:val="00AF2B65"/>
    <w:pPr>
      <w:keepLines/>
      <w:spacing w:before="240" w:after="120"/>
      <w:outlineLvl w:val="1"/>
    </w:pPr>
    <w:rPr>
      <w:sz w:val="28"/>
      <w:szCs w:val="40"/>
    </w:rPr>
  </w:style>
  <w:style w:type="paragraph" w:styleId="Heading3">
    <w:name w:val="heading 3"/>
    <w:basedOn w:val="HeadingBase"/>
    <w:next w:val="BodyText"/>
    <w:link w:val="Heading3Char"/>
    <w:qFormat/>
    <w:rsid w:val="00AF2B65"/>
    <w:pPr>
      <w:spacing w:before="180" w:after="120"/>
      <w:outlineLvl w:val="2"/>
    </w:pPr>
    <w:rPr>
      <w:spacing w:val="-10"/>
      <w:kern w:val="32"/>
    </w:rPr>
  </w:style>
  <w:style w:type="paragraph" w:styleId="Heading4">
    <w:name w:val="heading 4"/>
    <w:basedOn w:val="HeadingBase"/>
    <w:next w:val="BodyText"/>
    <w:link w:val="Heading4Char"/>
    <w:qFormat/>
    <w:rsid w:val="00AF2B65"/>
    <w:pPr>
      <w:spacing w:before="160" w:after="120"/>
      <w:outlineLvl w:val="3"/>
    </w:pPr>
    <w:rPr>
      <w:sz w:val="22"/>
    </w:rPr>
  </w:style>
  <w:style w:type="paragraph" w:styleId="Heading5">
    <w:name w:val="heading 5"/>
    <w:basedOn w:val="HeadingBase"/>
    <w:next w:val="Normal"/>
    <w:link w:val="Heading5Char"/>
    <w:qFormat/>
    <w:rsid w:val="00AF2B65"/>
    <w:pPr>
      <w:spacing w:before="80"/>
      <w:outlineLvl w:val="4"/>
    </w:pPr>
    <w:rPr>
      <w:color w:val="918585"/>
      <w:sz w:val="20"/>
    </w:rPr>
  </w:style>
  <w:style w:type="paragraph" w:styleId="Heading6">
    <w:name w:val="heading 6"/>
    <w:basedOn w:val="HeadingBase"/>
    <w:next w:val="Normal"/>
    <w:link w:val="Heading6Char"/>
    <w:qFormat/>
    <w:rsid w:val="00AF2B65"/>
    <w:pPr>
      <w:spacing w:before="60"/>
      <w:outlineLvl w:val="5"/>
    </w:pPr>
    <w:rPr>
      <w:color w:val="918585"/>
      <w:sz w:val="20"/>
    </w:rPr>
  </w:style>
  <w:style w:type="paragraph" w:styleId="Heading7">
    <w:name w:val="heading 7"/>
    <w:basedOn w:val="Normal"/>
    <w:next w:val="Normal"/>
    <w:link w:val="Heading7Char"/>
    <w:qFormat/>
    <w:rsid w:val="00AF2B65"/>
    <w:pPr>
      <w:ind w:left="720"/>
      <w:outlineLvl w:val="6"/>
    </w:pPr>
    <w:rPr>
      <w:i/>
    </w:rPr>
  </w:style>
  <w:style w:type="paragraph" w:styleId="Heading8">
    <w:name w:val="heading 8"/>
    <w:basedOn w:val="Normal"/>
    <w:next w:val="Normal"/>
    <w:link w:val="Heading8Char"/>
    <w:qFormat/>
    <w:rsid w:val="00AF2B65"/>
    <w:pPr>
      <w:ind w:left="720"/>
      <w:outlineLvl w:val="7"/>
    </w:pPr>
    <w:rPr>
      <w:i/>
    </w:rPr>
  </w:style>
  <w:style w:type="paragraph" w:styleId="Heading9">
    <w:name w:val="heading 9"/>
    <w:basedOn w:val="Normal"/>
    <w:next w:val="Normal"/>
    <w:link w:val="Heading9Char"/>
    <w:qFormat/>
    <w:rsid w:val="00AF2B65"/>
    <w:pPr>
      <w:ind w:left="720"/>
      <w:outlineLvl w:val="8"/>
    </w:pPr>
    <w:rPr>
      <w:i/>
    </w:rPr>
  </w:style>
  <w:style w:type="character" w:default="1" w:styleId="DefaultParagraphFont">
    <w:name w:val="Default Paragraph Font"/>
    <w:uiPriority w:val="1"/>
    <w:unhideWhenUsed/>
    <w:rsid w:val="00AF2B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B65"/>
  </w:style>
  <w:style w:type="character" w:customStyle="1" w:styleId="Heading1Char">
    <w:name w:val="Heading 1 Char"/>
    <w:basedOn w:val="DefaultParagraphFont"/>
    <w:link w:val="Heading1"/>
    <w:rsid w:val="00AF2B65"/>
    <w:rPr>
      <w:rFonts w:ascii="Times New Roman" w:eastAsia="Times New Roman" w:hAnsi="Times New Roman" w:cs="Times New Roman"/>
      <w:b/>
      <w:sz w:val="32"/>
      <w:szCs w:val="20"/>
      <w:lang w:eastAsia="en-US"/>
    </w:rPr>
  </w:style>
  <w:style w:type="paragraph" w:styleId="BodyText">
    <w:name w:val="Body Text"/>
    <w:basedOn w:val="Normal"/>
    <w:link w:val="BodyTextChar"/>
    <w:rsid w:val="00AF2B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2B65"/>
    <w:rPr>
      <w:rFonts w:ascii="Times New Roman" w:eastAsia="Times New Roman" w:hAnsi="Times New Roman" w:cs="Times New Roman"/>
      <w:sz w:val="24"/>
      <w:lang w:eastAsia="en-US"/>
    </w:rPr>
  </w:style>
  <w:style w:type="paragraph" w:styleId="Footer">
    <w:name w:val="footer"/>
    <w:basedOn w:val="Normal"/>
    <w:link w:val="FooterChar"/>
    <w:rsid w:val="00AF2B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B65"/>
    <w:rPr>
      <w:rFonts w:ascii="Times New Roman" w:eastAsia="Times New Roman" w:hAnsi="Times New Roman" w:cs="Times New Roman"/>
      <w:sz w:val="16"/>
      <w:lang w:eastAsia="en-US"/>
    </w:rPr>
  </w:style>
  <w:style w:type="paragraph" w:styleId="ListBullet">
    <w:name w:val="List Bullet"/>
    <w:basedOn w:val="List"/>
    <w:rsid w:val="00AF2B65"/>
    <w:pPr>
      <w:numPr>
        <w:numId w:val="13"/>
      </w:numPr>
      <w:tabs>
        <w:tab w:val="clear" w:pos="340"/>
      </w:tabs>
      <w:spacing w:before="40" w:after="40"/>
    </w:pPr>
  </w:style>
  <w:style w:type="character" w:customStyle="1" w:styleId="SpecialBold">
    <w:name w:val="Special Bold"/>
    <w:basedOn w:val="DefaultParagraphFont"/>
    <w:rsid w:val="00AF2B65"/>
    <w:rPr>
      <w:b/>
      <w:spacing w:val="0"/>
    </w:rPr>
  </w:style>
  <w:style w:type="paragraph" w:styleId="ListBullet2">
    <w:name w:val="List Bullet 2"/>
    <w:basedOn w:val="List2"/>
    <w:rsid w:val="00AF2B65"/>
    <w:pPr>
      <w:numPr>
        <w:numId w:val="14"/>
      </w:numPr>
      <w:tabs>
        <w:tab w:val="clear" w:pos="680"/>
      </w:tabs>
    </w:pPr>
  </w:style>
  <w:style w:type="paragraph" w:customStyle="1" w:styleId="SuperHeading">
    <w:name w:val="SuperHeading"/>
    <w:basedOn w:val="Normal"/>
    <w:rsid w:val="00AF2B65"/>
    <w:pPr>
      <w:spacing w:before="240" w:after="120"/>
      <w:outlineLvl w:val="0"/>
    </w:pPr>
    <w:rPr>
      <w:rFonts w:ascii="Times New Roman" w:hAnsi="Times New Roman"/>
      <w:b/>
      <w:sz w:val="28"/>
    </w:rPr>
  </w:style>
  <w:style w:type="paragraph" w:customStyle="1" w:styleId="AllowPageBreak">
    <w:name w:val="AllowPageBreak"/>
    <w:rsid w:val="00AF2B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2B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B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B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B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B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B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2B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2B65"/>
    <w:rPr>
      <w:rFonts w:ascii="Courier New" w:eastAsia="Times New Roman" w:hAnsi="Courier New" w:cs="Times New Roman"/>
      <w:i/>
      <w:szCs w:val="20"/>
      <w:lang w:eastAsia="en-US"/>
    </w:rPr>
  </w:style>
  <w:style w:type="paragraph" w:customStyle="1" w:styleId="HeadingBase">
    <w:name w:val="Heading Base"/>
    <w:rsid w:val="00AF2B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B65"/>
    <w:pPr>
      <w:tabs>
        <w:tab w:val="right" w:leader="dot" w:pos="9072"/>
      </w:tabs>
      <w:ind w:left="567"/>
    </w:pPr>
    <w:rPr>
      <w:szCs w:val="22"/>
    </w:rPr>
  </w:style>
  <w:style w:type="paragraph" w:customStyle="1" w:styleId="TOCBase">
    <w:name w:val="TOC Base"/>
    <w:rsid w:val="00AF2B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B65"/>
    <w:pPr>
      <w:tabs>
        <w:tab w:val="right" w:leader="dot" w:pos="9072"/>
      </w:tabs>
      <w:spacing w:before="40" w:after="40"/>
      <w:ind w:left="284"/>
    </w:pPr>
    <w:rPr>
      <w:rFonts w:ascii="Times New Roman" w:hAnsi="Times New Roman"/>
    </w:rPr>
  </w:style>
  <w:style w:type="paragraph" w:styleId="TOC1">
    <w:name w:val="toc 1"/>
    <w:basedOn w:val="TOCBase"/>
    <w:next w:val="Normal"/>
    <w:rsid w:val="00AF2B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2B65"/>
    <w:pPr>
      <w:spacing w:before="5040"/>
      <w:jc w:val="center"/>
    </w:pPr>
    <w:rPr>
      <w:sz w:val="48"/>
      <w:szCs w:val="72"/>
      <w:lang w:val="en-US"/>
    </w:rPr>
  </w:style>
  <w:style w:type="character" w:customStyle="1" w:styleId="TitleChar">
    <w:name w:val="Title Char"/>
    <w:basedOn w:val="DefaultParagraphFont"/>
    <w:link w:val="Title"/>
    <w:rsid w:val="00AF2B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B65"/>
    <w:pPr>
      <w:tabs>
        <w:tab w:val="left" w:pos="3600"/>
        <w:tab w:val="left" w:pos="3958"/>
      </w:tabs>
    </w:pPr>
  </w:style>
  <w:style w:type="paragraph" w:styleId="List">
    <w:name w:val="List"/>
    <w:basedOn w:val="BodyText"/>
    <w:next w:val="BodyText"/>
    <w:rsid w:val="00AF2B65"/>
    <w:pPr>
      <w:tabs>
        <w:tab w:val="left" w:pos="340"/>
      </w:tabs>
      <w:spacing w:before="60" w:after="60"/>
      <w:ind w:left="340" w:hanging="340"/>
    </w:pPr>
  </w:style>
  <w:style w:type="paragraph" w:customStyle="1" w:styleId="Note">
    <w:name w:val="Note"/>
    <w:basedOn w:val="BodyText"/>
    <w:rsid w:val="00AF2B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B65"/>
    <w:pPr>
      <w:framePr w:wrap="auto" w:hAnchor="text" w:y="6049"/>
    </w:pPr>
    <w:rPr>
      <w:color w:val="000000"/>
      <w:sz w:val="40"/>
    </w:rPr>
  </w:style>
  <w:style w:type="paragraph" w:customStyle="1" w:styleId="TOCTitle">
    <w:name w:val="TOCTitle"/>
    <w:basedOn w:val="Heading1"/>
    <w:rsid w:val="00AF2B65"/>
    <w:pPr>
      <w:spacing w:after="240"/>
      <w:jc w:val="center"/>
      <w:outlineLvl w:val="9"/>
    </w:pPr>
    <w:rPr>
      <w:caps/>
    </w:rPr>
  </w:style>
  <w:style w:type="paragraph" w:customStyle="1" w:styleId="Version">
    <w:name w:val="Version"/>
    <w:rsid w:val="00AF2B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2B65"/>
    <w:pPr>
      <w:keepNext w:val="0"/>
      <w:tabs>
        <w:tab w:val="right" w:pos="4176"/>
      </w:tabs>
      <w:ind w:left="198" w:hanging="198"/>
    </w:pPr>
    <w:rPr>
      <w:rFonts w:ascii="Garamond" w:hAnsi="Garamond"/>
    </w:rPr>
  </w:style>
  <w:style w:type="paragraph" w:styleId="IndexHeading">
    <w:name w:val="index heading"/>
    <w:basedOn w:val="Normal"/>
    <w:next w:val="Index1"/>
    <w:semiHidden/>
    <w:rsid w:val="00AF2B65"/>
    <w:pPr>
      <w:spacing w:before="120" w:after="120"/>
    </w:pPr>
    <w:rPr>
      <w:rFonts w:ascii="Arial" w:hAnsi="Arial"/>
      <w:b/>
      <w:color w:val="918585"/>
      <w:sz w:val="24"/>
    </w:rPr>
  </w:style>
  <w:style w:type="paragraph" w:styleId="Header">
    <w:name w:val="header"/>
    <w:basedOn w:val="Normal"/>
    <w:link w:val="HeaderChar"/>
    <w:rsid w:val="00AF2B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B65"/>
    <w:rPr>
      <w:rFonts w:ascii="Times New Roman" w:eastAsia="Times New Roman" w:hAnsi="Times New Roman" w:cs="Times New Roman"/>
      <w:sz w:val="16"/>
      <w:szCs w:val="20"/>
      <w:lang w:val="en-GB" w:eastAsia="en-US"/>
    </w:rPr>
  </w:style>
  <w:style w:type="paragraph" w:customStyle="1" w:styleId="Chapter">
    <w:name w:val="Chapter"/>
    <w:basedOn w:val="Normal"/>
    <w:rsid w:val="00AF2B65"/>
    <w:pPr>
      <w:spacing w:before="240"/>
    </w:pPr>
    <w:rPr>
      <w:rFonts w:ascii="Times New Roman" w:hAnsi="Times New Roman"/>
      <w:smallCaps/>
      <w:spacing w:val="80"/>
      <w:sz w:val="28"/>
    </w:rPr>
  </w:style>
  <w:style w:type="paragraph" w:customStyle="1" w:styleId="InChapter">
    <w:name w:val="InChapter"/>
    <w:basedOn w:val="Heading3"/>
    <w:rsid w:val="00AF2B65"/>
    <w:pPr>
      <w:spacing w:after="240"/>
      <w:outlineLvl w:val="9"/>
    </w:pPr>
    <w:rPr>
      <w:noProof/>
    </w:rPr>
  </w:style>
  <w:style w:type="paragraph" w:styleId="Index2">
    <w:name w:val="index 2"/>
    <w:basedOn w:val="Normal"/>
    <w:next w:val="Normal"/>
    <w:semiHidden/>
    <w:rsid w:val="00AF2B65"/>
    <w:pPr>
      <w:tabs>
        <w:tab w:val="right" w:pos="4176"/>
      </w:tabs>
      <w:ind w:left="568" w:hanging="284"/>
    </w:pPr>
    <w:rPr>
      <w:rFonts w:ascii="Garamond" w:hAnsi="Garamond"/>
    </w:rPr>
  </w:style>
  <w:style w:type="paragraph" w:customStyle="1" w:styleId="Byline">
    <w:name w:val="Byline"/>
    <w:rsid w:val="00AF2B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B65"/>
    <w:pPr>
      <w:tabs>
        <w:tab w:val="clear" w:pos="3600"/>
        <w:tab w:val="clear" w:pos="3958"/>
      </w:tabs>
      <w:jc w:val="right"/>
    </w:pPr>
  </w:style>
  <w:style w:type="character" w:styleId="Emphasis">
    <w:name w:val="Emphasis"/>
    <w:basedOn w:val="DefaultParagraphFont"/>
    <w:qFormat/>
    <w:rsid w:val="00AF2B65"/>
    <w:rPr>
      <w:i/>
    </w:rPr>
  </w:style>
  <w:style w:type="paragraph" w:styleId="Caption">
    <w:name w:val="caption"/>
    <w:basedOn w:val="BodyText"/>
    <w:next w:val="Normal"/>
    <w:qFormat/>
    <w:rsid w:val="00AF2B65"/>
    <w:pPr>
      <w:framePr w:w="2268" w:hSpace="181" w:vSpace="181" w:wrap="around" w:vAnchor="text" w:hAnchor="page" w:x="1135" w:y="285" w:anchorLock="1"/>
    </w:pPr>
    <w:rPr>
      <w:i/>
    </w:rPr>
  </w:style>
  <w:style w:type="paragraph" w:customStyle="1" w:styleId="MiniTOCTitle">
    <w:name w:val="MiniTOCTitle"/>
    <w:basedOn w:val="Heading4"/>
    <w:rsid w:val="00AF2B65"/>
    <w:pPr>
      <w:spacing w:before="240"/>
      <w:outlineLvl w:val="9"/>
    </w:pPr>
    <w:rPr>
      <w:noProof/>
      <w:sz w:val="24"/>
    </w:rPr>
  </w:style>
  <w:style w:type="paragraph" w:customStyle="1" w:styleId="MiniTOCItem">
    <w:name w:val="MiniTOCItem"/>
    <w:basedOn w:val="ListBullet"/>
    <w:rsid w:val="00AF2B65"/>
    <w:pPr>
      <w:numPr>
        <w:numId w:val="0"/>
      </w:numPr>
      <w:tabs>
        <w:tab w:val="right" w:leader="dot" w:pos="6521"/>
      </w:tabs>
      <w:spacing w:before="0" w:after="0"/>
    </w:pPr>
  </w:style>
  <w:style w:type="paragraph" w:customStyle="1" w:styleId="TOFTitle">
    <w:name w:val="TOFTitle"/>
    <w:basedOn w:val="TOCTitle"/>
    <w:rsid w:val="00AF2B65"/>
  </w:style>
  <w:style w:type="paragraph" w:styleId="TableofFigures">
    <w:name w:val="table of figures"/>
    <w:basedOn w:val="Normal"/>
    <w:next w:val="Normal"/>
    <w:semiHidden/>
    <w:rsid w:val="00AF2B65"/>
    <w:pPr>
      <w:tabs>
        <w:tab w:val="right" w:leader="dot" w:pos="9072"/>
      </w:tabs>
      <w:ind w:left="970" w:hanging="403"/>
    </w:pPr>
    <w:rPr>
      <w:rFonts w:ascii="Times New Roman" w:hAnsi="Times New Roman"/>
      <w:b/>
    </w:rPr>
  </w:style>
  <w:style w:type="paragraph" w:styleId="ListNumber">
    <w:name w:val="List Number"/>
    <w:basedOn w:val="List"/>
    <w:rsid w:val="00AF2B65"/>
    <w:pPr>
      <w:numPr>
        <w:numId w:val="11"/>
      </w:numPr>
    </w:pPr>
  </w:style>
  <w:style w:type="character" w:customStyle="1" w:styleId="WingdingSymbols">
    <w:name w:val="Wingding Symbols"/>
    <w:rsid w:val="00AF2B65"/>
    <w:rPr>
      <w:rFonts w:ascii="Wingdings" w:hAnsi="Wingdings"/>
    </w:rPr>
  </w:style>
  <w:style w:type="paragraph" w:customStyle="1" w:styleId="TableHeading">
    <w:name w:val="Table Heading"/>
    <w:basedOn w:val="HeadingBase"/>
    <w:rsid w:val="00AF2B65"/>
    <w:pPr>
      <w:keepLines/>
      <w:pBdr>
        <w:bottom w:val="single" w:sz="6" w:space="1" w:color="918585"/>
      </w:pBdr>
      <w:spacing w:before="240"/>
    </w:pPr>
  </w:style>
  <w:style w:type="character" w:customStyle="1" w:styleId="HotSpot">
    <w:name w:val="HotSpot"/>
    <w:rsid w:val="00AF2B65"/>
    <w:rPr>
      <w:color w:val="0033CC"/>
      <w:u w:val="none"/>
    </w:rPr>
  </w:style>
  <w:style w:type="paragraph" w:customStyle="1" w:styleId="BodyTextRight">
    <w:name w:val="Body Text Right"/>
    <w:basedOn w:val="BodyText"/>
    <w:rsid w:val="00AF2B65"/>
    <w:pPr>
      <w:spacing w:before="0" w:after="0"/>
      <w:jc w:val="right"/>
    </w:pPr>
  </w:style>
  <w:style w:type="paragraph" w:styleId="Index3">
    <w:name w:val="index 3"/>
    <w:basedOn w:val="ListNumber2"/>
    <w:next w:val="Normal"/>
    <w:semiHidden/>
    <w:rsid w:val="00AF2B65"/>
    <w:pPr>
      <w:numPr>
        <w:numId w:val="0"/>
      </w:numPr>
      <w:tabs>
        <w:tab w:val="right" w:leader="dot" w:pos="4176"/>
      </w:tabs>
    </w:pPr>
  </w:style>
  <w:style w:type="paragraph" w:styleId="ListNumber2">
    <w:name w:val="List Number 2"/>
    <w:basedOn w:val="List2"/>
    <w:rsid w:val="00AF2B65"/>
    <w:pPr>
      <w:numPr>
        <w:numId w:val="10"/>
      </w:numPr>
      <w:tabs>
        <w:tab w:val="clear" w:pos="1060"/>
      </w:tabs>
    </w:pPr>
  </w:style>
  <w:style w:type="paragraph" w:customStyle="1" w:styleId="MarginNote">
    <w:name w:val="Margin Note"/>
    <w:basedOn w:val="BodyText"/>
    <w:rsid w:val="00AF2B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B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B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2B65"/>
    <w:rPr>
      <w:sz w:val="32"/>
    </w:rPr>
  </w:style>
  <w:style w:type="paragraph" w:customStyle="1" w:styleId="HeadingProcedure">
    <w:name w:val="Heading Procedure"/>
    <w:basedOn w:val="HeadingBase"/>
    <w:next w:val="Normal"/>
    <w:rsid w:val="00AF2B65"/>
    <w:pPr>
      <w:tabs>
        <w:tab w:val="left" w:pos="0"/>
      </w:tabs>
      <w:spacing w:before="120" w:after="60"/>
    </w:pPr>
    <w:rPr>
      <w:i/>
      <w:color w:val="918585"/>
      <w:sz w:val="22"/>
    </w:rPr>
  </w:style>
  <w:style w:type="paragraph" w:customStyle="1" w:styleId="TableBodyText">
    <w:name w:val="Table Body Text"/>
    <w:basedOn w:val="BodyText"/>
    <w:rsid w:val="00AF2B65"/>
    <w:pPr>
      <w:spacing w:before="60" w:after="60"/>
    </w:pPr>
  </w:style>
  <w:style w:type="paragraph" w:styleId="ListContinue">
    <w:name w:val="List Continue"/>
    <w:basedOn w:val="List"/>
    <w:rsid w:val="00AF2B65"/>
    <w:pPr>
      <w:ind w:firstLine="0"/>
    </w:pPr>
  </w:style>
  <w:style w:type="paragraph" w:customStyle="1" w:styleId="ListNote">
    <w:name w:val="List Note"/>
    <w:basedOn w:val="List"/>
    <w:rsid w:val="00AF2B65"/>
    <w:pPr>
      <w:pBdr>
        <w:top w:val="single" w:sz="6" w:space="2" w:color="918585"/>
        <w:bottom w:val="single" w:sz="6" w:space="2" w:color="918585"/>
      </w:pBdr>
      <w:tabs>
        <w:tab w:val="left" w:pos="1021"/>
      </w:tabs>
      <w:ind w:firstLine="0"/>
    </w:pPr>
  </w:style>
  <w:style w:type="paragraph" w:customStyle="1" w:styleId="Warning">
    <w:name w:val="Warning"/>
    <w:basedOn w:val="BodyText"/>
    <w:rsid w:val="00AF2B65"/>
    <w:pPr>
      <w:shd w:val="clear" w:color="auto" w:fill="D9D9D9"/>
      <w:tabs>
        <w:tab w:val="left" w:pos="992"/>
      </w:tabs>
      <w:ind w:left="119" w:right="119"/>
    </w:pPr>
    <w:rPr>
      <w:sz w:val="20"/>
    </w:rPr>
  </w:style>
  <w:style w:type="paragraph" w:customStyle="1" w:styleId="MarginIcons">
    <w:name w:val="Margin Icons"/>
    <w:basedOn w:val="BodyText"/>
    <w:rsid w:val="00AF2B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B65"/>
    <w:rPr>
      <w:rFonts w:ascii="Courier New" w:hAnsi="Courier New"/>
    </w:rPr>
  </w:style>
  <w:style w:type="paragraph" w:customStyle="1" w:styleId="NoteBullet">
    <w:name w:val="Note Bullet"/>
    <w:basedOn w:val="Note"/>
    <w:rsid w:val="00AF2B65"/>
    <w:pPr>
      <w:tabs>
        <w:tab w:val="clear" w:pos="680"/>
      </w:tabs>
      <w:spacing w:before="60" w:after="60"/>
    </w:pPr>
  </w:style>
  <w:style w:type="paragraph" w:customStyle="1" w:styleId="SubHeading2">
    <w:name w:val="SubHeading2"/>
    <w:basedOn w:val="HeadingBase"/>
    <w:rsid w:val="00AF2B65"/>
    <w:pPr>
      <w:spacing w:before="240" w:after="60"/>
    </w:pPr>
    <w:rPr>
      <w:sz w:val="20"/>
    </w:rPr>
  </w:style>
  <w:style w:type="paragraph" w:customStyle="1" w:styleId="SubHeading1">
    <w:name w:val="SubHeading1"/>
    <w:basedOn w:val="HeadingBase"/>
    <w:rsid w:val="00AF2B65"/>
    <w:pPr>
      <w:spacing w:before="240" w:after="60"/>
    </w:pPr>
    <w:rPr>
      <w:color w:val="918585"/>
      <w:sz w:val="22"/>
    </w:rPr>
  </w:style>
  <w:style w:type="paragraph" w:customStyle="1" w:styleId="SideHeading">
    <w:name w:val="Side Heading"/>
    <w:basedOn w:val="HeadingBase"/>
    <w:rsid w:val="00AF2B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B65"/>
    <w:pPr>
      <w:numPr>
        <w:numId w:val="12"/>
      </w:numPr>
    </w:pPr>
  </w:style>
  <w:style w:type="paragraph" w:styleId="PlainText">
    <w:name w:val="Plain Text"/>
    <w:basedOn w:val="Normal"/>
    <w:link w:val="PlainTextChar"/>
    <w:rsid w:val="00AF2B65"/>
    <w:rPr>
      <w:sz w:val="20"/>
    </w:rPr>
  </w:style>
  <w:style w:type="character" w:customStyle="1" w:styleId="PlainTextChar">
    <w:name w:val="Plain Text Char"/>
    <w:basedOn w:val="DefaultParagraphFont"/>
    <w:link w:val="PlainText"/>
    <w:rsid w:val="00AF2B65"/>
    <w:rPr>
      <w:rFonts w:ascii="Courier New" w:eastAsia="Times New Roman" w:hAnsi="Courier New" w:cs="Times New Roman"/>
      <w:sz w:val="20"/>
      <w:szCs w:val="20"/>
      <w:lang w:eastAsia="en-US"/>
    </w:rPr>
  </w:style>
  <w:style w:type="character" w:customStyle="1" w:styleId="MenuOption">
    <w:name w:val="Menu Option"/>
    <w:basedOn w:val="DefaultParagraphFont"/>
    <w:rsid w:val="00AF2B65"/>
    <w:rPr>
      <w:b/>
      <w:smallCaps/>
    </w:rPr>
  </w:style>
  <w:style w:type="paragraph" w:customStyle="1" w:styleId="TableListNumber">
    <w:name w:val="Table List Number"/>
    <w:basedOn w:val="ListNumber"/>
    <w:rsid w:val="00AF2B65"/>
    <w:pPr>
      <w:numPr>
        <w:numId w:val="0"/>
      </w:numPr>
    </w:pPr>
  </w:style>
  <w:style w:type="paragraph" w:styleId="TOC4">
    <w:name w:val="toc 4"/>
    <w:basedOn w:val="TOCBase"/>
    <w:next w:val="Normal"/>
    <w:semiHidden/>
    <w:rsid w:val="00AF2B65"/>
    <w:pPr>
      <w:tabs>
        <w:tab w:val="right" w:leader="dot" w:pos="9071"/>
      </w:tabs>
      <w:ind w:left="1701"/>
    </w:pPr>
  </w:style>
  <w:style w:type="paragraph" w:customStyle="1" w:styleId="ListAlpha">
    <w:name w:val="List Alpha"/>
    <w:basedOn w:val="List"/>
    <w:rsid w:val="00AF2B65"/>
    <w:pPr>
      <w:numPr>
        <w:numId w:val="9"/>
      </w:numPr>
    </w:pPr>
  </w:style>
  <w:style w:type="paragraph" w:customStyle="1" w:styleId="ListAlpha2">
    <w:name w:val="List Alpha 2"/>
    <w:basedOn w:val="List2"/>
    <w:rsid w:val="00AF2B65"/>
    <w:pPr>
      <w:numPr>
        <w:numId w:val="8"/>
      </w:numPr>
    </w:pPr>
  </w:style>
  <w:style w:type="paragraph" w:styleId="List2">
    <w:name w:val="List 2"/>
    <w:basedOn w:val="BodyText"/>
    <w:rsid w:val="00AF2B65"/>
    <w:pPr>
      <w:tabs>
        <w:tab w:val="left" w:pos="680"/>
      </w:tabs>
      <w:spacing w:before="60" w:after="60"/>
      <w:ind w:left="680" w:hanging="340"/>
    </w:pPr>
  </w:style>
  <w:style w:type="paragraph" w:styleId="List3">
    <w:name w:val="List 3"/>
    <w:basedOn w:val="BodyText"/>
    <w:rsid w:val="00AF2B65"/>
    <w:pPr>
      <w:tabs>
        <w:tab w:val="left" w:pos="1021"/>
      </w:tabs>
      <w:spacing w:before="60" w:after="60"/>
      <w:ind w:left="1020" w:hanging="340"/>
    </w:pPr>
  </w:style>
  <w:style w:type="paragraph" w:styleId="List4">
    <w:name w:val="List 4"/>
    <w:basedOn w:val="BodyText"/>
    <w:rsid w:val="00AF2B65"/>
    <w:pPr>
      <w:tabs>
        <w:tab w:val="left" w:pos="1361"/>
      </w:tabs>
      <w:spacing w:before="60" w:after="60"/>
      <w:ind w:left="1361" w:hanging="340"/>
    </w:pPr>
  </w:style>
  <w:style w:type="paragraph" w:styleId="List5">
    <w:name w:val="List 5"/>
    <w:basedOn w:val="BodyText"/>
    <w:rsid w:val="00AF2B65"/>
    <w:pPr>
      <w:tabs>
        <w:tab w:val="left" w:pos="1701"/>
      </w:tabs>
      <w:spacing w:before="60" w:after="60"/>
      <w:ind w:left="1701" w:hanging="340"/>
    </w:pPr>
  </w:style>
  <w:style w:type="paragraph" w:styleId="ListBullet3">
    <w:name w:val="List Bullet 3"/>
    <w:basedOn w:val="List3"/>
    <w:rsid w:val="00AF2B65"/>
    <w:pPr>
      <w:numPr>
        <w:numId w:val="15"/>
      </w:numPr>
      <w:tabs>
        <w:tab w:val="clear" w:pos="1021"/>
      </w:tabs>
      <w:ind w:left="1037" w:hanging="357"/>
    </w:pPr>
  </w:style>
  <w:style w:type="paragraph" w:styleId="ListBullet4">
    <w:name w:val="List Bullet 4"/>
    <w:basedOn w:val="List4"/>
    <w:rsid w:val="00AF2B65"/>
    <w:pPr>
      <w:numPr>
        <w:numId w:val="3"/>
      </w:numPr>
    </w:pPr>
  </w:style>
  <w:style w:type="paragraph" w:styleId="ListBullet5">
    <w:name w:val="List Bullet 5"/>
    <w:basedOn w:val="List5"/>
    <w:rsid w:val="00AF2B65"/>
    <w:pPr>
      <w:numPr>
        <w:numId w:val="4"/>
      </w:numPr>
    </w:pPr>
  </w:style>
  <w:style w:type="paragraph" w:styleId="ListContinue2">
    <w:name w:val="List Continue 2"/>
    <w:basedOn w:val="List2"/>
    <w:rsid w:val="00AF2B65"/>
    <w:pPr>
      <w:ind w:firstLine="0"/>
    </w:pPr>
  </w:style>
  <w:style w:type="paragraph" w:styleId="ListContinue3">
    <w:name w:val="List Continue 3"/>
    <w:basedOn w:val="List3"/>
    <w:rsid w:val="00AF2B65"/>
    <w:pPr>
      <w:ind w:left="1021" w:firstLine="0"/>
    </w:pPr>
  </w:style>
  <w:style w:type="paragraph" w:styleId="ListContinue4">
    <w:name w:val="List Continue 4"/>
    <w:basedOn w:val="List4"/>
    <w:rsid w:val="00AF2B65"/>
    <w:pPr>
      <w:ind w:firstLine="0"/>
    </w:pPr>
  </w:style>
  <w:style w:type="paragraph" w:styleId="ListContinue5">
    <w:name w:val="List Continue 5"/>
    <w:basedOn w:val="List5"/>
    <w:rsid w:val="00AF2B65"/>
    <w:pPr>
      <w:ind w:firstLine="0"/>
    </w:pPr>
  </w:style>
  <w:style w:type="paragraph" w:styleId="ListNumber3">
    <w:name w:val="List Number 3"/>
    <w:basedOn w:val="List3"/>
    <w:rsid w:val="00AF2B65"/>
    <w:pPr>
      <w:numPr>
        <w:numId w:val="5"/>
      </w:numPr>
    </w:pPr>
  </w:style>
  <w:style w:type="paragraph" w:styleId="ListNumber4">
    <w:name w:val="List Number 4"/>
    <w:basedOn w:val="List4"/>
    <w:rsid w:val="00AF2B65"/>
    <w:pPr>
      <w:numPr>
        <w:numId w:val="6"/>
      </w:numPr>
    </w:pPr>
  </w:style>
  <w:style w:type="paragraph" w:styleId="ListNumber5">
    <w:name w:val="List Number 5"/>
    <w:basedOn w:val="List5"/>
    <w:rsid w:val="00AF2B65"/>
    <w:pPr>
      <w:numPr>
        <w:numId w:val="7"/>
      </w:numPr>
    </w:pPr>
  </w:style>
  <w:style w:type="paragraph" w:styleId="BlockText">
    <w:name w:val="Block Text"/>
    <w:basedOn w:val="Normal"/>
    <w:rsid w:val="00AF2B65"/>
    <w:pPr>
      <w:spacing w:after="120"/>
      <w:ind w:left="1440" w:right="1440"/>
    </w:pPr>
  </w:style>
  <w:style w:type="character" w:customStyle="1" w:styleId="Subscript">
    <w:name w:val="Subscript"/>
    <w:basedOn w:val="DefaultParagraphFont"/>
    <w:rsid w:val="00AF2B65"/>
    <w:rPr>
      <w:sz w:val="16"/>
      <w:vertAlign w:val="subscript"/>
    </w:rPr>
  </w:style>
  <w:style w:type="character" w:customStyle="1" w:styleId="Superscript">
    <w:name w:val="Superscript"/>
    <w:basedOn w:val="DefaultParagraphFont"/>
    <w:rsid w:val="00AF2B65"/>
    <w:rPr>
      <w:sz w:val="16"/>
      <w:vertAlign w:val="superscript"/>
    </w:rPr>
  </w:style>
  <w:style w:type="character" w:customStyle="1" w:styleId="Symbols">
    <w:name w:val="Symbols"/>
    <w:basedOn w:val="DefaultParagraphFont"/>
    <w:rsid w:val="00AF2B65"/>
    <w:rPr>
      <w:rFonts w:ascii="Symbol" w:hAnsi="Symbol"/>
    </w:rPr>
  </w:style>
  <w:style w:type="character" w:customStyle="1" w:styleId="MenuOptions">
    <w:name w:val="Menu Options"/>
    <w:basedOn w:val="DefaultParagraphFont"/>
    <w:rsid w:val="00AF2B65"/>
    <w:rPr>
      <w:rFonts w:ascii="Arial Narrow" w:hAnsi="Arial Narrow"/>
      <w:smallCaps/>
    </w:rPr>
  </w:style>
  <w:style w:type="character" w:customStyle="1" w:styleId="Buttons">
    <w:name w:val="Buttons"/>
    <w:basedOn w:val="DefaultParagraphFont"/>
    <w:rsid w:val="00AF2B65"/>
    <w:rPr>
      <w:b/>
    </w:rPr>
  </w:style>
  <w:style w:type="character" w:customStyle="1" w:styleId="Underlined">
    <w:name w:val="Underlined"/>
    <w:basedOn w:val="DefaultParagraphFont"/>
    <w:rsid w:val="00AF2B65"/>
    <w:rPr>
      <w:u w:val="single"/>
    </w:rPr>
  </w:style>
  <w:style w:type="paragraph" w:customStyle="1" w:styleId="TableBodyTextRight">
    <w:name w:val="Table Body Text Right"/>
    <w:basedOn w:val="TableBodyText"/>
    <w:rsid w:val="00AF2B65"/>
    <w:pPr>
      <w:widowControl w:val="0"/>
      <w:autoSpaceDE w:val="0"/>
      <w:autoSpaceDN w:val="0"/>
      <w:adjustRightInd w:val="0"/>
      <w:jc w:val="right"/>
    </w:pPr>
    <w:rPr>
      <w:rFonts w:cs="Arial"/>
      <w:szCs w:val="18"/>
    </w:rPr>
  </w:style>
  <w:style w:type="paragraph" w:customStyle="1" w:styleId="CopyrightText">
    <w:name w:val="Copyright Text"/>
    <w:basedOn w:val="BodyText"/>
    <w:rsid w:val="00AF2B65"/>
    <w:rPr>
      <w:sz w:val="18"/>
    </w:rPr>
  </w:style>
  <w:style w:type="paragraph" w:customStyle="1" w:styleId="BodySmallRight">
    <w:name w:val="Body Small Right"/>
    <w:basedOn w:val="BodyTextRight"/>
    <w:rsid w:val="00AF2B65"/>
    <w:rPr>
      <w:sz w:val="18"/>
      <w:szCs w:val="18"/>
    </w:rPr>
  </w:style>
  <w:style w:type="paragraph" w:customStyle="1" w:styleId="MarginEdition">
    <w:name w:val="Margin Edition"/>
    <w:basedOn w:val="MarginNote"/>
    <w:rsid w:val="00AF2B65"/>
    <w:pPr>
      <w:spacing w:before="0" w:after="0"/>
    </w:pPr>
    <w:rPr>
      <w:rFonts w:ascii="Times New Roman" w:hAnsi="Times New Roman"/>
      <w:color w:val="999999"/>
    </w:rPr>
  </w:style>
  <w:style w:type="paragraph" w:customStyle="1" w:styleId="Spacer">
    <w:name w:val="Spacer"/>
    <w:basedOn w:val="Normal"/>
    <w:rsid w:val="00AF2B65"/>
    <w:rPr>
      <w:sz w:val="2"/>
      <w:szCs w:val="2"/>
    </w:rPr>
  </w:style>
  <w:style w:type="character" w:customStyle="1" w:styleId="Small">
    <w:name w:val="Small"/>
    <w:basedOn w:val="DefaultParagraphFont"/>
    <w:rsid w:val="00AF2B65"/>
    <w:rPr>
      <w:sz w:val="16"/>
    </w:rPr>
  </w:style>
  <w:style w:type="paragraph" w:customStyle="1" w:styleId="WideTable">
    <w:name w:val="Wide Table"/>
    <w:basedOn w:val="Normal"/>
    <w:rsid w:val="00AF2B65"/>
    <w:pPr>
      <w:ind w:left="-1418"/>
    </w:pPr>
    <w:rPr>
      <w:sz w:val="2"/>
      <w:szCs w:val="2"/>
    </w:rPr>
  </w:style>
  <w:style w:type="character" w:styleId="PageNumber">
    <w:name w:val="page number"/>
    <w:basedOn w:val="DefaultParagraphFont"/>
    <w:rsid w:val="00AF2B65"/>
  </w:style>
  <w:style w:type="paragraph" w:styleId="Quote">
    <w:name w:val="Quote"/>
    <w:basedOn w:val="Heading1"/>
    <w:link w:val="QuoteChar"/>
    <w:qFormat/>
    <w:rsid w:val="00AF2B65"/>
    <w:rPr>
      <w:b w:val="0"/>
      <w:sz w:val="72"/>
      <w:szCs w:val="72"/>
      <w:lang w:val="en-NZ"/>
    </w:rPr>
  </w:style>
  <w:style w:type="character" w:customStyle="1" w:styleId="QuoteChar">
    <w:name w:val="Quote Char"/>
    <w:basedOn w:val="DefaultParagraphFont"/>
    <w:link w:val="Quote"/>
    <w:rsid w:val="00AF2B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B65"/>
    <w:pPr>
      <w:pageBreakBefore/>
    </w:pPr>
  </w:style>
  <w:style w:type="paragraph" w:customStyle="1" w:styleId="Border">
    <w:name w:val="Border"/>
    <w:basedOn w:val="Normal"/>
    <w:qFormat/>
    <w:rsid w:val="00AF2B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B65"/>
    <w:rPr>
      <w:b/>
      <w:bCs/>
      <w:i/>
      <w:iCs/>
      <w:color w:val="auto"/>
    </w:rPr>
  </w:style>
  <w:style w:type="paragraph" w:styleId="IntenseQuote">
    <w:name w:val="Intense Quote"/>
    <w:basedOn w:val="Normal"/>
    <w:next w:val="Normal"/>
    <w:link w:val="IntenseQuoteChar"/>
    <w:uiPriority w:val="30"/>
    <w:qFormat/>
    <w:rsid w:val="00AF2B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B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2B65"/>
    <w:rPr>
      <w:smallCaps/>
      <w:color w:val="auto"/>
      <w:u w:val="single"/>
    </w:rPr>
  </w:style>
  <w:style w:type="character" w:styleId="IntenseReference">
    <w:name w:val="Intense Reference"/>
    <w:basedOn w:val="DefaultParagraphFont"/>
    <w:uiPriority w:val="32"/>
    <w:qFormat/>
    <w:rsid w:val="00AF2B65"/>
    <w:rPr>
      <w:b/>
      <w:bCs/>
      <w:smallCaps/>
      <w:color w:val="auto"/>
      <w:spacing w:val="5"/>
      <w:u w:val="single"/>
    </w:rPr>
  </w:style>
  <w:style w:type="paragraph" w:customStyle="1" w:styleId="2ColumnHeading">
    <w:name w:val="2Column Heading"/>
    <w:basedOn w:val="BodyText"/>
    <w:qFormat/>
    <w:rsid w:val="00AF2B65"/>
    <w:pPr>
      <w:spacing w:after="60"/>
      <w:ind w:left="-2268"/>
    </w:pPr>
    <w:rPr>
      <w:b/>
    </w:rPr>
  </w:style>
  <w:style w:type="paragraph" w:customStyle="1" w:styleId="Heading1TOC">
    <w:name w:val="Heading1 TOC"/>
    <w:basedOn w:val="Normal"/>
    <w:qFormat/>
    <w:rsid w:val="00AF2B65"/>
    <w:pPr>
      <w:spacing w:before="240" w:after="120"/>
    </w:pPr>
    <w:rPr>
      <w:rFonts w:ascii="Times New Roman" w:hAnsi="Times New Roman"/>
      <w:b/>
      <w:sz w:val="32"/>
    </w:rPr>
  </w:style>
  <w:style w:type="paragraph" w:customStyle="1" w:styleId="Heading2TOC">
    <w:name w:val="Heading2 TOC"/>
    <w:basedOn w:val="Normal"/>
    <w:qFormat/>
    <w:rsid w:val="00AF2B65"/>
    <w:pPr>
      <w:spacing w:before="240" w:after="60"/>
    </w:pPr>
    <w:rPr>
      <w:rFonts w:ascii="Times New Roman" w:hAnsi="Times New Roman"/>
      <w:b/>
      <w:sz w:val="28"/>
    </w:rPr>
  </w:style>
  <w:style w:type="character" w:customStyle="1" w:styleId="Underline">
    <w:name w:val="Underline"/>
    <w:basedOn w:val="DefaultParagraphFont"/>
    <w:qFormat/>
    <w:rsid w:val="00AF2B65"/>
    <w:rPr>
      <w:u w:val="single"/>
    </w:rPr>
  </w:style>
  <w:style w:type="character" w:customStyle="1" w:styleId="BoldandItalics">
    <w:name w:val="Bold and Italics"/>
    <w:qFormat/>
    <w:rsid w:val="00AF2B65"/>
    <w:rPr>
      <w:b/>
      <w:i/>
      <w:u w:val="none"/>
    </w:rPr>
  </w:style>
  <w:style w:type="paragraph" w:styleId="BalloonText">
    <w:name w:val="Balloon Text"/>
    <w:basedOn w:val="Normal"/>
    <w:link w:val="BalloonTextChar"/>
    <w:rsid w:val="00AF2B65"/>
    <w:rPr>
      <w:rFonts w:ascii="Tahoma" w:hAnsi="Tahoma" w:cs="Tahoma"/>
      <w:sz w:val="16"/>
      <w:szCs w:val="16"/>
    </w:rPr>
  </w:style>
  <w:style w:type="character" w:customStyle="1" w:styleId="BalloonTextChar">
    <w:name w:val="Balloon Text Char"/>
    <w:basedOn w:val="DefaultParagraphFont"/>
    <w:link w:val="BalloonText"/>
    <w:rsid w:val="00AF2B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2B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2B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2B65"/>
    <w:rPr>
      <w:b/>
      <w:color w:val="660033"/>
      <w:spacing w:val="0"/>
    </w:rPr>
  </w:style>
  <w:style w:type="paragraph" w:customStyle="1" w:styleId="Nameditemlist">
    <w:name w:val="Named item list"/>
    <w:basedOn w:val="BodyText"/>
    <w:qFormat/>
    <w:rsid w:val="00AF2B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2639</Words>
  <Characters>16028</Characters>
  <Application>Microsoft Office Word</Application>
  <DocSecurity>0</DocSecurity>
  <Lines>827</Lines>
  <Paragraphs>350</Paragraphs>
  <ScaleCrop>false</ScaleCrop>
  <Company>Author-it Software Corporation Ltd.</Company>
  <LinksUpToDate>false</LinksUpToDate>
  <CharactersWithSpaces>18354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UEGNSG801A Monitor and operate complex flow control, measuring and regulating devices for gas pressure control</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2012-10-10T09:12:00Z</dcterms:created>
  <dcterms:modified xsi:type="dcterms:W3CDTF">2012-10-10T09:12:00Z</dcterms:modified>
</cp:coreProperties>
</file>