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6FA" w:rsidP="007576FA">
      <w:pPr>
        <w:pStyle w:val="Title"/>
      </w:pPr>
      <w:r>
        <w:fldChar w:fldCharType="begin"/>
      </w:r>
      <w:r>
        <w:instrText xml:space="preserve"> TITLE   \* MERGEFORMAT </w:instrText>
      </w:r>
      <w:r>
        <w:fldChar w:fldCharType="separate"/>
      </w:r>
      <w:r>
        <w:t>UEGNSG703A Investigate billing exceptions/conditions</w:t>
      </w:r>
      <w:r>
        <w:fldChar w:fldCharType="end"/>
      </w:r>
    </w:p>
    <w:p w:rsidR="007576FA" w:rsidP="007576FA">
      <w:pPr>
        <w:pStyle w:val="Version"/>
        <w:sectPr w:rsidSect="00516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405" w:rsidP="00516405">
      <w:pPr>
        <w:pStyle w:val="SuperHeading"/>
      </w:pPr>
      <w:r w:rsidRPr="00516405">
        <w:t>UEGNSG703A Investigate billing exceptions/conditions</w:t>
      </w:r>
    </w:p>
    <w:p w:rsidR="00000000" w:rsidRPr="00516405" w:rsidP="00516405">
      <w:pPr>
        <w:pStyle w:val="Heading1"/>
      </w:pPr>
      <w:bookmarkStart w:id="1" w:name="O_275148"/>
      <w:bookmarkEnd w:id="1"/>
      <w:r w:rsidRPr="00516405">
        <w:t>Modification History</w:t>
      </w:r>
    </w:p>
    <w:p w:rsidR="00000000" w:rsidRPr="00516405" w:rsidP="00516405">
      <w:pPr>
        <w:pStyle w:val="BodyText"/>
      </w:pPr>
      <w:r w:rsidRPr="00516405">
        <w:t>Not Applicable</w:t>
      </w:r>
    </w:p>
    <w:p w:rsidR="00000000" w:rsidRPr="00516405" w:rsidP="00516405">
      <w:pPr>
        <w:pStyle w:val="AllowPageBreak"/>
      </w:pPr>
    </w:p>
    <w:p w:rsidR="00000000" w:rsidRPr="00516405" w:rsidP="00516405">
      <w:pPr>
        <w:pStyle w:val="Heading1"/>
      </w:pPr>
      <w:bookmarkStart w:id="2" w:name="O_229708"/>
      <w:bookmarkEnd w:id="2"/>
      <w:r w:rsidRPr="00516405">
        <w:t>Unit Descriptor</w:t>
      </w:r>
    </w:p>
    <w:tbl>
      <w:tblPr>
        <w:tblW w:w="0" w:type="auto"/>
        <w:tblLayout w:type="fixed"/>
        <w:tblCellMar>
          <w:left w:w="62" w:type="dxa"/>
          <w:right w:w="62" w:type="dxa"/>
        </w:tblCellMar>
        <w:tblLook w:val="0000"/>
      </w:tblPr>
      <w:tblGrid>
        <w:gridCol w:w="2700"/>
        <w:gridCol w:w="5760"/>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1</w:t>
            </w:r>
            <w:r w:rsidRPr="00516405">
              <w:t xml:space="preserve">) </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This Unit covers the investigating of exceptions to the billing process and the implementation of their solutions in a utilities industry environment. For this competency standard exceptions and conditions must be considered; relevant problems solved; inve</w:t>
            </w:r>
            <w:r w:rsidRPr="00516405">
              <w:t>stigation of billing exceptions occur; liaison with customers occur; and solutions developed to relevant problems.</w:t>
            </w:r>
          </w:p>
        </w:tc>
      </w:tr>
    </w:tbl>
    <w:p w:rsidR="007576FA" w:rsidP="00516405">
      <w:pPr>
        <w:pStyle w:val="BodyText"/>
      </w:pPr>
    </w:p>
    <w:p w:rsidR="007576FA" w:rsidP="00516405">
      <w:pPr>
        <w:pStyle w:val="BodyText"/>
      </w:pPr>
    </w:p>
    <w:p w:rsidR="00000000" w:rsidRPr="00516405" w:rsidP="00516405">
      <w:pPr>
        <w:pStyle w:val="Heading1"/>
      </w:pPr>
      <w:bookmarkStart w:id="3" w:name="O_229711"/>
      <w:bookmarkEnd w:id="3"/>
      <w:r w:rsidRPr="00516405">
        <w:t>Application of the Unit</w:t>
      </w:r>
    </w:p>
    <w:tbl>
      <w:tblPr>
        <w:tblW w:w="0" w:type="auto"/>
        <w:tblLayout w:type="fixed"/>
        <w:tblCellMar>
          <w:left w:w="62" w:type="dxa"/>
          <w:right w:w="62" w:type="dxa"/>
        </w:tblCellMar>
        <w:tblLook w:val="0000"/>
      </w:tblPr>
      <w:tblGrid>
        <w:gridCol w:w="2700"/>
        <w:gridCol w:w="5760"/>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3</w:t>
            </w:r>
            <w:r w:rsidRPr="00516405">
              <w:t xml:space="preserve">) </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This competency standard shall apply to any basic and safe work sit</w:t>
            </w:r>
            <w:r w:rsidRPr="00516405">
              <w:t>e where Gas Industry operations occur. It could also apply, where applicable to other workplaces in the electricity supply industry (transmission and distribution and generation), the electrotechnology industry and the water industry, subject to all Occupa</w:t>
            </w:r>
            <w:r w:rsidRPr="00516405">
              <w:t>tional Health and Safety and duty of care requirements being met for the workplace.</w:t>
            </w:r>
          </w:p>
        </w:tc>
      </w:tr>
    </w:tbl>
    <w:p w:rsidR="007576FA" w:rsidP="00516405">
      <w:pPr>
        <w:pStyle w:val="BodyText"/>
      </w:pPr>
    </w:p>
    <w:p w:rsidR="007576FA" w:rsidP="00516405">
      <w:pPr>
        <w:pStyle w:val="BodyText"/>
      </w:pPr>
    </w:p>
    <w:p w:rsidR="00000000" w:rsidRPr="00516405" w:rsidP="00516405">
      <w:pPr>
        <w:pStyle w:val="Heading1"/>
      </w:pPr>
      <w:bookmarkStart w:id="4" w:name="O_229712"/>
      <w:bookmarkEnd w:id="4"/>
      <w:r w:rsidRPr="00516405">
        <w:t>Licensing/Regulatory Information</w:t>
      </w:r>
    </w:p>
    <w:tbl>
      <w:tblPr>
        <w:tblW w:w="0" w:type="auto"/>
        <w:tblLayout w:type="fixed"/>
        <w:tblCellMar>
          <w:left w:w="62" w:type="dxa"/>
          <w:right w:w="62" w:type="dxa"/>
        </w:tblCellMar>
        <w:tblLook w:val="0000"/>
      </w:tblPr>
      <w:tblGrid>
        <w:gridCol w:w="2700"/>
        <w:gridCol w:w="5760"/>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3</w:t>
            </w:r>
            <w:r w:rsidRPr="00516405">
              <w:t>.</w:t>
            </w:r>
            <w:r w:rsidRPr="00516405">
              <w:rPr>
                <w:rStyle w:val="SpecialBold"/>
              </w:rPr>
              <w:t>1</w:t>
            </w:r>
            <w:r w:rsidRPr="00516405">
              <w:t xml:space="preserve">) </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The skills and knowledge described in this unit are not s</w:t>
            </w:r>
            <w:r w:rsidRPr="00516405">
              <w:t xml:space="preserve">ubject to licence regulation other than those directly related to Occupational Health and Safety, gas/electricity/water industry safety and compliance, industrial relations, environmental protection, </w:t>
            </w:r>
            <w:r w:rsidRPr="00516405">
              <w:t>telecommunications, anti discrimination and training. Co</w:t>
            </w:r>
            <w:r w:rsidRPr="00516405">
              <w:t>mmonwealth, State/Territory or Local Government legislation and regulations may exist that limits the age of operating certain equipment.</w:t>
            </w:r>
          </w:p>
        </w:tc>
      </w:tr>
    </w:tbl>
    <w:p w:rsidR="007576FA" w:rsidP="00516405">
      <w:pPr>
        <w:pStyle w:val="BodyText"/>
      </w:pPr>
    </w:p>
    <w:p w:rsidR="007576FA" w:rsidP="00516405">
      <w:pPr>
        <w:pStyle w:val="BodyText"/>
      </w:pPr>
    </w:p>
    <w:p w:rsidR="00000000" w:rsidRPr="00516405" w:rsidP="00516405">
      <w:pPr>
        <w:pStyle w:val="Heading1"/>
      </w:pPr>
      <w:bookmarkStart w:id="5" w:name="O_229709"/>
      <w:bookmarkEnd w:id="5"/>
      <w:r w:rsidRPr="00516405">
        <w:t>Pre-Requisites</w:t>
      </w:r>
    </w:p>
    <w:tbl>
      <w:tblPr>
        <w:tblW w:w="0" w:type="auto"/>
        <w:tblLayout w:type="fixed"/>
        <w:tblCellMar>
          <w:left w:w="62" w:type="dxa"/>
          <w:right w:w="62" w:type="dxa"/>
        </w:tblCellMar>
        <w:tblLook w:val="0000"/>
      </w:tblPr>
      <w:tblGrid>
        <w:gridCol w:w="2700"/>
        <w:gridCol w:w="1800"/>
        <w:gridCol w:w="3960"/>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Prerequisite Unit</w:t>
            </w:r>
            <w:r w:rsidRPr="00516405">
              <w:t>(</w:t>
            </w:r>
            <w:r w:rsidRPr="00516405">
              <w:rPr>
                <w:rStyle w:val="SpecialBold"/>
              </w:rPr>
              <w:t>s</w:t>
            </w:r>
            <w:r w:rsidRPr="00516405">
              <w:t>)</w:t>
            </w:r>
          </w:p>
        </w:tc>
        <w:tc>
          <w:tcPr>
            <w:tcW w:w="5760" w:type="dxa"/>
            <w:gridSpan w:val="2"/>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2</w:t>
            </w:r>
            <w:r w:rsidRPr="00516405">
              <w:t xml:space="preserve">) </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2</w:t>
            </w:r>
            <w:r w:rsidRPr="00516405">
              <w:t>.</w:t>
            </w:r>
            <w:r w:rsidRPr="00516405">
              <w:rPr>
                <w:rStyle w:val="SpecialBold"/>
              </w:rPr>
              <w:t>1</w:t>
            </w:r>
            <w:r w:rsidRPr="00516405">
              <w:t>)</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Granting of competency in this unit shall be made only after competency in the following unit(s) has/have been confirmed:</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Nil</w:t>
            </w:r>
          </w:p>
        </w:tc>
        <w:tc>
          <w:tcPr>
            <w:tcW w:w="3960" w:type="dxa"/>
            <w:tcBorders>
              <w:top w:val="nil"/>
              <w:left w:val="nil"/>
              <w:bottom w:val="nil"/>
              <w:right w:val="nil"/>
            </w:tcBorders>
            <w:tcMar>
              <w:top w:w="0" w:type="dxa"/>
              <w:left w:w="62" w:type="dxa"/>
              <w:bottom w:w="0" w:type="dxa"/>
              <w:right w:w="62" w:type="dxa"/>
            </w:tcMar>
          </w:tcPr>
          <w:p w:rsidR="00000000" w:rsidRPr="00516405" w:rsidP="00516405">
            <w:pPr>
              <w:pStyle w:val="BodyText"/>
            </w:pPr>
          </w:p>
        </w:tc>
      </w:tr>
    </w:tbl>
    <w:p w:rsidR="007576FA" w:rsidP="00516405">
      <w:pPr>
        <w:pStyle w:val="BodyText"/>
      </w:pPr>
    </w:p>
    <w:p w:rsidR="007576FA" w:rsidP="00516405">
      <w:pPr>
        <w:pStyle w:val="BodyText"/>
      </w:pPr>
    </w:p>
    <w:p w:rsidR="00000000" w:rsidRPr="00516405" w:rsidP="00516405">
      <w:pPr>
        <w:pStyle w:val="Heading1"/>
      </w:pPr>
      <w:bookmarkStart w:id="6" w:name="O_285397"/>
      <w:bookmarkEnd w:id="6"/>
      <w:r w:rsidRPr="00516405">
        <w:t>Employability Skills Information</w:t>
      </w:r>
    </w:p>
    <w:p w:rsidR="00000000" w:rsidRPr="00516405" w:rsidP="00516405">
      <w:pPr>
        <w:pStyle w:val="BodyText"/>
      </w:pPr>
      <w:r w:rsidRPr="00516405">
        <w:t>Refer to the Evidence Guide</w:t>
      </w:r>
    </w:p>
    <w:p w:rsidR="00000000" w:rsidRPr="00516405" w:rsidP="00516405">
      <w:pPr>
        <w:pStyle w:val="AllowPageBreak"/>
      </w:pPr>
    </w:p>
    <w:p w:rsidR="00000000" w:rsidRPr="00516405" w:rsidP="00516405">
      <w:pPr>
        <w:pStyle w:val="Heading1"/>
      </w:pPr>
      <w:bookmarkStart w:id="7" w:name="O_293194"/>
      <w:bookmarkEnd w:id="7"/>
      <w:r w:rsidRPr="00516405">
        <w:t>Elements and Performance Criteria Pre-Content</w:t>
      </w:r>
    </w:p>
    <w:tbl>
      <w:tblPr>
        <w:tblW w:w="0" w:type="auto"/>
        <w:tblLayout w:type="fixed"/>
        <w:tblCellMar>
          <w:left w:w="62" w:type="dxa"/>
          <w:right w:w="62" w:type="dxa"/>
        </w:tblCellMar>
        <w:tblLook w:val="0000"/>
      </w:tblPr>
      <w:tblGrid>
        <w:gridCol w:w="2700"/>
        <w:gridCol w:w="5760"/>
      </w:tblGrid>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5</w:t>
            </w:r>
            <w:r w:rsidRPr="0051640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Performance criteria describe the required performance needed to demonstrate achievement of the element. Assessment of performance is to</w:t>
            </w:r>
            <w:r w:rsidRPr="00516405">
              <w:t xml:space="preserve"> be consistent with the Evidence Guide.</w:t>
            </w:r>
          </w:p>
        </w:tc>
      </w:tr>
    </w:tbl>
    <w:p w:rsidR="00000000" w:rsidRPr="00516405" w:rsidP="00516405">
      <w:pPr>
        <w:pStyle w:val="BodyText"/>
      </w:pPr>
    </w:p>
    <w:p w:rsidR="00000000" w:rsidRPr="00516405" w:rsidP="00516405">
      <w:pPr>
        <w:pStyle w:val="AllowPageBreak"/>
      </w:pPr>
    </w:p>
    <w:p w:rsidR="00000000" w:rsidRPr="00516405" w:rsidP="00516405">
      <w:pPr>
        <w:pStyle w:val="Heading1"/>
      </w:pPr>
      <w:bookmarkStart w:id="8" w:name="O_239862"/>
      <w:bookmarkEnd w:id="8"/>
      <w:r w:rsidRPr="0051640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76F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PERFORMANCE CRITERIA</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w:t>
            </w:r>
          </w:p>
        </w:tc>
        <w:tc>
          <w:tcPr>
            <w:tcW w:w="2296" w:type="dxa"/>
            <w:vMerge w:val="restart"/>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Plan for the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1.1</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Account exceptions and conditions are correctly identified and comprehensively researched in a timely manner against work schedule(s) and established procedures and confirmed if necessary by site inspection</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1.2</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Relevant requirements and established proc</w:t>
            </w:r>
            <w:r w:rsidRPr="00516405">
              <w:t>edures for the work are communicated to all persons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1.3</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OHS, environmental and sustainable energy policies and procedures related to investigating billing exceptions/conditions are obtained and confirmed </w:t>
            </w:r>
            <w:r w:rsidRPr="00516405">
              <w:t xml:space="preserve">for the purposes of the work performed and communicated </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1.4</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Work is prioritised and sequenced following consultation with others for completion within acceptable timeframes and in accordance with established procedures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1.5</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Risk control measures for </w:t>
            </w:r>
            <w:r w:rsidRPr="00516405">
              <w:t>identified hazards are prioritised, implemented and monitored against the work schedule</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1.6</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Relevant work permits are obtained to access, isolate/de-energise systems and perform work according to requirements and established procedures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1.7</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Resources including appropriately licensed persons, equipment, tools and personal protective equipment required for investigating billing exceptions/conditions are identified, scheduled and obtained and confirmed in working order</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1.8</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Liaison and communi</w:t>
            </w:r>
            <w:r w:rsidRPr="00516405">
              <w:t>cation with authorised persons, authorities, clients and land-owners is completed so that work can be carried out where necessary</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1.9</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Persons participating in the work, including plant operators and contractors are fully briefed and respective responsib</w:t>
            </w:r>
            <w:r w:rsidRPr="00516405">
              <w:t xml:space="preserve">ilities confirmed where </w:t>
            </w:r>
            <w:r w:rsidRPr="00516405">
              <w:t xml:space="preserve">applicable in accordance with established procedures </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w:t>
            </w:r>
          </w:p>
        </w:tc>
        <w:tc>
          <w:tcPr>
            <w:tcW w:w="2296"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Carry out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2.1</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Analysis of information to identify key issues is undertaken as required and information is evaluated for relevance and validity to the requirements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2.2</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Dealings with customers are consistent with standard operating procedures and the special needs of c</w:t>
            </w:r>
            <w:r w:rsidRPr="00516405">
              <w:t xml:space="preserve">ustomers are identified and considered in targeting client service </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2.3</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Apply Essential Knowledge and Associated Skills for carrying out billing exceptions/conditions to ensure completion in an agreed timeframe and to quality standards with a minimum of</w:t>
            </w:r>
            <w:r w:rsidRPr="00516405">
              <w:t xml:space="preserve"> waste according to requirements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2.4</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Investigating billing exceptions/conditions is carried out in accordance with the work schedule and established procedures </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2.5</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Hazard warnings and safety signs are recognised and hazards and assessed OHS risks ar</w:t>
            </w:r>
            <w:r w:rsidRPr="00516405">
              <w:t>e reported to the immediate authorised persons for directions according to established procedures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2.6</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Unplanned events in the carrying out of the investigation of billing exceptions/conditions are undertaken with the scope of established procedures </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2.7</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Known solutions to a variety of problems are applied using acquired Essential Knowledge and Associated Skills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2.8</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Ongoing checks of quality of the work are undertaken in accordance with given instructions and established procedures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w:t>
            </w:r>
          </w:p>
        </w:tc>
        <w:tc>
          <w:tcPr>
            <w:tcW w:w="2296"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Complete the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3.1</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Solutions are developed based on consideration of relevant information and options and proposed solutions are communicated and implemented as required against works schedule and anomalies repo</w:t>
            </w:r>
            <w:r w:rsidRPr="00516405">
              <w:t>rted in accordance with established procedures</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3.2</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Accidents and injuries are reported in accordance with requirements and established procedures where applicable</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3.3</w:t>
            </w:r>
          </w:p>
        </w:tc>
        <w:tc>
          <w:tcPr>
            <w:tcW w:w="48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Solution is implemented in accordance wit</w:t>
            </w:r>
            <w:r w:rsidRPr="00516405">
              <w:t>h standard operating procedures ensuring that action is correctly documented, the transaction is accurately processed and the customer is advised</w:t>
            </w:r>
          </w:p>
        </w:tc>
      </w:tr>
      <w:tr w:rsidTr="007576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3.4</w:t>
            </w:r>
          </w:p>
        </w:tc>
        <w:tc>
          <w:tcPr>
            <w:tcW w:w="48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 xml:space="preserve">Work completion records, reports and documentation are finalised and processed and appropriate persons </w:t>
            </w:r>
            <w:r w:rsidRPr="00516405">
              <w:t>notified</w:t>
            </w:r>
          </w:p>
        </w:tc>
      </w:tr>
    </w:tbl>
    <w:p w:rsidR="007576FA" w:rsidP="00516405">
      <w:pPr>
        <w:pStyle w:val="BodyText"/>
      </w:pPr>
    </w:p>
    <w:p w:rsidR="007576FA" w:rsidP="00516405">
      <w:pPr>
        <w:pStyle w:val="BodyText"/>
      </w:pPr>
    </w:p>
    <w:p w:rsidR="00000000" w:rsidRPr="00516405" w:rsidP="00516405">
      <w:pPr>
        <w:pStyle w:val="Heading1"/>
      </w:pPr>
      <w:bookmarkStart w:id="9" w:name="O_263653"/>
      <w:bookmarkEnd w:id="9"/>
      <w:r w:rsidRPr="00516405">
        <w:t>Required Skills and Knowledge</w:t>
      </w:r>
    </w:p>
    <w:tbl>
      <w:tblPr>
        <w:tblW w:w="0" w:type="auto"/>
        <w:tblLayout w:type="fixed"/>
        <w:tblCellMar>
          <w:left w:w="62" w:type="dxa"/>
          <w:right w:w="62" w:type="dxa"/>
        </w:tblCellMar>
        <w:tblLook w:val="0000"/>
      </w:tblPr>
      <w:tblGrid>
        <w:gridCol w:w="2700"/>
        <w:gridCol w:w="1080"/>
        <w:gridCol w:w="4680"/>
      </w:tblGrid>
      <w:tr w:rsidTr="007576F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REQUIRED SKILLS AND KNOWLEDGE</w:t>
            </w:r>
          </w:p>
        </w:tc>
      </w:tr>
      <w:tr w:rsidTr="007576F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6</w:t>
            </w:r>
            <w:r w:rsidRPr="00516405">
              <w:t>) This describes the essential skills and knowledge and their level, required for this unit.</w:t>
            </w:r>
          </w:p>
        </w:tc>
      </w:tr>
      <w:tr w:rsidTr="007576F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Evidence shall show that knowledge has been acquired of safe working practices for the investigation of billing exceptions/conditions. The extent of the essential knowledge and associated skills (EKAS) required is given in Volume 2 - Part 2.2 EKAS.  It for</w:t>
            </w:r>
            <w:r w:rsidRPr="00516405">
              <w:t>ms an integral part of this unit.</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G 3.7.1</w:t>
            </w:r>
          </w:p>
        </w:tc>
        <w:tc>
          <w:tcPr>
            <w:tcW w:w="46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Administrative working environments in the Gas Industry</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G 3.7.2</w:t>
            </w:r>
          </w:p>
        </w:tc>
        <w:tc>
          <w:tcPr>
            <w:tcW w:w="46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Communication, negotiation and problem solving techniques</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G 3.7.3</w:t>
            </w:r>
          </w:p>
        </w:tc>
        <w:tc>
          <w:tcPr>
            <w:tcW w:w="46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Understand and use appropriate accounting program</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G 3.7.4</w:t>
            </w:r>
          </w:p>
        </w:tc>
        <w:tc>
          <w:tcPr>
            <w:tcW w:w="468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Utilities industries meters</w:t>
            </w:r>
          </w:p>
        </w:tc>
      </w:tr>
    </w:tbl>
    <w:p w:rsidR="007576FA" w:rsidP="00516405">
      <w:pPr>
        <w:pStyle w:val="BodyText"/>
      </w:pPr>
    </w:p>
    <w:p w:rsidR="007576FA" w:rsidP="00516405">
      <w:pPr>
        <w:pStyle w:val="BodyText"/>
      </w:pPr>
    </w:p>
    <w:p w:rsidR="00000000" w:rsidRPr="00516405" w:rsidP="00516405">
      <w:pPr>
        <w:pStyle w:val="Heading1"/>
      </w:pPr>
      <w:bookmarkStart w:id="10" w:name="O_247845"/>
      <w:bookmarkEnd w:id="10"/>
      <w:r w:rsidRPr="00516405">
        <w:t>Evidence Guide</w:t>
      </w:r>
    </w:p>
    <w:tbl>
      <w:tblPr>
        <w:tblW w:w="0" w:type="auto"/>
        <w:tblLayout w:type="fixed"/>
        <w:tblCellMar>
          <w:left w:w="62" w:type="dxa"/>
          <w:right w:w="62" w:type="dxa"/>
        </w:tblCellMar>
        <w:tblLook w:val="0000"/>
      </w:tblPr>
      <w:tblGrid>
        <w:gridCol w:w="2160"/>
        <w:gridCol w:w="6300"/>
      </w:tblGrid>
      <w:tr w:rsidTr="007576F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EVIDENCE GUIDE</w:t>
            </w:r>
          </w:p>
        </w:tc>
      </w:tr>
      <w:tr w:rsidTr="007576F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 xml:space="preserve">) </w:t>
            </w:r>
          </w:p>
          <w:p w:rsidR="00000000" w:rsidP="00516405">
            <w:pPr>
              <w:pStyle w:val="BodyText"/>
              <w:rPr>
                <w:lang w:val="en-NZ"/>
              </w:rPr>
            </w:pPr>
            <w:r w:rsidRPr="00516405">
              <w:t>The Evidence Guide forms an integral part of this Competency Standard Unit and shall be used in conjuncti</w:t>
            </w:r>
            <w:r w:rsidRPr="00516405">
              <w:t>on with all components parts of this unit and performed in accordance with the Assessment Guidelines of this Training Package.</w:t>
            </w:r>
          </w:p>
        </w:tc>
      </w:tr>
      <w:tr w:rsidTr="007576F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1</w:t>
            </w:r>
            <w:r w:rsidRPr="00516405">
              <w:t xml:space="preserve">) </w:t>
            </w:r>
          </w:p>
          <w:p w:rsidR="00000000" w:rsidRPr="00516405" w:rsidP="00516405">
            <w:pPr>
              <w:pStyle w:val="BodyText"/>
            </w:pPr>
            <w:r w:rsidRPr="00516405">
              <w:t>Longitudinal competency development approaches to assessment, such as Profiling, require data to b</w:t>
            </w:r>
            <w:r w:rsidRPr="00516405">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516405">
              <w:t>(or final) assessment is used it is to include the application of the competency in the normal work environment or, at a minimum, the application of the competency in a realistically simulated work environment. It is recognised that, in some circumstances,</w:t>
            </w:r>
            <w:r w:rsidRPr="00516405">
              <w:t xml:space="preserve"> assessment in part or full can occur outside the workplace. However, it must be in accord with Industry and Regulatory policy in this regard.</w:t>
            </w:r>
          </w:p>
          <w:p w:rsidR="00000000" w:rsidRPr="00516405" w:rsidP="00516405">
            <w:pPr>
              <w:pStyle w:val="BodyText"/>
            </w:pPr>
            <w:r w:rsidRPr="00516405">
              <w:t>Methods chosen for a particular assessment will be influenced by various factors. These include the extent of the</w:t>
            </w:r>
            <w:r w:rsidRPr="00516405">
              <w:t xml:space="preserve"> assessment, the most effective locations for the assessment activities to take place, access to physical resources, additional safety measures that may be required and the critical nature of the competencies being assessed.</w:t>
            </w:r>
          </w:p>
          <w:p w:rsidR="00000000" w:rsidRPr="00516405" w:rsidP="00516405">
            <w:pPr>
              <w:pStyle w:val="BodyText"/>
            </w:pPr>
            <w:r w:rsidRPr="00516405">
              <w:t>The critical safety nature of w</w:t>
            </w:r>
            <w:r w:rsidRPr="00516405">
              <w:t>orking with electricity, electrical equipment, gas or any other hazardous substance/material carries risk in deeming a person competent. Hence, sources of evidence need to be 'rich' in nature so as to minimise error in judgment.</w:t>
            </w:r>
          </w:p>
          <w:p w:rsidR="00000000" w:rsidRPr="00516405" w:rsidP="00516405">
            <w:pPr>
              <w:pStyle w:val="BodyText"/>
            </w:pPr>
            <w:r w:rsidRPr="00516405">
              <w:t xml:space="preserve">Activities associated with </w:t>
            </w:r>
            <w:r w:rsidRPr="00516405">
              <w:t>normal every day work have a bearing on the decision as to how much and how detailed the data gathered will contribute to its 'richness'. Some skills are more critical to safety and operational requirements while the same skills may be more or less frequen</w:t>
            </w:r>
            <w:r w:rsidRPr="00516405">
              <w:t>tly practiced.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516405" w:rsidP="00516405">
      <w:pPr>
        <w:pStyle w:val="BodyText"/>
      </w:pPr>
    </w:p>
    <w:tbl>
      <w:tblPr>
        <w:tblW w:w="0" w:type="auto"/>
        <w:tblLayout w:type="fixed"/>
        <w:tblCellMar>
          <w:left w:w="62" w:type="dxa"/>
          <w:right w:w="62" w:type="dxa"/>
        </w:tblCellMar>
        <w:tblLook w:val="0000"/>
      </w:tblPr>
      <w:tblGrid>
        <w:gridCol w:w="326"/>
        <w:gridCol w:w="1834"/>
        <w:gridCol w:w="540"/>
        <w:gridCol w:w="900"/>
        <w:gridCol w:w="360"/>
        <w:gridCol w:w="2160"/>
        <w:gridCol w:w="777"/>
        <w:gridCol w:w="1563"/>
      </w:tblGrid>
      <w:tr w:rsidTr="007576FA">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2</w:t>
            </w:r>
            <w:r w:rsidRPr="00516405">
              <w:t xml:space="preserve">) </w:t>
            </w:r>
          </w:p>
          <w:p w:rsidR="00000000" w:rsidP="00516405">
            <w:pPr>
              <w:pStyle w:val="BodyText"/>
              <w:rPr>
                <w:lang w:val="en-NZ"/>
              </w:rPr>
            </w:pPr>
            <w:r w:rsidRPr="00516405">
              <w:t>Before the critical aspects of evidence are considered all prerequisites shall be met.</w:t>
            </w:r>
          </w:p>
        </w:tc>
      </w:tr>
      <w:tr w:rsidTr="007576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Evidence for competence in this unit shall be considered holistically. Each </w:t>
            </w:r>
            <w:r w:rsidRPr="00516405">
              <w:t>element and associated performance criteria shall be demonstrated on at least two occasions in accordance with the 'Assessment Guidelines  UEG06'. Evidence shall also comprise:</w:t>
            </w:r>
          </w:p>
        </w:tc>
      </w:tr>
      <w:tr w:rsidTr="007576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ListBullet"/>
              <w:rPr>
                <w:lang w:val="en-NZ"/>
              </w:rPr>
            </w:pPr>
            <w:r w:rsidRPr="00516405">
              <w:t>A representative body of performance criteria demonstrated within the timeframes typically expected of the discipline, work function and industrial environment. In particular this shall incorporate evidence that shows a candidate is able to:</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516405" w:rsidP="00516405">
            <w:pPr>
              <w:pStyle w:val="ListBullet2"/>
            </w:pPr>
            <w:r w:rsidRPr="00516405">
              <w:t>Implement Occupational Health and Safety workplace procedures and practices including the use of risk control measures as specified in the performance criteria and range</w:t>
            </w:r>
          </w:p>
          <w:p w:rsidR="00000000" w:rsidRPr="00516405" w:rsidP="00516405">
            <w:pPr>
              <w:pStyle w:val="ListBullet2"/>
            </w:pPr>
            <w:r w:rsidRPr="00516405">
              <w:t>Apply sustainable energy principles and practices as specified in the performance criteria and range</w:t>
            </w:r>
          </w:p>
          <w:p w:rsidR="00000000" w:rsidRPr="00516405" w:rsidP="00516405">
            <w:pPr>
              <w:pStyle w:val="ListBullet2"/>
            </w:pPr>
            <w:r w:rsidRPr="00516405">
              <w:t>Demonstrate an understanding of the essential knowledge and associated skills as described in this unit to such an extent that the learner's performance ou</w:t>
            </w:r>
            <w:r w:rsidRPr="00516405">
              <w:t>tcome is reported in accordance with the preferred approach; namely a percentile graded result, where required by the regulated environment</w:t>
            </w:r>
          </w:p>
          <w:p w:rsidR="00000000" w:rsidRPr="00516405" w:rsidP="00516405">
            <w:pPr>
              <w:pStyle w:val="ListBullet2"/>
            </w:pPr>
            <w:r w:rsidRPr="00516405">
              <w:t>Demonstrate an appropriate level of skills enabling employment</w:t>
            </w:r>
          </w:p>
          <w:p w:rsidR="00000000" w:rsidP="00516405">
            <w:pPr>
              <w:pStyle w:val="ListBullet2"/>
              <w:rPr>
                <w:lang w:val="en-NZ"/>
              </w:rPr>
            </w:pPr>
            <w:r w:rsidRPr="00516405">
              <w:t>Conduct work observing the relevant Anti Discriminati</w:t>
            </w:r>
            <w:r w:rsidRPr="00516405">
              <w:t>on legislation, regulations, polices and workplace procedures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ListBullet2"/>
              <w:rPr>
                <w:lang w:val="en-NZ"/>
              </w:rPr>
            </w:pPr>
            <w:r w:rsidRPr="00516405">
              <w:t>Demonstrate performance across a representative range of contexts from the prescribed items below.</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16405">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rPr>
                <w:rStyle w:val="SpecialBold"/>
              </w:rPr>
              <w:t>Range of tools</w:t>
            </w:r>
            <w:r w:rsidRPr="00516405">
              <w:t>/</w:t>
            </w:r>
            <w:r w:rsidRPr="00516405">
              <w:rPr>
                <w:rStyle w:val="SpecialBold"/>
              </w:rPr>
              <w:t>equipment</w:t>
            </w:r>
            <w:r w:rsidRPr="00516405">
              <w:t>/</w:t>
            </w:r>
            <w:r w:rsidRPr="00516405">
              <w:rPr>
                <w:rStyle w:val="SpecialBold"/>
              </w:rPr>
              <w:t>materials</w:t>
            </w:r>
            <w:r w:rsidRPr="00516405">
              <w:t>/</w:t>
            </w:r>
            <w:r w:rsidRPr="00516405">
              <w:rPr>
                <w:rStyle w:val="SpecialBold"/>
              </w:rPr>
              <w:t>procedures</w:t>
            </w:r>
            <w:r w:rsidRPr="00516405">
              <w:t>/</w:t>
            </w:r>
            <w:r w:rsidRPr="00516405">
              <w:br/>
            </w:r>
            <w:r w:rsidRPr="00516405">
              <w:rPr>
                <w:rStyle w:val="SpecialBold"/>
              </w:rPr>
              <w:t>workplaces</w:t>
            </w:r>
            <w:r w:rsidRPr="00516405">
              <w:t>/</w:t>
            </w:r>
            <w:r w:rsidRPr="00516405">
              <w:rPr>
                <w:rStyle w:val="SpecialBold"/>
              </w:rPr>
              <w:t>other variables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16405">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rPr>
                <w:rStyle w:val="SpecialBold"/>
              </w:rPr>
              <w:t>Group No</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rPr>
                <w:rStyle w:val="SpecialBold"/>
              </w:rPr>
              <w:t>The minimum number of items on which skill is to be demonstrated</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rPr>
                <w:rStyle w:val="SpecialBold"/>
              </w:rPr>
              <w:t>Item List</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At least 6</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Exceptions and conditions:</w:t>
            </w:r>
          </w:p>
          <w:p w:rsidR="00000000" w:rsidRPr="00516405" w:rsidP="00516405">
            <w:pPr>
              <w:pStyle w:val="BodyText"/>
            </w:pPr>
            <w:r w:rsidRPr="00516405">
              <w:t>Long term bill accounts (12 months)</w:t>
            </w:r>
          </w:p>
          <w:p w:rsidR="00000000" w:rsidRPr="00516405" w:rsidP="00516405">
            <w:pPr>
              <w:pStyle w:val="BodyText"/>
            </w:pPr>
            <w:r w:rsidRPr="00516405">
              <w:t>Meter changes</w:t>
            </w:r>
          </w:p>
          <w:p w:rsidR="00000000" w:rsidRPr="00516405" w:rsidP="00516405">
            <w:pPr>
              <w:pStyle w:val="BodyText"/>
            </w:pPr>
            <w:r w:rsidRPr="00516405">
              <w:t xml:space="preserve">Manual bills </w:t>
            </w:r>
          </w:p>
          <w:p w:rsidR="00000000" w:rsidRPr="00516405" w:rsidP="00516405">
            <w:pPr>
              <w:pStyle w:val="BodyText"/>
            </w:pPr>
            <w:r w:rsidRPr="00516405">
              <w:t>Daily accounts</w:t>
            </w:r>
          </w:p>
          <w:p w:rsidR="00000000" w:rsidRPr="00516405" w:rsidP="00516405">
            <w:pPr>
              <w:pStyle w:val="BodyText"/>
            </w:pPr>
            <w:r w:rsidRPr="00516405">
              <w:t>Active and inactive accounts</w:t>
            </w:r>
          </w:p>
          <w:p w:rsidR="00000000" w:rsidRPr="00516405" w:rsidP="00516405">
            <w:pPr>
              <w:pStyle w:val="BodyText"/>
            </w:pPr>
            <w:r w:rsidRPr="00516405">
              <w:t>Gas used on an inactive account i.e. vacant premises</w:t>
            </w:r>
          </w:p>
          <w:p w:rsidR="00000000" w:rsidRPr="00516405" w:rsidP="00516405">
            <w:pPr>
              <w:pStyle w:val="BodyText"/>
            </w:pPr>
            <w:r w:rsidRPr="00516405">
              <w:t>Meter reader is unable to find the meter</w:t>
            </w:r>
          </w:p>
          <w:p w:rsidR="00000000" w:rsidRPr="00516405" w:rsidP="00516405">
            <w:pPr>
              <w:pStyle w:val="BodyText"/>
            </w:pPr>
            <w:r w:rsidRPr="00516405">
              <w:t>Missing meter/records</w:t>
            </w:r>
          </w:p>
          <w:p w:rsidR="00000000" w:rsidRPr="00516405" w:rsidP="00516405">
            <w:pPr>
              <w:pStyle w:val="BodyText"/>
            </w:pPr>
            <w:r w:rsidRPr="00516405">
              <w:t>Unknown consumer investigations</w:t>
            </w:r>
          </w:p>
          <w:p w:rsidR="00000000" w:rsidRPr="00516405" w:rsidP="00516405">
            <w:pPr>
              <w:pStyle w:val="BodyText"/>
            </w:pPr>
            <w:r w:rsidRPr="00516405">
              <w:t>Vacant premises investigations</w:t>
            </w:r>
          </w:p>
          <w:p w:rsidR="00000000" w:rsidP="00516405">
            <w:pPr>
              <w:pStyle w:val="BodyText"/>
              <w:rPr>
                <w:lang w:val="en-NZ"/>
              </w:rPr>
            </w:pPr>
            <w:r w:rsidRPr="00516405">
              <w:t>Meter relocations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B</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At least 4</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Investigating billing exceptions, field calls regarding:</w:t>
            </w:r>
          </w:p>
          <w:p w:rsidR="00000000" w:rsidRPr="00516405" w:rsidP="00516405">
            <w:pPr>
              <w:pStyle w:val="BodyText"/>
            </w:pPr>
            <w:r w:rsidRPr="00516405">
              <w:t>Owner/occupiers' of properties</w:t>
            </w:r>
          </w:p>
          <w:p w:rsidR="00000000" w:rsidRPr="00516405" w:rsidP="00516405">
            <w:pPr>
              <w:pStyle w:val="BodyText"/>
            </w:pPr>
            <w:r w:rsidRPr="00516405">
              <w:t>Dates of entry of owner/occupier</w:t>
            </w:r>
          </w:p>
          <w:p w:rsidR="00000000" w:rsidRPr="00516405" w:rsidP="00516405">
            <w:pPr>
              <w:pStyle w:val="BodyText"/>
            </w:pPr>
            <w:r w:rsidRPr="00516405">
              <w:t>Meter reading for billing purposes</w:t>
            </w:r>
          </w:p>
          <w:p w:rsidR="00000000" w:rsidRPr="00516405" w:rsidP="00516405">
            <w:pPr>
              <w:pStyle w:val="BodyText"/>
            </w:pPr>
            <w:r w:rsidRPr="00516405">
              <w:t>Meter identification details</w:t>
            </w:r>
          </w:p>
          <w:p w:rsidR="00000000" w:rsidRPr="00516405" w:rsidP="00516405">
            <w:pPr>
              <w:pStyle w:val="BodyText"/>
            </w:pPr>
            <w:r w:rsidRPr="00516405">
              <w:t>Other relevant information such as forwarding address</w:t>
            </w:r>
          </w:p>
          <w:p w:rsidR="00000000" w:rsidP="00516405">
            <w:pPr>
              <w:pStyle w:val="BodyText"/>
              <w:rPr>
                <w:lang w:val="en-NZ"/>
              </w:rPr>
            </w:pPr>
            <w:r w:rsidRPr="00516405">
              <w:t xml:space="preserve">Payment arrangements </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C</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At least 3</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Telephone contact to:</w:t>
            </w:r>
          </w:p>
          <w:p w:rsidR="00000000" w:rsidRPr="00516405" w:rsidP="00516405">
            <w:pPr>
              <w:pStyle w:val="BodyText"/>
            </w:pPr>
            <w:r w:rsidRPr="00516405">
              <w:t>Consumers</w:t>
            </w:r>
          </w:p>
          <w:p w:rsidR="00000000" w:rsidRPr="00516405" w:rsidP="00516405">
            <w:pPr>
              <w:pStyle w:val="BodyText"/>
            </w:pPr>
            <w:r w:rsidRPr="00516405">
              <w:t>Council/rates office</w:t>
            </w:r>
          </w:p>
          <w:p w:rsidR="00000000" w:rsidRPr="00516405" w:rsidP="00516405">
            <w:pPr>
              <w:pStyle w:val="BodyText"/>
            </w:pPr>
            <w:r w:rsidRPr="00516405">
              <w:t>Real estate agents</w:t>
            </w:r>
          </w:p>
          <w:p w:rsidR="00000000" w:rsidRPr="00516405" w:rsidP="00516405">
            <w:pPr>
              <w:pStyle w:val="BodyText"/>
            </w:pPr>
            <w:r w:rsidRPr="00516405">
              <w:t>Internal employees/departments</w:t>
            </w:r>
          </w:p>
          <w:p w:rsidR="00000000" w:rsidP="00516405">
            <w:pPr>
              <w:pStyle w:val="BodyText"/>
              <w:rPr>
                <w:lang w:val="en-NZ"/>
              </w:rPr>
            </w:pPr>
            <w:r w:rsidRPr="00516405">
              <w:t>Other statutory authorities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D</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All</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Liaison with customers through:</w:t>
            </w:r>
          </w:p>
          <w:p w:rsidR="00000000" w:rsidRPr="00516405" w:rsidP="00516405">
            <w:pPr>
              <w:pStyle w:val="BodyText"/>
            </w:pPr>
            <w:r w:rsidRPr="00516405">
              <w:t>In person</w:t>
            </w:r>
          </w:p>
          <w:p w:rsidR="00000000" w:rsidRPr="00516405" w:rsidP="00516405">
            <w:pPr>
              <w:pStyle w:val="BodyText"/>
            </w:pPr>
            <w:r w:rsidRPr="00516405">
              <w:t>Telephone</w:t>
            </w:r>
          </w:p>
          <w:p w:rsidR="00000000" w:rsidRPr="00516405" w:rsidP="00516405">
            <w:pPr>
              <w:pStyle w:val="BodyText"/>
            </w:pPr>
            <w:r w:rsidRPr="00516405">
              <w:t>Fax</w:t>
            </w:r>
          </w:p>
          <w:p w:rsidR="00000000" w:rsidRPr="00516405" w:rsidP="00516405">
            <w:pPr>
              <w:pStyle w:val="BodyText"/>
            </w:pPr>
            <w:r w:rsidRPr="00516405">
              <w:t xml:space="preserve">Letter </w:t>
            </w:r>
          </w:p>
          <w:p w:rsidR="00000000" w:rsidP="00516405">
            <w:pPr>
              <w:pStyle w:val="BodyText"/>
              <w:rPr>
                <w:lang w:val="en-NZ"/>
              </w:rPr>
            </w:pPr>
            <w:r w:rsidRPr="00516405">
              <w:t>Internet</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E</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At least 4</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Solutions include:</w:t>
            </w:r>
          </w:p>
          <w:p w:rsidR="00000000" w:rsidRPr="00516405" w:rsidP="00516405">
            <w:pPr>
              <w:pStyle w:val="BodyText"/>
            </w:pPr>
            <w:r w:rsidRPr="00516405">
              <w:t>Arrange the removal of inactive meters</w:t>
            </w:r>
          </w:p>
          <w:p w:rsidR="00000000" w:rsidRPr="00516405" w:rsidP="00516405">
            <w:pPr>
              <w:pStyle w:val="BodyText"/>
            </w:pPr>
            <w:r w:rsidRPr="00516405">
              <w:t>Account billed</w:t>
            </w:r>
          </w:p>
          <w:p w:rsidR="00000000" w:rsidRPr="00516405" w:rsidP="00516405">
            <w:pPr>
              <w:pStyle w:val="BodyText"/>
            </w:pPr>
            <w:r w:rsidRPr="00516405">
              <w:t>Change meters</w:t>
            </w:r>
          </w:p>
          <w:p w:rsidR="00000000" w:rsidRPr="00516405" w:rsidP="00516405">
            <w:pPr>
              <w:pStyle w:val="BodyText"/>
            </w:pPr>
            <w:r w:rsidRPr="00516405">
              <w:t>Arrangements for payment made</w:t>
            </w:r>
          </w:p>
          <w:p w:rsidR="00000000" w:rsidRPr="00516405" w:rsidP="00516405">
            <w:pPr>
              <w:pStyle w:val="BodyText"/>
            </w:pPr>
            <w:r w:rsidRPr="00516405">
              <w:t>Adjust accounts</w:t>
            </w:r>
          </w:p>
          <w:p w:rsidR="00000000" w:rsidP="00516405">
            <w:pPr>
              <w:pStyle w:val="BodyText"/>
              <w:rPr>
                <w:lang w:val="en-NZ"/>
              </w:rPr>
            </w:pPr>
            <w:r w:rsidRPr="00516405">
              <w:t>Access for future meter reading made</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F</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All</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Administrative working environments in the Gas Industry</w:t>
            </w:r>
          </w:p>
          <w:p w:rsidR="00000000" w:rsidRPr="00516405" w:rsidP="00516405">
            <w:pPr>
              <w:pStyle w:val="BodyText"/>
            </w:pPr>
            <w:r w:rsidRPr="00516405">
              <w:t>Communication, negotiation and problem solving techniques</w:t>
            </w:r>
          </w:p>
          <w:p w:rsidR="00000000" w:rsidRPr="00516405" w:rsidP="00516405">
            <w:pPr>
              <w:pStyle w:val="BodyText"/>
            </w:pPr>
            <w:r w:rsidRPr="00516405">
              <w:t>Understand and use appropriate accounting program</w:t>
            </w:r>
          </w:p>
          <w:p w:rsidR="00000000" w:rsidP="00516405">
            <w:pPr>
              <w:pStyle w:val="BodyText"/>
              <w:rPr>
                <w:lang w:val="en-NZ"/>
              </w:rPr>
            </w:pPr>
            <w:r w:rsidRPr="00516405">
              <w:t>Utilities industries meters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G</w:t>
            </w:r>
          </w:p>
        </w:tc>
        <w:tc>
          <w:tcPr>
            <w:tcW w:w="2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At least one occasion</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 xml:space="preserve">Dealing with an unplanned event by drawing on essential knowledge and associated skills to provide appropriate solutions incorporated in the holistic assessment with the above listed items </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3</w:t>
            </w:r>
            <w:r w:rsidRPr="00516405">
              <w:t xml:space="preserve">) </w:t>
            </w:r>
          </w:p>
          <w:p w:rsidR="00000000" w:rsidRPr="00516405" w:rsidP="00516405">
            <w:pPr>
              <w:pStyle w:val="BodyText"/>
            </w:pPr>
            <w:r w:rsidRPr="00516405">
              <w:t>This uni</w:t>
            </w:r>
            <w:r w:rsidRPr="00516405">
              <w:t>t should be assessed as it relates to normal work practice using procedures, information and resources typical of a workplace. This should include:</w:t>
            </w:r>
          </w:p>
          <w:p w:rsidR="00000000" w:rsidRPr="00516405" w:rsidP="00516405">
            <w:pPr>
              <w:pStyle w:val="ListBullet"/>
            </w:pPr>
            <w:r w:rsidRPr="00516405">
              <w:t>OHS policy and work procedures and instructions.</w:t>
            </w:r>
          </w:p>
          <w:p w:rsidR="00000000" w:rsidRPr="00516405" w:rsidP="00516405">
            <w:pPr>
              <w:pStyle w:val="ListBullet"/>
            </w:pPr>
            <w:r w:rsidRPr="00516405">
              <w:t>Suitable work environment, facilities, equipment and materials to undertake actual work as prescribed by this Competency Standard Unit.</w:t>
            </w:r>
          </w:p>
          <w:p w:rsidR="00000000" w:rsidRPr="00516405" w:rsidP="00516405">
            <w:pPr>
              <w:pStyle w:val="ListBullet"/>
            </w:pPr>
            <w:r w:rsidRPr="00516405">
              <w:t>Appropriate environmental regulation and work practices.</w:t>
            </w:r>
          </w:p>
          <w:p w:rsidR="00000000" w:rsidRPr="00516405" w:rsidP="00516405">
            <w:pPr>
              <w:pStyle w:val="ListBullet"/>
            </w:pPr>
            <w:r w:rsidRPr="00516405">
              <w:t>Appropriate organisational requirements.</w:t>
            </w:r>
          </w:p>
          <w:p w:rsidR="00000000" w:rsidP="00516405">
            <w:pPr>
              <w:pStyle w:val="ListBullet"/>
              <w:rPr>
                <w:lang w:val="en-NZ"/>
              </w:rPr>
            </w:pPr>
            <w:r w:rsidRPr="00516405">
              <w:t>Appropriate work envir</w:t>
            </w:r>
            <w:r w:rsidRPr="00516405">
              <w:t>onment, equipment and tools.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In addition to the resources listed above, in Context of and specific resources for assessment, evidence should show demonstrated competency in investigating billing exceptions/conditions.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Assessment of this competency must also be undertaken in either an actual workplace or under a simulated work environment. Assessment must also integrate the Key Competencies.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4</w:t>
            </w:r>
            <w:r w:rsidRPr="00516405">
              <w:t xml:space="preserve">) </w:t>
            </w:r>
          </w:p>
          <w:p w:rsidR="00000000" w:rsidRPr="00516405" w:rsidP="00516405">
            <w:pPr>
              <w:pStyle w:val="BodyText"/>
            </w:pPr>
            <w:r w:rsidRPr="00516405">
              <w:t>This Competency Standard Unit shall be assesse</w:t>
            </w:r>
            <w:r w:rsidRPr="00516405">
              <w:t>d by methods given in Volume 1, Part 3 'Assessment Guidelines'.</w:t>
            </w:r>
          </w:p>
          <w:p w:rsidR="00000000" w:rsidP="00516405">
            <w:pPr>
              <w:pStyle w:val="BodyText"/>
              <w:rPr>
                <w:lang w:val="en-NZ"/>
              </w:rPr>
            </w:pPr>
            <w:r w:rsidRPr="00516405">
              <w:t>Note:</w:t>
            </w:r>
            <w:r w:rsidRPr="00516405">
              <w:br/>
            </w:r>
            <w:r w:rsidRPr="00516405">
              <w:t>Competent performance with inherent safe working practices is expected in the Industry to which this Competency Standard Unit applies. This requires that the specified Essential Knowledge and Associated Skills are assessed in a structured environment which</w:t>
            </w:r>
            <w:r w:rsidRPr="00516405">
              <w:t xml:space="preserve"> is primarily intended for learning/assessment and incorporates all necessary equipment and facilities for learners to develop and demonstrate the essential knowledge and associated skills described in this unit.</w:t>
            </w:r>
          </w:p>
        </w:tc>
      </w:tr>
      <w:tr w:rsidTr="007576F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Concurrent assessment and relationshi</w:t>
            </w:r>
            <w:r w:rsidRPr="00516405">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8</w:t>
            </w:r>
            <w:r w:rsidRPr="00516405">
              <w:t>.</w:t>
            </w:r>
            <w:r w:rsidRPr="00516405">
              <w:rPr>
                <w:rStyle w:val="SpecialBold"/>
              </w:rPr>
              <w:t>5</w:t>
            </w:r>
            <w:r w:rsidRPr="00516405">
              <w:t xml:space="preserve">) </w:t>
            </w:r>
          </w:p>
        </w:tc>
      </w:tr>
      <w:tr w:rsidTr="007576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 xml:space="preserve">There are no recommended concurrent assessments with this unit, however in some cases efficiencies may be gained in terms of learning and assessment </w:t>
            </w:r>
            <w:r w:rsidRPr="00516405">
              <w:t>effort being concurrently managed with allied Competency Standard Units where listed.</w:t>
            </w:r>
          </w:p>
        </w:tc>
      </w:tr>
      <w:tr w:rsidTr="007576F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UEGNSG102A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Carry out work activities in a utilities industry work environment</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UEGNSG103A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Comply with workplace OHS procedures and practices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UEGNSG104A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Comply with environmental policies and procedures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UEGNSG105A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Establish the work site</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BSBCMN302A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Organise personal work priorities and professional development</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BSBFLM312A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Contribute to team effectiveness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BSBFLM303A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Contribute to effective workplace relationships</w:t>
            </w:r>
          </w:p>
        </w:tc>
      </w:tr>
      <w:tr w:rsidTr="007576F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BSBCMN311A</w:t>
            </w:r>
          </w:p>
        </w:tc>
        <w:tc>
          <w:tcPr>
            <w:tcW w:w="4500" w:type="dxa"/>
            <w:gridSpan w:val="3"/>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Maintain workplace safety</w:t>
            </w:r>
          </w:p>
        </w:tc>
      </w:tr>
      <w:tr w:rsidTr="007576F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16405" w:rsidP="00516405">
            <w:pPr>
              <w:pStyle w:val="BodyText"/>
            </w:pPr>
            <w:r w:rsidRPr="00516405">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6</w:t>
            </w:r>
            <w:r w:rsidRPr="00516405">
              <w:t xml:space="preserve">) </w:t>
            </w:r>
          </w:p>
          <w:p w:rsidR="00000000" w:rsidP="00516405">
            <w:pPr>
              <w:pStyle w:val="BodyText"/>
              <w:rPr>
                <w:lang w:val="en-NZ"/>
              </w:rPr>
            </w:pPr>
            <w:r w:rsidRPr="00516405">
              <w:t>Evidence that particular Key Competencies have been achieved within this Competency Standard Unit is in the context of the following performance criteria of evidence. See Volume 2, Part 4 for an explanation of Key Competencies and levels of this Training P</w:t>
            </w:r>
            <w:r w:rsidRPr="00516405">
              <w:t>ackage.</w:t>
            </w:r>
          </w:p>
        </w:tc>
      </w:tr>
      <w:tr w:rsidTr="007576F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rPr>
                <w:rStyle w:val="SpecialBold"/>
              </w:rPr>
              <w:t>Performance Level</w:t>
            </w: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3</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1.8; 2.2;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2</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2</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2</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N/A</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2</w:t>
            </w:r>
          </w:p>
        </w:tc>
      </w:tr>
      <w:tr w:rsidTr="007576F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p>
        </w:tc>
      </w:tr>
      <w:tr w:rsidTr="007576F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p>
          <w:p w:rsidR="00000000" w:rsidP="00516405">
            <w:pPr>
              <w:pStyle w:val="BodyText"/>
              <w:rPr>
                <w:lang w:val="en-NZ"/>
              </w:rPr>
            </w:pPr>
            <w:r w:rsidRPr="00516405">
              <w:t>N/A</w:t>
            </w:r>
          </w:p>
        </w:tc>
      </w:tr>
      <w:tr w:rsidTr="007576F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76F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76F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16405" w:rsidP="00516405">
            <w:pPr>
              <w:pStyle w:val="BodyText"/>
            </w:pPr>
            <w:r w:rsidRPr="00516405">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516405" w:rsidP="00516405">
            <w:pPr>
              <w:pStyle w:val="BodyText"/>
            </w:pPr>
            <w:r w:rsidRPr="00516405">
              <w:rPr>
                <w:rStyle w:val="SpecialBold"/>
              </w:rPr>
              <w:t>8</w:t>
            </w:r>
            <w:r w:rsidRPr="00516405">
              <w:t>.</w:t>
            </w:r>
            <w:r w:rsidRPr="00516405">
              <w:rPr>
                <w:rStyle w:val="SpecialBold"/>
              </w:rPr>
              <w:t>7</w:t>
            </w:r>
            <w:r w:rsidRPr="00516405">
              <w:t>)</w:t>
            </w:r>
          </w:p>
          <w:p w:rsidR="00000000" w:rsidP="00516405">
            <w:pPr>
              <w:pStyle w:val="BodyText"/>
              <w:rPr>
                <w:lang w:val="en-NZ"/>
              </w:rPr>
            </w:pPr>
            <w:r w:rsidRPr="00516405">
              <w:t xml:space="preserve">Evidence that competency in this unit incorporates skills enabling employment is in the context of the following performance. See Volume 2, Part 5 for definitions and an explanation of skills enabling employment. </w:t>
            </w:r>
          </w:p>
        </w:tc>
      </w:tr>
      <w:tr w:rsidTr="007576F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rPr>
                <w:rStyle w:val="SpecialBold"/>
              </w:rPr>
              <w:t>Example of Application</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All</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2.6; 2.7</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 xml:space="preserve">Reflecting on the outcome and </w:t>
            </w:r>
            <w:r w:rsidRPr="00516405">
              <w:t>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3.3</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1.4; 1.8</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1.4; 1.5; 1.7; 1.8</w:t>
            </w:r>
          </w:p>
        </w:tc>
      </w:tr>
      <w:tr w:rsidTr="007576F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405">
            <w:pPr>
              <w:pStyle w:val="BodyText"/>
              <w:rPr>
                <w:lang w:val="en-NZ"/>
              </w:rPr>
            </w:pPr>
            <w:r w:rsidRPr="00516405">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405">
            <w:pPr>
              <w:pStyle w:val="BodyText"/>
              <w:rPr>
                <w:lang w:val="en-NZ"/>
              </w:rPr>
            </w:pPr>
            <w:r w:rsidRPr="00516405">
              <w:t>Refer to the following Performance Criteria for examples of application:</w:t>
            </w:r>
          </w:p>
        </w:tc>
      </w:tr>
      <w:tr w:rsidTr="007576F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16405" w:rsidP="00516405">
            <w:pPr>
              <w:pStyle w:val="BodyText"/>
            </w:pPr>
            <w:r w:rsidRPr="00516405">
              <w:t>2.6</w:t>
            </w:r>
          </w:p>
        </w:tc>
      </w:tr>
    </w:tbl>
    <w:p w:rsidR="007576FA" w:rsidP="00516405">
      <w:pPr>
        <w:pStyle w:val="BodyText"/>
      </w:pPr>
    </w:p>
    <w:p w:rsidR="007576FA" w:rsidP="00516405">
      <w:pPr>
        <w:pStyle w:val="BodyText"/>
      </w:pPr>
    </w:p>
    <w:p w:rsidR="00000000" w:rsidRPr="00516405" w:rsidP="00516405">
      <w:pPr>
        <w:pStyle w:val="Heading1"/>
      </w:pPr>
      <w:bookmarkStart w:id="11" w:name="O_255829"/>
      <w:bookmarkEnd w:id="11"/>
      <w:r w:rsidRPr="00516405">
        <w:t>Range Statement</w:t>
      </w:r>
    </w:p>
    <w:tbl>
      <w:tblPr>
        <w:tblW w:w="0" w:type="auto"/>
        <w:tblLayout w:type="fixed"/>
        <w:tblCellMar>
          <w:left w:w="62" w:type="dxa"/>
          <w:right w:w="62" w:type="dxa"/>
        </w:tblCellMar>
        <w:tblLook w:val="0000"/>
      </w:tblPr>
      <w:tblGrid>
        <w:gridCol w:w="8460"/>
      </w:tblGrid>
      <w:tr w:rsidTr="007576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RANGE STATEMENT</w:t>
            </w:r>
          </w:p>
        </w:tc>
      </w:tr>
      <w:tr w:rsidTr="007576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7</w:t>
            </w:r>
            <w:r w:rsidRPr="00516405">
              <w:t xml:space="preserve">) This relates to the competency standard unit as a whole providing the range of contexts and conditions </w:t>
            </w:r>
            <w:r w:rsidRPr="00516405">
              <w:t>to which the performance criteria apply. It allows for different work environments and situations that will affect performance.</w:t>
            </w:r>
          </w:p>
        </w:tc>
      </w:tr>
      <w:tr w:rsidTr="007576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This Competency Standard Unit shall/may be demonstrated in relation to investigating billing exceptions/conditions.</w:t>
            </w:r>
          </w:p>
          <w:p w:rsidR="00000000" w:rsidRPr="00516405" w:rsidP="00516405">
            <w:pPr>
              <w:pStyle w:val="BodyText"/>
            </w:pPr>
            <w:r w:rsidRPr="00516405">
              <w:t>The followi</w:t>
            </w:r>
            <w:r w:rsidRPr="00516405">
              <w:t>ng constants and variables included in the element/performance criteria in this unit are fully described in the Definitions Section of this volume and form an integral part of the Range Statement of this unit:</w:t>
            </w:r>
          </w:p>
          <w:p w:rsidR="00000000" w:rsidRPr="00516405" w:rsidP="00516405">
            <w:pPr>
              <w:pStyle w:val="BodyText"/>
            </w:pPr>
            <w:r w:rsidRPr="00516405">
              <w:t>Exceptions and conditions (3)</w:t>
            </w:r>
          </w:p>
          <w:p w:rsidR="00000000" w:rsidRPr="00516405" w:rsidP="00516405">
            <w:pPr>
              <w:pStyle w:val="BodyText"/>
            </w:pPr>
            <w:r w:rsidRPr="00516405">
              <w:t>Problems (3)</w:t>
            </w:r>
          </w:p>
          <w:p w:rsidR="00000000" w:rsidRPr="00516405" w:rsidP="00516405">
            <w:pPr>
              <w:pStyle w:val="BodyText"/>
            </w:pPr>
            <w:r w:rsidRPr="00516405">
              <w:t>Inv</w:t>
            </w:r>
            <w:r w:rsidRPr="00516405">
              <w:t>estigating billing exceptions (3)</w:t>
            </w:r>
          </w:p>
          <w:p w:rsidR="00000000" w:rsidRPr="00516405" w:rsidP="00516405">
            <w:pPr>
              <w:pStyle w:val="BodyText"/>
            </w:pPr>
            <w:r w:rsidRPr="00516405">
              <w:t>Telephone contact (3)</w:t>
            </w:r>
          </w:p>
          <w:p w:rsidR="00000000" w:rsidRPr="00516405" w:rsidP="00516405">
            <w:pPr>
              <w:pStyle w:val="BodyText"/>
            </w:pPr>
            <w:r w:rsidRPr="00516405">
              <w:t>Liaison with customers: (3)</w:t>
            </w:r>
          </w:p>
          <w:p w:rsidR="00000000" w:rsidRPr="00516405" w:rsidP="00516405">
            <w:pPr>
              <w:pStyle w:val="BodyText"/>
            </w:pPr>
            <w:r w:rsidRPr="00516405">
              <w:t>Solutions (3)</w:t>
            </w:r>
          </w:p>
        </w:tc>
      </w:tr>
    </w:tbl>
    <w:p w:rsidR="007576FA" w:rsidP="00516405">
      <w:pPr>
        <w:pStyle w:val="BodyText"/>
      </w:pPr>
    </w:p>
    <w:p w:rsidR="007576FA" w:rsidP="00516405">
      <w:pPr>
        <w:pStyle w:val="BodyText"/>
      </w:pPr>
    </w:p>
    <w:p w:rsidR="00000000" w:rsidRPr="00516405" w:rsidP="00516405">
      <w:pPr>
        <w:pStyle w:val="Heading1"/>
      </w:pPr>
      <w:bookmarkStart w:id="12" w:name="O_296842"/>
      <w:bookmarkEnd w:id="12"/>
      <w:r w:rsidRPr="00516405">
        <w:t>Unit Sector(s)</w:t>
      </w:r>
    </w:p>
    <w:p w:rsidR="00000000" w:rsidRPr="00516405" w:rsidP="00516405">
      <w:pPr>
        <w:pStyle w:val="BodyText"/>
      </w:pPr>
      <w:r w:rsidRPr="00516405">
        <w:t>Not Applicable</w:t>
      </w:r>
    </w:p>
    <w:p w:rsidR="00000000" w:rsidRPr="00516405" w:rsidP="00516405">
      <w:pPr>
        <w:pStyle w:val="AllowPageBreak"/>
      </w:pPr>
    </w:p>
    <w:p w:rsidR="00000000" w:rsidRPr="00516405" w:rsidP="00516405">
      <w:pPr>
        <w:pStyle w:val="Heading1"/>
      </w:pPr>
      <w:bookmarkStart w:id="13" w:name="O_229710"/>
      <w:bookmarkEnd w:id="13"/>
      <w:r w:rsidRPr="0051640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2</w:t>
            </w:r>
            <w:r w:rsidRPr="00516405">
              <w:t>.</w:t>
            </w:r>
            <w:r w:rsidRPr="00516405">
              <w:rPr>
                <w:rStyle w:val="SpecialBold"/>
              </w:rPr>
              <w:t>2</w:t>
            </w:r>
            <w:r w:rsidRPr="00516405">
              <w:t xml:space="preserve">) </w:t>
            </w:r>
          </w:p>
          <w:p w:rsidR="00000000" w:rsidP="00516405">
            <w:pPr>
              <w:pStyle w:val="BodyText"/>
              <w:rPr>
                <w:lang w:val="en-NZ"/>
              </w:rPr>
            </w:pPr>
            <w:r w:rsidRPr="00516405">
              <w:t>Participants are best equipped to achieve this unit if they have reading, writing and numeracy skills indicated by the following scales. Description of each scale is given in Volume 2, Part 3 'Literacy and Numeracy'</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Reading</w:t>
            </w:r>
          </w:p>
        </w:tc>
        <w:tc>
          <w:tcPr>
            <w:tcW w:w="805"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w:t>
            </w:r>
          </w:p>
        </w:tc>
        <w:tc>
          <w:tcPr>
            <w:tcW w:w="1184"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Writing</w:t>
            </w:r>
          </w:p>
        </w:tc>
        <w:tc>
          <w:tcPr>
            <w:tcW w:w="805"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3</w:t>
            </w:r>
          </w:p>
        </w:tc>
        <w:tc>
          <w:tcPr>
            <w:tcW w:w="1172"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t>Numeracy</w:t>
            </w:r>
          </w:p>
        </w:tc>
        <w:tc>
          <w:tcPr>
            <w:tcW w:w="805"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3</w:t>
            </w:r>
          </w:p>
        </w:tc>
      </w:tr>
    </w:tbl>
    <w:p w:rsidR="007576FA" w:rsidP="00516405">
      <w:pPr>
        <w:pStyle w:val="BodyText"/>
      </w:pPr>
    </w:p>
    <w:p w:rsidR="007576FA" w:rsidP="00516405">
      <w:pPr>
        <w:pStyle w:val="BodyText"/>
      </w:pPr>
    </w:p>
    <w:p w:rsidR="00000000" w:rsidRPr="00516405" w:rsidP="00516405">
      <w:pPr>
        <w:pStyle w:val="Heading1"/>
      </w:pPr>
      <w:bookmarkStart w:id="14" w:name="O_229713"/>
      <w:bookmarkEnd w:id="14"/>
      <w:r w:rsidRPr="00516405">
        <w:t>Competency Field</w:t>
      </w:r>
    </w:p>
    <w:tbl>
      <w:tblPr>
        <w:tblW w:w="0" w:type="auto"/>
        <w:tblLayout w:type="fixed"/>
        <w:tblCellMar>
          <w:left w:w="62" w:type="dxa"/>
          <w:right w:w="62" w:type="dxa"/>
        </w:tblCellMar>
        <w:tblLook w:val="0000"/>
      </w:tblPr>
      <w:tblGrid>
        <w:gridCol w:w="2700"/>
        <w:gridCol w:w="5760"/>
      </w:tblGrid>
      <w:tr w:rsidTr="007576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6405">
            <w:pPr>
              <w:pStyle w:val="BodyText"/>
              <w:rPr>
                <w:lang w:val="en-NZ"/>
              </w:rPr>
            </w:pPr>
            <w:r w:rsidRPr="00516405">
              <w:rPr>
                <w:rStyle w:val="SpecialBold"/>
              </w:rPr>
              <w:t>4</w:t>
            </w:r>
            <w:r w:rsidRPr="00516405">
              <w:t xml:space="preserve">) </w:t>
            </w:r>
          </w:p>
        </w:tc>
      </w:tr>
      <w:tr w:rsidTr="007576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405" w:rsidP="00516405">
            <w:pPr>
              <w:pStyle w:val="BodyText"/>
            </w:pPr>
            <w:r w:rsidRPr="00516405">
              <w:t>Support services.</w:t>
            </w:r>
          </w:p>
        </w:tc>
      </w:tr>
    </w:tbl>
    <w:p w:rsidR="007576FA" w:rsidP="00516405">
      <w:pPr>
        <w:pStyle w:val="BodyText"/>
      </w:pPr>
    </w:p>
    <w:p w:rsidR="007576FA" w:rsidP="00516405">
      <w:pPr>
        <w:pStyle w:val="BodyText"/>
      </w:pPr>
    </w:p>
    <w:p w:rsidR="00000000" w:rsidRPr="00516405" w:rsidP="00516405"/>
    <w:sectPr w:rsidSect="00516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6FA" w:rsidP="00757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FA" w:rsidP="00516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576FA" w:rsidP="005164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76FA" w:rsidP="005164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6FA" w:rsidP="00757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FA" w:rsidP="00516405">
    <w:pPr>
      <w:pStyle w:val="Header"/>
      <w:framePr w:wrap="around"/>
    </w:pPr>
    <w:r>
      <w:fldChar w:fldCharType="begin"/>
    </w:r>
    <w:r>
      <w:instrText xml:space="preserve"> TITLE   \* MERGEFORMAT </w:instrText>
    </w:r>
    <w:r>
      <w:fldChar w:fldCharType="separate"/>
    </w:r>
    <w:r>
      <w:t>UEGNSG703A Investigate billing exceptions/conditions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6FA" w:rsidP="005164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E7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65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EA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4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405"/>
    <w:pPr>
      <w:spacing w:before="360" w:after="60"/>
      <w:outlineLvl w:val="0"/>
    </w:pPr>
    <w:rPr>
      <w:sz w:val="32"/>
    </w:rPr>
  </w:style>
  <w:style w:type="paragraph" w:styleId="Heading2">
    <w:name w:val="heading 2"/>
    <w:basedOn w:val="HeadingBase"/>
    <w:next w:val="BodyText"/>
    <w:link w:val="Heading2Char"/>
    <w:qFormat/>
    <w:rsid w:val="00516405"/>
    <w:pPr>
      <w:keepLines/>
      <w:spacing w:before="240" w:after="120"/>
      <w:outlineLvl w:val="1"/>
    </w:pPr>
    <w:rPr>
      <w:sz w:val="28"/>
      <w:szCs w:val="40"/>
    </w:rPr>
  </w:style>
  <w:style w:type="paragraph" w:styleId="Heading3">
    <w:name w:val="heading 3"/>
    <w:basedOn w:val="HeadingBase"/>
    <w:next w:val="BodyText"/>
    <w:link w:val="Heading3Char"/>
    <w:qFormat/>
    <w:rsid w:val="00516405"/>
    <w:pPr>
      <w:spacing w:before="180" w:after="120"/>
      <w:outlineLvl w:val="2"/>
    </w:pPr>
    <w:rPr>
      <w:spacing w:val="-10"/>
      <w:kern w:val="32"/>
    </w:rPr>
  </w:style>
  <w:style w:type="paragraph" w:styleId="Heading4">
    <w:name w:val="heading 4"/>
    <w:basedOn w:val="HeadingBase"/>
    <w:next w:val="BodyText"/>
    <w:link w:val="Heading4Char"/>
    <w:qFormat/>
    <w:rsid w:val="00516405"/>
    <w:pPr>
      <w:spacing w:before="160" w:after="120"/>
      <w:outlineLvl w:val="3"/>
    </w:pPr>
    <w:rPr>
      <w:sz w:val="22"/>
    </w:rPr>
  </w:style>
  <w:style w:type="paragraph" w:styleId="Heading5">
    <w:name w:val="heading 5"/>
    <w:basedOn w:val="HeadingBase"/>
    <w:next w:val="Normal"/>
    <w:link w:val="Heading5Char"/>
    <w:qFormat/>
    <w:rsid w:val="00516405"/>
    <w:pPr>
      <w:spacing w:before="80"/>
      <w:outlineLvl w:val="4"/>
    </w:pPr>
    <w:rPr>
      <w:color w:val="918585"/>
      <w:sz w:val="20"/>
    </w:rPr>
  </w:style>
  <w:style w:type="paragraph" w:styleId="Heading6">
    <w:name w:val="heading 6"/>
    <w:basedOn w:val="HeadingBase"/>
    <w:next w:val="Normal"/>
    <w:link w:val="Heading6Char"/>
    <w:qFormat/>
    <w:rsid w:val="00516405"/>
    <w:pPr>
      <w:spacing w:before="60"/>
      <w:outlineLvl w:val="5"/>
    </w:pPr>
    <w:rPr>
      <w:color w:val="918585"/>
      <w:sz w:val="20"/>
    </w:rPr>
  </w:style>
  <w:style w:type="paragraph" w:styleId="Heading7">
    <w:name w:val="heading 7"/>
    <w:basedOn w:val="Normal"/>
    <w:next w:val="Normal"/>
    <w:link w:val="Heading7Char"/>
    <w:qFormat/>
    <w:rsid w:val="00516405"/>
    <w:pPr>
      <w:ind w:left="720"/>
      <w:outlineLvl w:val="6"/>
    </w:pPr>
    <w:rPr>
      <w:i/>
    </w:rPr>
  </w:style>
  <w:style w:type="paragraph" w:styleId="Heading8">
    <w:name w:val="heading 8"/>
    <w:basedOn w:val="Normal"/>
    <w:next w:val="Normal"/>
    <w:link w:val="Heading8Char"/>
    <w:qFormat/>
    <w:rsid w:val="00516405"/>
    <w:pPr>
      <w:ind w:left="720"/>
      <w:outlineLvl w:val="7"/>
    </w:pPr>
    <w:rPr>
      <w:i/>
    </w:rPr>
  </w:style>
  <w:style w:type="paragraph" w:styleId="Heading9">
    <w:name w:val="heading 9"/>
    <w:basedOn w:val="Normal"/>
    <w:next w:val="Normal"/>
    <w:link w:val="Heading9Char"/>
    <w:qFormat/>
    <w:rsid w:val="00516405"/>
    <w:pPr>
      <w:ind w:left="720"/>
      <w:outlineLvl w:val="8"/>
    </w:pPr>
    <w:rPr>
      <w:i/>
    </w:rPr>
  </w:style>
  <w:style w:type="character" w:default="1" w:styleId="DefaultParagraphFont">
    <w:name w:val="Default Paragraph Font"/>
    <w:uiPriority w:val="1"/>
    <w:unhideWhenUsed/>
    <w:rsid w:val="00516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405"/>
  </w:style>
  <w:style w:type="character" w:customStyle="1" w:styleId="Heading1Char">
    <w:name w:val="Heading 1 Char"/>
    <w:basedOn w:val="DefaultParagraphFont"/>
    <w:link w:val="Heading1"/>
    <w:rsid w:val="00516405"/>
    <w:rPr>
      <w:rFonts w:ascii="Times New Roman" w:eastAsia="Times New Roman" w:hAnsi="Times New Roman" w:cs="Times New Roman"/>
      <w:b/>
      <w:sz w:val="32"/>
      <w:szCs w:val="20"/>
      <w:lang w:eastAsia="en-US"/>
    </w:rPr>
  </w:style>
  <w:style w:type="paragraph" w:styleId="BodyText">
    <w:name w:val="Body Text"/>
    <w:basedOn w:val="Normal"/>
    <w:link w:val="BodyTextChar"/>
    <w:rsid w:val="00516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405"/>
    <w:rPr>
      <w:rFonts w:ascii="Times New Roman" w:eastAsia="Times New Roman" w:hAnsi="Times New Roman" w:cs="Times New Roman"/>
      <w:sz w:val="24"/>
      <w:lang w:val="en-US" w:eastAsia="en-US"/>
    </w:rPr>
  </w:style>
  <w:style w:type="paragraph" w:styleId="Footer">
    <w:name w:val="footer"/>
    <w:basedOn w:val="Normal"/>
    <w:link w:val="FooterChar"/>
    <w:rsid w:val="00516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405"/>
    <w:rPr>
      <w:rFonts w:ascii="Times New Roman" w:eastAsia="Times New Roman" w:hAnsi="Times New Roman" w:cs="Times New Roman"/>
      <w:sz w:val="16"/>
      <w:lang w:val="en-US" w:eastAsia="en-US"/>
    </w:rPr>
  </w:style>
  <w:style w:type="paragraph" w:styleId="ListBullet">
    <w:name w:val="List Bullet"/>
    <w:basedOn w:val="List"/>
    <w:rsid w:val="00516405"/>
    <w:pPr>
      <w:numPr>
        <w:numId w:val="13"/>
      </w:numPr>
      <w:tabs>
        <w:tab w:val="clear" w:pos="340"/>
      </w:tabs>
      <w:spacing w:before="40" w:after="40"/>
    </w:pPr>
  </w:style>
  <w:style w:type="character" w:customStyle="1" w:styleId="SpecialBold">
    <w:name w:val="Special Bold"/>
    <w:basedOn w:val="DefaultParagraphFont"/>
    <w:rsid w:val="00516405"/>
    <w:rPr>
      <w:b/>
      <w:spacing w:val="0"/>
    </w:rPr>
  </w:style>
  <w:style w:type="paragraph" w:styleId="ListBullet2">
    <w:name w:val="List Bullet 2"/>
    <w:basedOn w:val="List2"/>
    <w:rsid w:val="00516405"/>
    <w:pPr>
      <w:numPr>
        <w:numId w:val="14"/>
      </w:numPr>
      <w:tabs>
        <w:tab w:val="clear" w:pos="680"/>
      </w:tabs>
    </w:pPr>
  </w:style>
  <w:style w:type="paragraph" w:styleId="Header">
    <w:name w:val="header"/>
    <w:basedOn w:val="Normal"/>
    <w:link w:val="HeaderChar"/>
    <w:rsid w:val="00516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4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405"/>
    <w:pPr>
      <w:spacing w:before="240" w:after="120"/>
      <w:outlineLvl w:val="0"/>
    </w:pPr>
    <w:rPr>
      <w:rFonts w:ascii="Times New Roman" w:hAnsi="Times New Roman"/>
      <w:b/>
      <w:sz w:val="28"/>
    </w:rPr>
  </w:style>
  <w:style w:type="paragraph" w:customStyle="1" w:styleId="AllowPageBreak">
    <w:name w:val="AllowPageBreak"/>
    <w:rsid w:val="00516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4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4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405"/>
    <w:rPr>
      <w:rFonts w:ascii="Courier New" w:eastAsia="Times New Roman" w:hAnsi="Courier New" w:cs="Times New Roman"/>
      <w:i/>
      <w:szCs w:val="20"/>
      <w:lang w:val="en-US" w:eastAsia="en-US"/>
    </w:rPr>
  </w:style>
  <w:style w:type="paragraph" w:customStyle="1" w:styleId="HeadingBase">
    <w:name w:val="Heading Base"/>
    <w:rsid w:val="00516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405"/>
    <w:pPr>
      <w:tabs>
        <w:tab w:val="right" w:leader="dot" w:pos="9072"/>
      </w:tabs>
      <w:ind w:left="567"/>
    </w:pPr>
    <w:rPr>
      <w:szCs w:val="22"/>
    </w:rPr>
  </w:style>
  <w:style w:type="paragraph" w:customStyle="1" w:styleId="TOCBase">
    <w:name w:val="TOC Base"/>
    <w:rsid w:val="00516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405"/>
    <w:pPr>
      <w:tabs>
        <w:tab w:val="right" w:leader="dot" w:pos="9072"/>
      </w:tabs>
      <w:spacing w:before="40" w:after="40"/>
      <w:ind w:left="284"/>
    </w:pPr>
    <w:rPr>
      <w:rFonts w:ascii="Times New Roman" w:hAnsi="Times New Roman"/>
    </w:rPr>
  </w:style>
  <w:style w:type="paragraph" w:styleId="TOC1">
    <w:name w:val="toc 1"/>
    <w:basedOn w:val="TOCBase"/>
    <w:next w:val="Normal"/>
    <w:rsid w:val="005164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405"/>
    <w:pPr>
      <w:spacing w:before="5040"/>
      <w:jc w:val="center"/>
    </w:pPr>
    <w:rPr>
      <w:sz w:val="48"/>
      <w:szCs w:val="72"/>
      <w:lang w:val="en-US"/>
    </w:rPr>
  </w:style>
  <w:style w:type="character" w:customStyle="1" w:styleId="TitleChar">
    <w:name w:val="Title Char"/>
    <w:basedOn w:val="DefaultParagraphFont"/>
    <w:link w:val="Title"/>
    <w:rsid w:val="00516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405"/>
    <w:pPr>
      <w:tabs>
        <w:tab w:val="left" w:pos="3600"/>
        <w:tab w:val="left" w:pos="3958"/>
      </w:tabs>
    </w:pPr>
  </w:style>
  <w:style w:type="paragraph" w:styleId="List">
    <w:name w:val="List"/>
    <w:basedOn w:val="BodyText"/>
    <w:next w:val="BodyText"/>
    <w:rsid w:val="00516405"/>
    <w:pPr>
      <w:tabs>
        <w:tab w:val="left" w:pos="340"/>
      </w:tabs>
      <w:spacing w:before="60" w:after="60"/>
      <w:ind w:left="340" w:hanging="340"/>
    </w:pPr>
  </w:style>
  <w:style w:type="paragraph" w:customStyle="1" w:styleId="Note">
    <w:name w:val="Note"/>
    <w:basedOn w:val="BodyText"/>
    <w:rsid w:val="00516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405"/>
    <w:pPr>
      <w:framePr w:wrap="auto" w:hAnchor="text" w:y="6049"/>
    </w:pPr>
    <w:rPr>
      <w:color w:val="000000"/>
      <w:sz w:val="40"/>
    </w:rPr>
  </w:style>
  <w:style w:type="paragraph" w:customStyle="1" w:styleId="TOCTitle">
    <w:name w:val="TOCTitle"/>
    <w:basedOn w:val="Heading1"/>
    <w:rsid w:val="00516405"/>
    <w:pPr>
      <w:spacing w:after="240"/>
      <w:jc w:val="center"/>
      <w:outlineLvl w:val="9"/>
    </w:pPr>
    <w:rPr>
      <w:caps/>
    </w:rPr>
  </w:style>
  <w:style w:type="paragraph" w:customStyle="1" w:styleId="Version">
    <w:name w:val="Version"/>
    <w:rsid w:val="00516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405"/>
    <w:pPr>
      <w:keepNext w:val="0"/>
      <w:tabs>
        <w:tab w:val="right" w:pos="4176"/>
      </w:tabs>
      <w:ind w:left="198" w:hanging="198"/>
    </w:pPr>
    <w:rPr>
      <w:rFonts w:ascii="Garamond" w:hAnsi="Garamond"/>
    </w:rPr>
  </w:style>
  <w:style w:type="paragraph" w:styleId="IndexHeading">
    <w:name w:val="index heading"/>
    <w:basedOn w:val="Normal"/>
    <w:next w:val="Index1"/>
    <w:semiHidden/>
    <w:rsid w:val="00516405"/>
    <w:pPr>
      <w:spacing w:before="120" w:after="120"/>
    </w:pPr>
    <w:rPr>
      <w:rFonts w:ascii="Arial" w:hAnsi="Arial"/>
      <w:b/>
      <w:color w:val="918585"/>
      <w:sz w:val="24"/>
    </w:rPr>
  </w:style>
  <w:style w:type="paragraph" w:customStyle="1" w:styleId="Chapter">
    <w:name w:val="Chapter"/>
    <w:basedOn w:val="Normal"/>
    <w:rsid w:val="00516405"/>
    <w:pPr>
      <w:spacing w:before="240"/>
    </w:pPr>
    <w:rPr>
      <w:rFonts w:ascii="Times New Roman" w:hAnsi="Times New Roman"/>
      <w:smallCaps/>
      <w:spacing w:val="80"/>
      <w:sz w:val="28"/>
    </w:rPr>
  </w:style>
  <w:style w:type="paragraph" w:customStyle="1" w:styleId="InChapter">
    <w:name w:val="InChapter"/>
    <w:basedOn w:val="Heading3"/>
    <w:rsid w:val="00516405"/>
    <w:pPr>
      <w:spacing w:after="240"/>
      <w:outlineLvl w:val="9"/>
    </w:pPr>
    <w:rPr>
      <w:noProof/>
    </w:rPr>
  </w:style>
  <w:style w:type="paragraph" w:styleId="Index2">
    <w:name w:val="index 2"/>
    <w:basedOn w:val="Normal"/>
    <w:next w:val="Normal"/>
    <w:semiHidden/>
    <w:rsid w:val="00516405"/>
    <w:pPr>
      <w:tabs>
        <w:tab w:val="right" w:pos="4176"/>
      </w:tabs>
      <w:ind w:left="568" w:hanging="284"/>
    </w:pPr>
    <w:rPr>
      <w:rFonts w:ascii="Garamond" w:hAnsi="Garamond"/>
    </w:rPr>
  </w:style>
  <w:style w:type="paragraph" w:customStyle="1" w:styleId="Byline">
    <w:name w:val="Byline"/>
    <w:rsid w:val="00516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405"/>
    <w:pPr>
      <w:tabs>
        <w:tab w:val="clear" w:pos="3600"/>
        <w:tab w:val="clear" w:pos="3958"/>
      </w:tabs>
      <w:jc w:val="right"/>
    </w:pPr>
  </w:style>
  <w:style w:type="character" w:styleId="Emphasis">
    <w:name w:val="Emphasis"/>
    <w:basedOn w:val="DefaultParagraphFont"/>
    <w:qFormat/>
    <w:rsid w:val="00516405"/>
    <w:rPr>
      <w:i/>
    </w:rPr>
  </w:style>
  <w:style w:type="paragraph" w:styleId="Caption">
    <w:name w:val="caption"/>
    <w:basedOn w:val="BodyText"/>
    <w:next w:val="Normal"/>
    <w:qFormat/>
    <w:rsid w:val="00516405"/>
    <w:pPr>
      <w:framePr w:w="2268" w:hSpace="181" w:vSpace="181" w:wrap="around" w:vAnchor="text" w:hAnchor="page" w:x="1135" w:y="285" w:anchorLock="1"/>
    </w:pPr>
    <w:rPr>
      <w:i/>
    </w:rPr>
  </w:style>
  <w:style w:type="paragraph" w:customStyle="1" w:styleId="MiniTOCTitle">
    <w:name w:val="MiniTOCTitle"/>
    <w:basedOn w:val="Heading4"/>
    <w:rsid w:val="00516405"/>
    <w:pPr>
      <w:spacing w:before="240"/>
      <w:outlineLvl w:val="9"/>
    </w:pPr>
    <w:rPr>
      <w:noProof/>
      <w:sz w:val="24"/>
    </w:rPr>
  </w:style>
  <w:style w:type="paragraph" w:customStyle="1" w:styleId="MiniTOCItem">
    <w:name w:val="MiniTOCItem"/>
    <w:basedOn w:val="ListBullet"/>
    <w:rsid w:val="00516405"/>
    <w:pPr>
      <w:numPr>
        <w:numId w:val="0"/>
      </w:numPr>
      <w:tabs>
        <w:tab w:val="right" w:leader="dot" w:pos="6521"/>
      </w:tabs>
      <w:spacing w:before="0" w:after="0"/>
    </w:pPr>
  </w:style>
  <w:style w:type="paragraph" w:customStyle="1" w:styleId="TOFTitle">
    <w:name w:val="TOFTitle"/>
    <w:basedOn w:val="TOCTitle"/>
    <w:rsid w:val="00516405"/>
  </w:style>
  <w:style w:type="paragraph" w:styleId="TableofFigures">
    <w:name w:val="table of figures"/>
    <w:basedOn w:val="Normal"/>
    <w:next w:val="Normal"/>
    <w:semiHidden/>
    <w:rsid w:val="00516405"/>
    <w:pPr>
      <w:tabs>
        <w:tab w:val="right" w:leader="dot" w:pos="9072"/>
      </w:tabs>
      <w:ind w:left="970" w:hanging="403"/>
    </w:pPr>
    <w:rPr>
      <w:rFonts w:ascii="Times New Roman" w:hAnsi="Times New Roman"/>
      <w:b/>
    </w:rPr>
  </w:style>
  <w:style w:type="paragraph" w:styleId="ListNumber">
    <w:name w:val="List Number"/>
    <w:basedOn w:val="List"/>
    <w:rsid w:val="00516405"/>
    <w:pPr>
      <w:numPr>
        <w:numId w:val="11"/>
      </w:numPr>
    </w:pPr>
  </w:style>
  <w:style w:type="character" w:customStyle="1" w:styleId="WingdingSymbols">
    <w:name w:val="Wingding Symbols"/>
    <w:rsid w:val="00516405"/>
    <w:rPr>
      <w:rFonts w:ascii="Wingdings" w:hAnsi="Wingdings"/>
    </w:rPr>
  </w:style>
  <w:style w:type="paragraph" w:customStyle="1" w:styleId="TableHeading">
    <w:name w:val="Table Heading"/>
    <w:basedOn w:val="HeadingBase"/>
    <w:rsid w:val="00516405"/>
    <w:pPr>
      <w:keepLines/>
      <w:pBdr>
        <w:bottom w:val="single" w:sz="6" w:space="1" w:color="918585"/>
      </w:pBdr>
      <w:spacing w:before="240"/>
    </w:pPr>
  </w:style>
  <w:style w:type="character" w:customStyle="1" w:styleId="HotSpot">
    <w:name w:val="HotSpot"/>
    <w:rsid w:val="00516405"/>
    <w:rPr>
      <w:color w:val="0033CC"/>
      <w:u w:val="none"/>
    </w:rPr>
  </w:style>
  <w:style w:type="paragraph" w:customStyle="1" w:styleId="BodyTextRight">
    <w:name w:val="Body Text Right"/>
    <w:basedOn w:val="BodyText"/>
    <w:rsid w:val="00516405"/>
    <w:pPr>
      <w:spacing w:before="0" w:after="0"/>
      <w:jc w:val="right"/>
    </w:pPr>
  </w:style>
  <w:style w:type="paragraph" w:styleId="Index3">
    <w:name w:val="index 3"/>
    <w:basedOn w:val="ListNumber2"/>
    <w:next w:val="Normal"/>
    <w:semiHidden/>
    <w:rsid w:val="00516405"/>
    <w:pPr>
      <w:numPr>
        <w:numId w:val="0"/>
      </w:numPr>
      <w:tabs>
        <w:tab w:val="right" w:leader="dot" w:pos="4176"/>
      </w:tabs>
    </w:pPr>
  </w:style>
  <w:style w:type="paragraph" w:styleId="ListNumber2">
    <w:name w:val="List Number 2"/>
    <w:basedOn w:val="List2"/>
    <w:rsid w:val="00516405"/>
    <w:pPr>
      <w:numPr>
        <w:numId w:val="10"/>
      </w:numPr>
      <w:tabs>
        <w:tab w:val="clear" w:pos="1060"/>
      </w:tabs>
    </w:pPr>
  </w:style>
  <w:style w:type="paragraph" w:customStyle="1" w:styleId="MarginNote">
    <w:name w:val="Margin Note"/>
    <w:basedOn w:val="BodyText"/>
    <w:rsid w:val="00516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4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405"/>
    <w:rPr>
      <w:sz w:val="32"/>
    </w:rPr>
  </w:style>
  <w:style w:type="paragraph" w:customStyle="1" w:styleId="HeadingProcedure">
    <w:name w:val="Heading Procedure"/>
    <w:basedOn w:val="HeadingBase"/>
    <w:next w:val="Normal"/>
    <w:rsid w:val="00516405"/>
    <w:pPr>
      <w:tabs>
        <w:tab w:val="left" w:pos="0"/>
      </w:tabs>
      <w:spacing w:before="120" w:after="60"/>
    </w:pPr>
    <w:rPr>
      <w:i/>
      <w:color w:val="918585"/>
      <w:sz w:val="22"/>
    </w:rPr>
  </w:style>
  <w:style w:type="paragraph" w:customStyle="1" w:styleId="TableBodyText">
    <w:name w:val="Table Body Text"/>
    <w:basedOn w:val="BodyText"/>
    <w:rsid w:val="00516405"/>
    <w:pPr>
      <w:spacing w:before="60" w:after="60"/>
    </w:pPr>
  </w:style>
  <w:style w:type="paragraph" w:styleId="ListContinue">
    <w:name w:val="List Continue"/>
    <w:basedOn w:val="List"/>
    <w:rsid w:val="00516405"/>
    <w:pPr>
      <w:ind w:firstLine="0"/>
    </w:pPr>
  </w:style>
  <w:style w:type="paragraph" w:customStyle="1" w:styleId="ListNote">
    <w:name w:val="List Note"/>
    <w:basedOn w:val="List"/>
    <w:rsid w:val="00516405"/>
    <w:pPr>
      <w:pBdr>
        <w:top w:val="single" w:sz="6" w:space="2" w:color="918585"/>
        <w:bottom w:val="single" w:sz="6" w:space="2" w:color="918585"/>
      </w:pBdr>
      <w:tabs>
        <w:tab w:val="left" w:pos="1021"/>
      </w:tabs>
      <w:ind w:firstLine="0"/>
    </w:pPr>
  </w:style>
  <w:style w:type="paragraph" w:customStyle="1" w:styleId="Warning">
    <w:name w:val="Warning"/>
    <w:basedOn w:val="BodyText"/>
    <w:rsid w:val="00516405"/>
    <w:pPr>
      <w:shd w:val="clear" w:color="auto" w:fill="D9D9D9"/>
      <w:tabs>
        <w:tab w:val="left" w:pos="992"/>
      </w:tabs>
      <w:ind w:left="119" w:right="119"/>
    </w:pPr>
    <w:rPr>
      <w:sz w:val="20"/>
    </w:rPr>
  </w:style>
  <w:style w:type="paragraph" w:customStyle="1" w:styleId="MarginIcons">
    <w:name w:val="Margin Icons"/>
    <w:basedOn w:val="BodyText"/>
    <w:rsid w:val="00516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405"/>
    <w:rPr>
      <w:rFonts w:ascii="Courier New" w:hAnsi="Courier New"/>
    </w:rPr>
  </w:style>
  <w:style w:type="paragraph" w:customStyle="1" w:styleId="NoteBullet">
    <w:name w:val="Note Bullet"/>
    <w:basedOn w:val="Note"/>
    <w:rsid w:val="00516405"/>
    <w:pPr>
      <w:tabs>
        <w:tab w:val="clear" w:pos="680"/>
      </w:tabs>
      <w:spacing w:before="60" w:after="60"/>
    </w:pPr>
  </w:style>
  <w:style w:type="paragraph" w:customStyle="1" w:styleId="SubHeading2">
    <w:name w:val="SubHeading2"/>
    <w:basedOn w:val="HeadingBase"/>
    <w:rsid w:val="00516405"/>
    <w:pPr>
      <w:spacing w:before="240" w:after="60"/>
    </w:pPr>
    <w:rPr>
      <w:sz w:val="20"/>
    </w:rPr>
  </w:style>
  <w:style w:type="paragraph" w:customStyle="1" w:styleId="SubHeading1">
    <w:name w:val="SubHeading1"/>
    <w:basedOn w:val="HeadingBase"/>
    <w:rsid w:val="00516405"/>
    <w:pPr>
      <w:spacing w:before="240" w:after="60"/>
    </w:pPr>
    <w:rPr>
      <w:color w:val="918585"/>
      <w:sz w:val="22"/>
    </w:rPr>
  </w:style>
  <w:style w:type="paragraph" w:customStyle="1" w:styleId="SideHeading">
    <w:name w:val="Side Heading"/>
    <w:basedOn w:val="HeadingBase"/>
    <w:rsid w:val="00516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405"/>
    <w:pPr>
      <w:numPr>
        <w:numId w:val="12"/>
      </w:numPr>
    </w:pPr>
  </w:style>
  <w:style w:type="paragraph" w:styleId="PlainText">
    <w:name w:val="Plain Text"/>
    <w:basedOn w:val="Normal"/>
    <w:link w:val="PlainTextChar"/>
    <w:rsid w:val="00516405"/>
    <w:rPr>
      <w:sz w:val="20"/>
    </w:rPr>
  </w:style>
  <w:style w:type="character" w:customStyle="1" w:styleId="PlainTextChar">
    <w:name w:val="Plain Text Char"/>
    <w:basedOn w:val="DefaultParagraphFont"/>
    <w:link w:val="PlainText"/>
    <w:rsid w:val="005164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405"/>
    <w:rPr>
      <w:b/>
      <w:smallCaps/>
    </w:rPr>
  </w:style>
  <w:style w:type="paragraph" w:customStyle="1" w:styleId="TableListNumber">
    <w:name w:val="Table List Number"/>
    <w:basedOn w:val="ListNumber"/>
    <w:rsid w:val="00516405"/>
    <w:pPr>
      <w:numPr>
        <w:numId w:val="0"/>
      </w:numPr>
    </w:pPr>
  </w:style>
  <w:style w:type="paragraph" w:styleId="TOC4">
    <w:name w:val="toc 4"/>
    <w:basedOn w:val="TOCBase"/>
    <w:next w:val="Normal"/>
    <w:semiHidden/>
    <w:rsid w:val="00516405"/>
    <w:pPr>
      <w:tabs>
        <w:tab w:val="right" w:leader="dot" w:pos="9071"/>
      </w:tabs>
      <w:ind w:left="1701"/>
    </w:pPr>
  </w:style>
  <w:style w:type="paragraph" w:customStyle="1" w:styleId="ListAlpha">
    <w:name w:val="List Alpha"/>
    <w:basedOn w:val="List"/>
    <w:rsid w:val="00516405"/>
    <w:pPr>
      <w:numPr>
        <w:numId w:val="9"/>
      </w:numPr>
    </w:pPr>
  </w:style>
  <w:style w:type="paragraph" w:customStyle="1" w:styleId="ListAlpha2">
    <w:name w:val="List Alpha 2"/>
    <w:basedOn w:val="List2"/>
    <w:rsid w:val="00516405"/>
    <w:pPr>
      <w:numPr>
        <w:numId w:val="8"/>
      </w:numPr>
    </w:pPr>
  </w:style>
  <w:style w:type="paragraph" w:styleId="List2">
    <w:name w:val="List 2"/>
    <w:basedOn w:val="BodyText"/>
    <w:rsid w:val="00516405"/>
    <w:pPr>
      <w:tabs>
        <w:tab w:val="left" w:pos="680"/>
      </w:tabs>
      <w:spacing w:before="60" w:after="60"/>
      <w:ind w:left="680" w:hanging="340"/>
    </w:pPr>
  </w:style>
  <w:style w:type="paragraph" w:styleId="List3">
    <w:name w:val="List 3"/>
    <w:basedOn w:val="BodyText"/>
    <w:rsid w:val="00516405"/>
    <w:pPr>
      <w:tabs>
        <w:tab w:val="left" w:pos="1021"/>
      </w:tabs>
      <w:spacing w:before="60" w:after="60"/>
      <w:ind w:left="1020" w:hanging="340"/>
    </w:pPr>
  </w:style>
  <w:style w:type="paragraph" w:styleId="List4">
    <w:name w:val="List 4"/>
    <w:basedOn w:val="BodyText"/>
    <w:rsid w:val="00516405"/>
    <w:pPr>
      <w:tabs>
        <w:tab w:val="left" w:pos="1361"/>
      </w:tabs>
      <w:spacing w:before="60" w:after="60"/>
      <w:ind w:left="1361" w:hanging="340"/>
    </w:pPr>
  </w:style>
  <w:style w:type="paragraph" w:styleId="List5">
    <w:name w:val="List 5"/>
    <w:basedOn w:val="BodyText"/>
    <w:rsid w:val="00516405"/>
    <w:pPr>
      <w:tabs>
        <w:tab w:val="left" w:pos="1701"/>
      </w:tabs>
      <w:spacing w:before="60" w:after="60"/>
      <w:ind w:left="1701" w:hanging="340"/>
    </w:pPr>
  </w:style>
  <w:style w:type="paragraph" w:styleId="ListBullet3">
    <w:name w:val="List Bullet 3"/>
    <w:basedOn w:val="List3"/>
    <w:rsid w:val="00516405"/>
    <w:pPr>
      <w:numPr>
        <w:numId w:val="15"/>
      </w:numPr>
      <w:tabs>
        <w:tab w:val="clear" w:pos="1021"/>
      </w:tabs>
      <w:ind w:left="1037" w:hanging="357"/>
    </w:pPr>
  </w:style>
  <w:style w:type="paragraph" w:styleId="ListBullet4">
    <w:name w:val="List Bullet 4"/>
    <w:basedOn w:val="List4"/>
    <w:rsid w:val="00516405"/>
    <w:pPr>
      <w:numPr>
        <w:numId w:val="3"/>
      </w:numPr>
    </w:pPr>
  </w:style>
  <w:style w:type="paragraph" w:styleId="ListBullet5">
    <w:name w:val="List Bullet 5"/>
    <w:basedOn w:val="List5"/>
    <w:rsid w:val="00516405"/>
    <w:pPr>
      <w:numPr>
        <w:numId w:val="4"/>
      </w:numPr>
    </w:pPr>
  </w:style>
  <w:style w:type="paragraph" w:styleId="ListContinue2">
    <w:name w:val="List Continue 2"/>
    <w:basedOn w:val="List2"/>
    <w:rsid w:val="00516405"/>
    <w:pPr>
      <w:ind w:firstLine="0"/>
    </w:pPr>
  </w:style>
  <w:style w:type="paragraph" w:styleId="ListContinue3">
    <w:name w:val="List Continue 3"/>
    <w:basedOn w:val="List3"/>
    <w:rsid w:val="00516405"/>
    <w:pPr>
      <w:ind w:left="1021" w:firstLine="0"/>
    </w:pPr>
  </w:style>
  <w:style w:type="paragraph" w:styleId="ListContinue4">
    <w:name w:val="List Continue 4"/>
    <w:basedOn w:val="List4"/>
    <w:rsid w:val="00516405"/>
    <w:pPr>
      <w:ind w:firstLine="0"/>
    </w:pPr>
  </w:style>
  <w:style w:type="paragraph" w:styleId="ListContinue5">
    <w:name w:val="List Continue 5"/>
    <w:basedOn w:val="List5"/>
    <w:rsid w:val="00516405"/>
    <w:pPr>
      <w:ind w:firstLine="0"/>
    </w:pPr>
  </w:style>
  <w:style w:type="paragraph" w:styleId="ListNumber3">
    <w:name w:val="List Number 3"/>
    <w:basedOn w:val="List3"/>
    <w:rsid w:val="00516405"/>
    <w:pPr>
      <w:numPr>
        <w:numId w:val="5"/>
      </w:numPr>
    </w:pPr>
  </w:style>
  <w:style w:type="paragraph" w:styleId="ListNumber4">
    <w:name w:val="List Number 4"/>
    <w:basedOn w:val="List4"/>
    <w:rsid w:val="00516405"/>
    <w:pPr>
      <w:numPr>
        <w:numId w:val="6"/>
      </w:numPr>
    </w:pPr>
  </w:style>
  <w:style w:type="paragraph" w:styleId="ListNumber5">
    <w:name w:val="List Number 5"/>
    <w:basedOn w:val="List5"/>
    <w:rsid w:val="00516405"/>
    <w:pPr>
      <w:numPr>
        <w:numId w:val="7"/>
      </w:numPr>
    </w:pPr>
  </w:style>
  <w:style w:type="paragraph" w:styleId="BlockText">
    <w:name w:val="Block Text"/>
    <w:basedOn w:val="Normal"/>
    <w:rsid w:val="00516405"/>
    <w:pPr>
      <w:spacing w:after="120"/>
      <w:ind w:left="1440" w:right="1440"/>
    </w:pPr>
  </w:style>
  <w:style w:type="character" w:customStyle="1" w:styleId="Subscript">
    <w:name w:val="Subscript"/>
    <w:basedOn w:val="DefaultParagraphFont"/>
    <w:rsid w:val="00516405"/>
    <w:rPr>
      <w:sz w:val="16"/>
      <w:vertAlign w:val="subscript"/>
    </w:rPr>
  </w:style>
  <w:style w:type="character" w:customStyle="1" w:styleId="Superscript">
    <w:name w:val="Superscript"/>
    <w:basedOn w:val="DefaultParagraphFont"/>
    <w:rsid w:val="00516405"/>
    <w:rPr>
      <w:sz w:val="16"/>
      <w:vertAlign w:val="superscript"/>
    </w:rPr>
  </w:style>
  <w:style w:type="character" w:customStyle="1" w:styleId="Symbols">
    <w:name w:val="Symbols"/>
    <w:basedOn w:val="DefaultParagraphFont"/>
    <w:rsid w:val="00516405"/>
    <w:rPr>
      <w:rFonts w:ascii="Symbol" w:hAnsi="Symbol"/>
    </w:rPr>
  </w:style>
  <w:style w:type="character" w:customStyle="1" w:styleId="MenuOptions">
    <w:name w:val="Menu Options"/>
    <w:basedOn w:val="DefaultParagraphFont"/>
    <w:rsid w:val="00516405"/>
    <w:rPr>
      <w:rFonts w:ascii="Arial Narrow" w:hAnsi="Arial Narrow"/>
      <w:smallCaps/>
    </w:rPr>
  </w:style>
  <w:style w:type="character" w:customStyle="1" w:styleId="Buttons">
    <w:name w:val="Buttons"/>
    <w:basedOn w:val="DefaultParagraphFont"/>
    <w:rsid w:val="00516405"/>
    <w:rPr>
      <w:b/>
    </w:rPr>
  </w:style>
  <w:style w:type="character" w:customStyle="1" w:styleId="Underlined">
    <w:name w:val="Underlined"/>
    <w:basedOn w:val="DefaultParagraphFont"/>
    <w:rsid w:val="00516405"/>
    <w:rPr>
      <w:u w:val="single"/>
    </w:rPr>
  </w:style>
  <w:style w:type="paragraph" w:customStyle="1" w:styleId="TableBodyTextRight">
    <w:name w:val="Table Body Text Right"/>
    <w:basedOn w:val="TableBodyText"/>
    <w:rsid w:val="00516405"/>
    <w:pPr>
      <w:widowControl w:val="0"/>
      <w:autoSpaceDE w:val="0"/>
      <w:autoSpaceDN w:val="0"/>
      <w:adjustRightInd w:val="0"/>
      <w:jc w:val="right"/>
    </w:pPr>
    <w:rPr>
      <w:rFonts w:cs="Arial"/>
      <w:szCs w:val="18"/>
    </w:rPr>
  </w:style>
  <w:style w:type="paragraph" w:customStyle="1" w:styleId="CopyrightText">
    <w:name w:val="Copyright Text"/>
    <w:basedOn w:val="BodyText"/>
    <w:rsid w:val="00516405"/>
    <w:rPr>
      <w:sz w:val="18"/>
    </w:rPr>
  </w:style>
  <w:style w:type="paragraph" w:customStyle="1" w:styleId="BodySmallRight">
    <w:name w:val="Body Small Right"/>
    <w:basedOn w:val="BodyTextRight"/>
    <w:rsid w:val="00516405"/>
    <w:rPr>
      <w:sz w:val="18"/>
      <w:szCs w:val="18"/>
    </w:rPr>
  </w:style>
  <w:style w:type="paragraph" w:customStyle="1" w:styleId="MarginEdition">
    <w:name w:val="Margin Edition"/>
    <w:basedOn w:val="MarginNote"/>
    <w:rsid w:val="00516405"/>
    <w:pPr>
      <w:spacing w:before="0" w:after="0"/>
    </w:pPr>
    <w:rPr>
      <w:rFonts w:ascii="Times New Roman" w:hAnsi="Times New Roman"/>
      <w:color w:val="999999"/>
    </w:rPr>
  </w:style>
  <w:style w:type="paragraph" w:customStyle="1" w:styleId="Spacer">
    <w:name w:val="Spacer"/>
    <w:basedOn w:val="Normal"/>
    <w:rsid w:val="00516405"/>
    <w:rPr>
      <w:sz w:val="2"/>
      <w:szCs w:val="2"/>
    </w:rPr>
  </w:style>
  <w:style w:type="character" w:customStyle="1" w:styleId="Small">
    <w:name w:val="Small"/>
    <w:basedOn w:val="DefaultParagraphFont"/>
    <w:rsid w:val="00516405"/>
    <w:rPr>
      <w:sz w:val="16"/>
    </w:rPr>
  </w:style>
  <w:style w:type="paragraph" w:customStyle="1" w:styleId="WideTable">
    <w:name w:val="Wide Table"/>
    <w:basedOn w:val="Normal"/>
    <w:rsid w:val="00516405"/>
    <w:pPr>
      <w:ind w:left="-1418"/>
    </w:pPr>
    <w:rPr>
      <w:sz w:val="2"/>
      <w:szCs w:val="2"/>
    </w:rPr>
  </w:style>
  <w:style w:type="character" w:styleId="PageNumber">
    <w:name w:val="page number"/>
    <w:basedOn w:val="DefaultParagraphFont"/>
    <w:rsid w:val="00516405"/>
  </w:style>
  <w:style w:type="paragraph" w:styleId="Quote">
    <w:name w:val="Quote"/>
    <w:basedOn w:val="Heading1"/>
    <w:link w:val="QuoteChar"/>
    <w:qFormat/>
    <w:rsid w:val="00516405"/>
    <w:rPr>
      <w:b w:val="0"/>
      <w:sz w:val="72"/>
      <w:szCs w:val="72"/>
      <w:lang w:val="en-NZ"/>
    </w:rPr>
  </w:style>
  <w:style w:type="character" w:customStyle="1" w:styleId="QuoteChar">
    <w:name w:val="Quote Char"/>
    <w:basedOn w:val="DefaultParagraphFont"/>
    <w:link w:val="Quote"/>
    <w:rsid w:val="00516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405"/>
    <w:pPr>
      <w:pageBreakBefore/>
    </w:pPr>
  </w:style>
  <w:style w:type="paragraph" w:customStyle="1" w:styleId="Border">
    <w:name w:val="Border"/>
    <w:basedOn w:val="Normal"/>
    <w:qFormat/>
    <w:rsid w:val="00516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405"/>
    <w:rPr>
      <w:b/>
      <w:bCs/>
      <w:i/>
      <w:iCs/>
      <w:color w:val="auto"/>
    </w:rPr>
  </w:style>
  <w:style w:type="paragraph" w:styleId="IntenseQuote">
    <w:name w:val="Intense Quote"/>
    <w:basedOn w:val="Normal"/>
    <w:next w:val="Normal"/>
    <w:link w:val="IntenseQuoteChar"/>
    <w:uiPriority w:val="30"/>
    <w:qFormat/>
    <w:rsid w:val="00516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4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405"/>
    <w:rPr>
      <w:smallCaps/>
      <w:color w:val="auto"/>
      <w:u w:val="single"/>
    </w:rPr>
  </w:style>
  <w:style w:type="character" w:styleId="IntenseReference">
    <w:name w:val="Intense Reference"/>
    <w:basedOn w:val="DefaultParagraphFont"/>
    <w:uiPriority w:val="32"/>
    <w:qFormat/>
    <w:rsid w:val="00516405"/>
    <w:rPr>
      <w:b/>
      <w:bCs/>
      <w:smallCaps/>
      <w:color w:val="auto"/>
      <w:spacing w:val="5"/>
      <w:u w:val="single"/>
    </w:rPr>
  </w:style>
  <w:style w:type="paragraph" w:customStyle="1" w:styleId="2ColumnHeading">
    <w:name w:val="2Column Heading"/>
    <w:basedOn w:val="BodyText"/>
    <w:qFormat/>
    <w:rsid w:val="00516405"/>
    <w:pPr>
      <w:spacing w:after="60"/>
      <w:ind w:left="-2268"/>
    </w:pPr>
    <w:rPr>
      <w:b/>
    </w:rPr>
  </w:style>
  <w:style w:type="paragraph" w:customStyle="1" w:styleId="Heading1TOC">
    <w:name w:val="Heading1 TOC"/>
    <w:basedOn w:val="Normal"/>
    <w:qFormat/>
    <w:rsid w:val="00516405"/>
    <w:pPr>
      <w:spacing w:before="240" w:after="120"/>
    </w:pPr>
    <w:rPr>
      <w:rFonts w:ascii="Times New Roman" w:hAnsi="Times New Roman"/>
      <w:b/>
      <w:sz w:val="32"/>
    </w:rPr>
  </w:style>
  <w:style w:type="paragraph" w:customStyle="1" w:styleId="Heading2TOC">
    <w:name w:val="Heading2 TOC"/>
    <w:basedOn w:val="Normal"/>
    <w:qFormat/>
    <w:rsid w:val="00516405"/>
    <w:pPr>
      <w:spacing w:before="240" w:after="60"/>
    </w:pPr>
    <w:rPr>
      <w:rFonts w:ascii="Times New Roman" w:hAnsi="Times New Roman"/>
      <w:b/>
      <w:sz w:val="28"/>
    </w:rPr>
  </w:style>
  <w:style w:type="character" w:customStyle="1" w:styleId="Underline">
    <w:name w:val="Underline"/>
    <w:basedOn w:val="DefaultParagraphFont"/>
    <w:qFormat/>
    <w:rsid w:val="00516405"/>
    <w:rPr>
      <w:u w:val="single"/>
    </w:rPr>
  </w:style>
  <w:style w:type="character" w:customStyle="1" w:styleId="BoldandItalics">
    <w:name w:val="Bold and Italics"/>
    <w:qFormat/>
    <w:rsid w:val="00516405"/>
    <w:rPr>
      <w:b/>
      <w:i/>
      <w:u w:val="none"/>
    </w:rPr>
  </w:style>
  <w:style w:type="paragraph" w:styleId="BalloonText">
    <w:name w:val="Balloon Text"/>
    <w:basedOn w:val="Normal"/>
    <w:link w:val="BalloonTextChar"/>
    <w:rsid w:val="00516405"/>
    <w:rPr>
      <w:rFonts w:ascii="Tahoma" w:hAnsi="Tahoma" w:cs="Tahoma"/>
      <w:sz w:val="16"/>
      <w:szCs w:val="16"/>
    </w:rPr>
  </w:style>
  <w:style w:type="character" w:customStyle="1" w:styleId="BalloonTextChar">
    <w:name w:val="Balloon Text Char"/>
    <w:basedOn w:val="DefaultParagraphFont"/>
    <w:link w:val="BalloonText"/>
    <w:rsid w:val="005164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4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2451</Words>
  <Characters>15015</Characters>
  <Application>Microsoft Office Word</Application>
  <DocSecurity>0</DocSecurity>
  <Lines>748</Lines>
  <Paragraphs>295</Paragraphs>
  <ScaleCrop>false</ScaleCrop>
  <Company>Author-it Software Corporation Ltd.</Company>
  <LinksUpToDate>false</LinksUpToDate>
  <CharactersWithSpaces>17207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UEGNSG703A Investigate billing exceptions/conditions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2012-05-26T22:12:00Z</dcterms:created>
  <dcterms:modified xsi:type="dcterms:W3CDTF">2012-05-26T22:12:00Z</dcterms:modified>
</cp:coreProperties>
</file>