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6D8" w:rsidP="007646D8">
      <w:pPr>
        <w:pStyle w:val="Title"/>
      </w:pPr>
      <w:bookmarkStart w:id="0" w:name="_GoBack"/>
      <w:bookmarkEnd w:id="0"/>
      <w:r>
        <w:fldChar w:fldCharType="begin"/>
      </w:r>
      <w:r>
        <w:instrText xml:space="preserve"> TITLE   \* MERGEFORMAT </w:instrText>
      </w:r>
      <w:r>
        <w:fldChar w:fldCharType="separate"/>
      </w:r>
      <w:r>
        <w:t>UEGNSG701A Process meter reading information using appropriate technology</w:t>
      </w:r>
      <w:r>
        <w:fldChar w:fldCharType="end"/>
      </w:r>
    </w:p>
    <w:p w:rsidR="007646D8" w:rsidP="007646D8">
      <w:pPr>
        <w:pStyle w:val="Version"/>
        <w:sectPr w:rsidSect="00F05F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5F89" w:rsidP="00F05F89">
      <w:pPr>
        <w:pStyle w:val="SuperHeading"/>
      </w:pPr>
      <w:r w:rsidRPr="00F05F89">
        <w:t>UEGNSG701A Process meter reading information using appropriate technology</w:t>
      </w:r>
    </w:p>
    <w:p w:rsidR="00000000" w:rsidRPr="00F05F89" w:rsidP="00F05F89">
      <w:pPr>
        <w:pStyle w:val="Heading1"/>
      </w:pPr>
      <w:bookmarkStart w:id="1" w:name="O_275146"/>
      <w:bookmarkEnd w:id="1"/>
      <w:r w:rsidRPr="00F05F89">
        <w:t>Modification History</w:t>
      </w:r>
    </w:p>
    <w:p w:rsidR="00000000" w:rsidRPr="00F05F89" w:rsidP="00F05F89">
      <w:pPr>
        <w:pStyle w:val="BodyText"/>
      </w:pPr>
      <w:r w:rsidRPr="00F05F89">
        <w:t>Not Applicable</w:t>
      </w:r>
    </w:p>
    <w:p w:rsidR="00000000" w:rsidRPr="00F05F89" w:rsidP="00F05F89">
      <w:pPr>
        <w:pStyle w:val="AllowPageBreak"/>
      </w:pPr>
    </w:p>
    <w:p w:rsidR="00000000" w:rsidRPr="00F05F89" w:rsidP="00F05F89">
      <w:pPr>
        <w:pStyle w:val="Heading1"/>
      </w:pPr>
      <w:bookmarkStart w:id="2" w:name="O_229696"/>
      <w:bookmarkEnd w:id="2"/>
      <w:r w:rsidRPr="00F05F89">
        <w:t>Unit Descriptor</w:t>
      </w:r>
    </w:p>
    <w:tbl>
      <w:tblPr>
        <w:tblW w:w="0" w:type="auto"/>
        <w:tblLayout w:type="fixed"/>
        <w:tblCellMar>
          <w:left w:w="62" w:type="dxa"/>
          <w:right w:w="62" w:type="dxa"/>
        </w:tblCellMar>
        <w:tblLook w:val="0000"/>
      </w:tblPr>
      <w:tblGrid>
        <w:gridCol w:w="2700"/>
        <w:gridCol w:w="5760"/>
      </w:tblGrid>
      <w:tr w:rsidTr="007646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rPr>
                <w:rStyle w:val="SpecialBold"/>
              </w:rPr>
              <w:t>1</w:t>
            </w:r>
            <w:r w:rsidRPr="00F05F89">
              <w:t xml:space="preserve">) </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t>This Unit covers the processing of meter reading information by using the appropriate technology for recording of information. The standard may include gas, water and electricity supply industries. Tools and equipment used for this competency standard incl</w:t>
            </w:r>
            <w:r w:rsidRPr="00F05F89">
              <w:t>ude using hand held or wireless/remote recording equipment, computers/computer software, CD-ROMS, hard and floppy disks, drives and back up systems.</w:t>
            </w:r>
          </w:p>
        </w:tc>
      </w:tr>
    </w:tbl>
    <w:p w:rsidR="007646D8" w:rsidP="00F05F89">
      <w:pPr>
        <w:pStyle w:val="BodyText"/>
      </w:pPr>
    </w:p>
    <w:p w:rsidR="007646D8" w:rsidP="00F05F89">
      <w:pPr>
        <w:pStyle w:val="BodyText"/>
      </w:pPr>
    </w:p>
    <w:p w:rsidR="00000000" w:rsidRPr="00F05F89" w:rsidP="00F05F89">
      <w:pPr>
        <w:pStyle w:val="Heading1"/>
      </w:pPr>
      <w:bookmarkStart w:id="3" w:name="O_229699"/>
      <w:bookmarkEnd w:id="3"/>
      <w:r w:rsidRPr="00F05F89">
        <w:t>Application of the Unit</w:t>
      </w:r>
    </w:p>
    <w:tbl>
      <w:tblPr>
        <w:tblW w:w="0" w:type="auto"/>
        <w:tblLayout w:type="fixed"/>
        <w:tblCellMar>
          <w:left w:w="62" w:type="dxa"/>
          <w:right w:w="62" w:type="dxa"/>
        </w:tblCellMar>
        <w:tblLook w:val="0000"/>
      </w:tblPr>
      <w:tblGrid>
        <w:gridCol w:w="2700"/>
        <w:gridCol w:w="5760"/>
      </w:tblGrid>
      <w:tr w:rsidTr="007646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rPr>
                <w:rStyle w:val="SpecialBold"/>
              </w:rPr>
              <w:t>3</w:t>
            </w:r>
            <w:r w:rsidRPr="00F05F89">
              <w:t xml:space="preserve">) </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t>This competency standard shall ap</w:t>
            </w:r>
            <w:r w:rsidRPr="00F05F89">
              <w:t>ply to any basic and safe work site where Gas Industry operations occur. It could also apply, where applicable to other workplaces in the electricity supply industry (transmission and distribution and generation), the electrotechnology industry and the wat</w:t>
            </w:r>
            <w:r w:rsidRPr="00F05F89">
              <w:t>er industry, subject to all Occupational Health and Safety and duty of care requirements being met for the workplace.</w:t>
            </w:r>
          </w:p>
        </w:tc>
      </w:tr>
    </w:tbl>
    <w:p w:rsidR="007646D8" w:rsidP="00F05F89">
      <w:pPr>
        <w:pStyle w:val="BodyText"/>
      </w:pPr>
    </w:p>
    <w:p w:rsidR="007646D8" w:rsidP="00F05F89">
      <w:pPr>
        <w:pStyle w:val="BodyText"/>
      </w:pPr>
    </w:p>
    <w:p w:rsidR="00000000" w:rsidRPr="00F05F89" w:rsidP="00F05F89">
      <w:pPr>
        <w:pStyle w:val="Heading1"/>
      </w:pPr>
      <w:bookmarkStart w:id="4" w:name="O_229700"/>
      <w:bookmarkEnd w:id="4"/>
      <w:r w:rsidRPr="00F05F89">
        <w:t>Licensing/Regulatory Information</w:t>
      </w:r>
    </w:p>
    <w:tbl>
      <w:tblPr>
        <w:tblW w:w="0" w:type="auto"/>
        <w:tblLayout w:type="fixed"/>
        <w:tblCellMar>
          <w:left w:w="62" w:type="dxa"/>
          <w:right w:w="62" w:type="dxa"/>
        </w:tblCellMar>
        <w:tblLook w:val="0000"/>
      </w:tblPr>
      <w:tblGrid>
        <w:gridCol w:w="2700"/>
        <w:gridCol w:w="5760"/>
      </w:tblGrid>
      <w:tr w:rsidTr="007646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rPr>
                <w:rStyle w:val="SpecialBold"/>
              </w:rPr>
              <w:t>3</w:t>
            </w:r>
            <w:r w:rsidRPr="00F05F89">
              <w:t>.</w:t>
            </w:r>
            <w:r w:rsidRPr="00F05F89">
              <w:rPr>
                <w:rStyle w:val="SpecialBold"/>
              </w:rPr>
              <w:t>1</w:t>
            </w:r>
            <w:r w:rsidRPr="00F05F89">
              <w:t xml:space="preserve">) </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t xml:space="preserve">The skills and knowledge described in this unit are not subject to licence regulation other than those directly related to Occupational Health and Safety, gas/electricity/water industry safety and compliance, </w:t>
            </w:r>
            <w:r w:rsidRPr="00F05F89">
              <w:t>industrial relations, environmental protection,</w:t>
            </w:r>
            <w:r w:rsidRPr="00F05F89">
              <w:t xml:space="preserve"> telecommunications, anti discrimination and training. Commonwealth, State/Territory or Local Government legislation and regulations may exist that limits the age of operating certain equipment.</w:t>
            </w:r>
          </w:p>
        </w:tc>
      </w:tr>
    </w:tbl>
    <w:p w:rsidR="007646D8" w:rsidP="00F05F89">
      <w:pPr>
        <w:pStyle w:val="BodyText"/>
      </w:pPr>
    </w:p>
    <w:p w:rsidR="007646D8" w:rsidP="00F05F89">
      <w:pPr>
        <w:pStyle w:val="BodyText"/>
      </w:pPr>
    </w:p>
    <w:p w:rsidR="00000000" w:rsidRPr="00F05F89" w:rsidP="00F05F89">
      <w:pPr>
        <w:pStyle w:val="Heading1"/>
      </w:pPr>
      <w:bookmarkStart w:id="5" w:name="O_229697"/>
      <w:bookmarkEnd w:id="5"/>
      <w:r w:rsidRPr="00F05F89">
        <w:t>Pre-Requisites</w:t>
      </w:r>
    </w:p>
    <w:tbl>
      <w:tblPr>
        <w:tblW w:w="0" w:type="auto"/>
        <w:tblLayout w:type="fixed"/>
        <w:tblCellMar>
          <w:left w:w="62" w:type="dxa"/>
          <w:right w:w="62" w:type="dxa"/>
        </w:tblCellMar>
        <w:tblLook w:val="0000"/>
      </w:tblPr>
      <w:tblGrid>
        <w:gridCol w:w="2700"/>
        <w:gridCol w:w="1800"/>
        <w:gridCol w:w="3960"/>
      </w:tblGrid>
      <w:tr w:rsidTr="007646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Prerequisite Unit</w:t>
            </w:r>
            <w:r w:rsidRPr="00F05F89">
              <w:t>(</w:t>
            </w:r>
            <w:r w:rsidRPr="00F05F89">
              <w:rPr>
                <w:rStyle w:val="SpecialBold"/>
              </w:rPr>
              <w:t>s</w:t>
            </w:r>
            <w:r w:rsidRPr="00F05F89">
              <w:t>)</w:t>
            </w:r>
          </w:p>
        </w:tc>
        <w:tc>
          <w:tcPr>
            <w:tcW w:w="5760" w:type="dxa"/>
            <w:gridSpan w:val="2"/>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rPr>
                <w:rStyle w:val="SpecialBold"/>
              </w:rPr>
              <w:t>2</w:t>
            </w:r>
            <w:r w:rsidRPr="00F05F89">
              <w:t xml:space="preserve">) </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rPr>
                <w:rStyle w:val="SpecialBold"/>
              </w:rPr>
              <w:t>2</w:t>
            </w:r>
            <w:r w:rsidRPr="00F05F89">
              <w:t>.</w:t>
            </w:r>
            <w:r w:rsidRPr="00F05F89">
              <w:rPr>
                <w:rStyle w:val="SpecialBold"/>
              </w:rPr>
              <w:t>1</w:t>
            </w:r>
            <w:r w:rsidRPr="00F05F89">
              <w:t xml:space="preserve">) </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Granting of competency in this unit shall be made only after competency in the following unit(s) has/have been confirmed:</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Nil</w:t>
            </w:r>
          </w:p>
        </w:tc>
        <w:tc>
          <w:tcPr>
            <w:tcW w:w="3960" w:type="dxa"/>
            <w:tcBorders>
              <w:top w:val="nil"/>
              <w:left w:val="nil"/>
              <w:bottom w:val="nil"/>
              <w:right w:val="nil"/>
            </w:tcBorders>
            <w:tcMar>
              <w:top w:w="0" w:type="dxa"/>
              <w:left w:w="62" w:type="dxa"/>
              <w:bottom w:w="0" w:type="dxa"/>
              <w:right w:w="62" w:type="dxa"/>
            </w:tcMar>
          </w:tcPr>
          <w:p w:rsidR="00000000" w:rsidRPr="00F05F89" w:rsidP="00F05F89">
            <w:pPr>
              <w:pStyle w:val="BodyText"/>
            </w:pPr>
          </w:p>
        </w:tc>
      </w:tr>
    </w:tbl>
    <w:p w:rsidR="007646D8" w:rsidP="00F05F89">
      <w:pPr>
        <w:pStyle w:val="BodyText"/>
      </w:pPr>
    </w:p>
    <w:p w:rsidR="007646D8" w:rsidP="00F05F89">
      <w:pPr>
        <w:pStyle w:val="BodyText"/>
      </w:pPr>
    </w:p>
    <w:p w:rsidR="00000000" w:rsidRPr="00F05F89" w:rsidP="00F05F89">
      <w:pPr>
        <w:pStyle w:val="Heading1"/>
      </w:pPr>
      <w:bookmarkStart w:id="6" w:name="O_285395"/>
      <w:bookmarkEnd w:id="6"/>
      <w:r w:rsidRPr="00F05F89">
        <w:t>Employability Skills Information</w:t>
      </w:r>
    </w:p>
    <w:p w:rsidR="00000000" w:rsidRPr="00F05F89" w:rsidP="00F05F89">
      <w:pPr>
        <w:pStyle w:val="BodyText"/>
      </w:pPr>
      <w:r w:rsidRPr="00F05F89">
        <w:t>Refer to the Evidence Guide</w:t>
      </w:r>
    </w:p>
    <w:p w:rsidR="00000000" w:rsidRPr="00F05F89" w:rsidP="00F05F89">
      <w:pPr>
        <w:pStyle w:val="AllowPageBreak"/>
      </w:pPr>
    </w:p>
    <w:p w:rsidR="00000000" w:rsidRPr="00F05F89" w:rsidP="00F05F89">
      <w:pPr>
        <w:pStyle w:val="Heading1"/>
      </w:pPr>
      <w:bookmarkStart w:id="7" w:name="O_293192"/>
      <w:bookmarkEnd w:id="7"/>
      <w:r w:rsidRPr="00F05F89">
        <w:t>Elements and Performance Criteria Pre-Content</w:t>
      </w:r>
    </w:p>
    <w:tbl>
      <w:tblPr>
        <w:tblW w:w="0" w:type="auto"/>
        <w:tblLayout w:type="fixed"/>
        <w:tblCellMar>
          <w:left w:w="62" w:type="dxa"/>
          <w:right w:w="62" w:type="dxa"/>
        </w:tblCellMar>
        <w:tblLook w:val="0000"/>
      </w:tblPr>
      <w:tblGrid>
        <w:gridCol w:w="2700"/>
        <w:gridCol w:w="5760"/>
      </w:tblGrid>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rPr>
                <w:rStyle w:val="SpecialBold"/>
              </w:rPr>
              <w:t>5</w:t>
            </w:r>
            <w:r w:rsidRPr="00F05F89">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t>Performance criteria describe the required performance needed to demonstrate achievement of the element. Assessment of performance is to</w:t>
            </w:r>
            <w:r w:rsidRPr="00F05F89">
              <w:t xml:space="preserve"> be consistent with the Evidence Guide.</w:t>
            </w:r>
          </w:p>
        </w:tc>
      </w:tr>
    </w:tbl>
    <w:p w:rsidR="00000000" w:rsidRPr="00F05F89" w:rsidP="00F05F89">
      <w:pPr>
        <w:pStyle w:val="BodyText"/>
      </w:pPr>
    </w:p>
    <w:p w:rsidR="00000000" w:rsidRPr="00F05F89" w:rsidP="00F05F89">
      <w:pPr>
        <w:pStyle w:val="AllowPageBreak"/>
      </w:pPr>
    </w:p>
    <w:p w:rsidR="00000000" w:rsidRPr="00F05F89" w:rsidP="00F05F89">
      <w:pPr>
        <w:pStyle w:val="Heading1"/>
      </w:pPr>
      <w:bookmarkStart w:id="8" w:name="O_239860"/>
      <w:bookmarkEnd w:id="8"/>
      <w:r w:rsidRPr="00F05F8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646D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rPr>
                <w:rStyle w:val="SpecialBold"/>
              </w:rPr>
              <w:t>PERFORMANCE CRITERIA</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1</w:t>
            </w:r>
          </w:p>
        </w:tc>
        <w:tc>
          <w:tcPr>
            <w:tcW w:w="2296" w:type="dxa"/>
            <w:vMerge w:val="restart"/>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 xml:space="preserve">Select and use technology to record information </w:t>
            </w: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1.1</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Work instructions are received and confirmed</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1.2</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 xml:space="preserve">Relevant requirements and established procedures to be followed for the work to be </w:t>
            </w:r>
            <w:r w:rsidRPr="00F05F89">
              <w:t xml:space="preserve">performed are discussed with all persons to establish and confirm the work schedule </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1.3</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OHS, environmental and sustainable energy policies and procedures to be followed for the work to be performed are received and confirmed</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1.4</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Suggestions to assist with processing meter reading work are made to others involved in the work</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1.5</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 xml:space="preserve">Hazards </w:t>
            </w:r>
            <w:r w:rsidRPr="00F05F89">
              <w:t>are identified, OHS risks assessed and control measures are prioritised, implemented and monitored including emergency exits kept clear according to established procedures</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1.6</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Scope of responsibility under the relevant work permit are received and confirmed according to requirements and established procedures with relevant persons</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1.7</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Resources including technical equipment and tools required for the job are obtained and in w</w:t>
            </w:r>
            <w:r w:rsidRPr="00F05F89">
              <w:t>orking order and information is recorded according to established procedures</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1.8</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Relevant responsibilities associated with first aid and other related work safety procedures at the worksite are confirmed in accordance with requirements and established p</w:t>
            </w:r>
            <w:r w:rsidRPr="00F05F89">
              <w:t>rocedures to ensure safety measures and followed in the instance of an incident.</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1.9</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Client issues are referred to appropriate persons in accordance with industry standards</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1.10</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Site is prepared according to given instructions and the work schedule for a quality outcome and to minimise risk and damage to property, commerce and individuals in accordance with established procedures</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2</w:t>
            </w:r>
          </w:p>
        </w:tc>
        <w:tc>
          <w:tcPr>
            <w:tcW w:w="2296"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 xml:space="preserve">Process information </w:t>
            </w: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2.1</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OHS policies and proced</w:t>
            </w:r>
            <w:r w:rsidRPr="00F05F89">
              <w:t>ures and safe work practices are followed to eliminate or minimise incidents and hazards</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2.2</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 xml:space="preserve">Working in confined spaces and aloft, and use of equipment, techniques and practices are safely followed in accordance with given instructions </w:t>
            </w:r>
            <w:r w:rsidRPr="00F05F89">
              <w:t>and according to requirements confirmed to eliminate the prospects of incidents</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2.3</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Operational knowledge for carrying out processing meter readings work is confirmed to ensure completion in an agreed timeframe and to quality standards with a minimum of</w:t>
            </w:r>
            <w:r w:rsidRPr="00F05F89">
              <w:t xml:space="preserve"> waste according to requirements and established procedures</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2.4</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Data is stored, relevant technology and updated and retrieved in accordance with given instructions and established procedures using relevant technology</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2.5</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Hazard warnings and safety si</w:t>
            </w:r>
            <w:r w:rsidRPr="00F05F89">
              <w:t>gns are recognised and hazards and assessed OHS risks are reported to the immediate authorised persons for directions according to established procedures</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2.6</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Non-routine events are referred to the immediate authorised persons for directions according to established procedures</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2.7</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 xml:space="preserve">Relevant sources are referred to for problems associated with processing meter readings and known solutions and skills related to </w:t>
            </w:r>
            <w:r w:rsidRPr="00F05F89">
              <w:t>routine procedures to ensure work instructions and established procedures are met Note: sources include manuals, training books, internet</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2.8</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Ongoing checks of quality of the work are undertaken in accordance with given instructions and established proc</w:t>
            </w:r>
            <w:r w:rsidRPr="00F05F89">
              <w:t>edures</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3</w:t>
            </w:r>
          </w:p>
        </w:tc>
        <w:tc>
          <w:tcPr>
            <w:tcW w:w="2296"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 xml:space="preserve">Maintain technology </w:t>
            </w: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3.1</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Work undertaken is checked against work schedule and anomalies reported to authorised persons in accordance with established procedures</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3.2</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 xml:space="preserve">Accidents and incidents are actioned and reported to authorised persons in accordance with established procedures </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3.3</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 xml:space="preserve">Work site is rehabilitated, cleaned up and made safe in accordance with given instructions and established procedures </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3.4</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Minor ma</w:t>
            </w:r>
            <w:r w:rsidRPr="00F05F89">
              <w:t>intenance of meter reading technology is applied in accordance with requirements to ensure working order of the meter reading technology</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3.5</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Technology consumables are identified and any surplus resources and materials are, where appropriate, checked and returned to storage in accordance with established procedures</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3.6</w:t>
            </w:r>
          </w:p>
        </w:tc>
        <w:tc>
          <w:tcPr>
            <w:tcW w:w="48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Appropriate persons are notified of work completion according to establis</w:t>
            </w:r>
            <w:r w:rsidRPr="00F05F89">
              <w:t>hed procedures</w:t>
            </w:r>
          </w:p>
        </w:tc>
      </w:tr>
      <w:tr w:rsidTr="007646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3.7</w:t>
            </w:r>
          </w:p>
        </w:tc>
        <w:tc>
          <w:tcPr>
            <w:tcW w:w="4860"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t>Work completion records, faults to equipment are identified and reported accurately in accordance with given instructions and established procedures</w:t>
            </w:r>
          </w:p>
        </w:tc>
      </w:tr>
    </w:tbl>
    <w:p w:rsidR="007646D8" w:rsidP="00F05F89">
      <w:pPr>
        <w:pStyle w:val="BodyText"/>
      </w:pPr>
    </w:p>
    <w:p w:rsidR="007646D8" w:rsidP="00F05F89">
      <w:pPr>
        <w:pStyle w:val="BodyText"/>
      </w:pPr>
    </w:p>
    <w:p w:rsidR="00000000" w:rsidRPr="00F05F89" w:rsidP="00F05F89">
      <w:pPr>
        <w:pStyle w:val="Heading1"/>
      </w:pPr>
      <w:bookmarkStart w:id="9" w:name="O_263651"/>
      <w:bookmarkEnd w:id="9"/>
      <w:r w:rsidRPr="00F05F89">
        <w:t>Required Skills and Knowledge</w:t>
      </w:r>
    </w:p>
    <w:tbl>
      <w:tblPr>
        <w:tblW w:w="0" w:type="auto"/>
        <w:tblLayout w:type="fixed"/>
        <w:tblCellMar>
          <w:left w:w="62" w:type="dxa"/>
          <w:right w:w="62" w:type="dxa"/>
        </w:tblCellMar>
        <w:tblLook w:val="0000"/>
      </w:tblPr>
      <w:tblGrid>
        <w:gridCol w:w="2700"/>
        <w:gridCol w:w="1080"/>
        <w:gridCol w:w="4680"/>
      </w:tblGrid>
      <w:tr w:rsidTr="007646D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rPr>
                <w:rStyle w:val="SpecialBold"/>
              </w:rPr>
              <w:t>REQUIRED SKILLS AND KNOWLEDGE</w:t>
            </w:r>
          </w:p>
        </w:tc>
      </w:tr>
      <w:tr w:rsidTr="007646D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rPr>
                <w:rStyle w:val="SpecialBold"/>
              </w:rPr>
              <w:t>6</w:t>
            </w:r>
            <w:r w:rsidRPr="00F05F89">
              <w:t>) This describes the essential skills and knowledge and their level, required for this unit.</w:t>
            </w:r>
          </w:p>
        </w:tc>
      </w:tr>
      <w:tr w:rsidTr="007646D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Evidence shall show that knowledge has been acquired of safe working practices for the processing of meter reading information to perform work in a utilities in</w:t>
            </w:r>
            <w:r w:rsidRPr="00F05F89">
              <w:t>dustry work environment. The extent of the essential knowledge and associated skills (EKAS) required is given in Volume 2 - Part 2.2 EKAS.  It forms an integral part of this unit.</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2.1.1</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Working in the gas sector</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2.1.2</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Identify roles of statutory authorities</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2.1.3</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Identify employment roles and responsibilities</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2.1.4</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Apply relevant OHS regulations, policies and procedures</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2.1.5</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Maintain safe, clean and healthy workplace</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2.1.6</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Work safely with hazardous mat</w:t>
            </w:r>
            <w:r w:rsidRPr="00F05F89">
              <w:t>erials and equipment</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2.1.7</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Apply safe manual handling techniques in the workplace</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2.1.8</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Control traffic at the work-site</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2.1.9</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Respond to emergency and accident situations</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2.1.10</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Apply relevant environmental legislation, regulations and codes of practice</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2.1.11</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Protect and maintain the environment</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2.1.12</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Communicate in the workplace</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2.1.13</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Communicate effectively in a team</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2.1.14</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Read and interpret workplace documents</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2.1.15</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Complete routine workplace forms, memos and reports</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2.1.16</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Identify requirements of work activity</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2.1.17</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Apply basic planning skills</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2.1.18</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Conduct tasks to complete work activity</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2.1.19</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Review work activity</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2.1.20</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Customer relations</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2.1.21</w:t>
            </w:r>
          </w:p>
        </w:tc>
        <w:tc>
          <w:tcPr>
            <w:tcW w:w="46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Problem solving</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G 2.1.22</w:t>
            </w:r>
          </w:p>
        </w:tc>
        <w:tc>
          <w:tcPr>
            <w:tcW w:w="4680"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t>Confined spaces</w:t>
            </w:r>
          </w:p>
        </w:tc>
      </w:tr>
    </w:tbl>
    <w:p w:rsidR="007646D8" w:rsidP="00F05F89">
      <w:pPr>
        <w:pStyle w:val="BodyText"/>
      </w:pPr>
    </w:p>
    <w:p w:rsidR="007646D8" w:rsidP="00F05F89">
      <w:pPr>
        <w:pStyle w:val="BodyText"/>
      </w:pPr>
    </w:p>
    <w:p w:rsidR="00000000" w:rsidRPr="00F05F89" w:rsidP="00F05F89">
      <w:pPr>
        <w:pStyle w:val="Heading1"/>
      </w:pPr>
      <w:bookmarkStart w:id="10" w:name="O_247843"/>
      <w:bookmarkEnd w:id="10"/>
      <w:r w:rsidRPr="00F05F89">
        <w:t>Evidence Guide</w:t>
      </w:r>
    </w:p>
    <w:tbl>
      <w:tblPr>
        <w:tblW w:w="0" w:type="auto"/>
        <w:tblLayout w:type="fixed"/>
        <w:tblCellMar>
          <w:left w:w="62" w:type="dxa"/>
          <w:right w:w="62" w:type="dxa"/>
        </w:tblCellMar>
        <w:tblLook w:val="0000"/>
      </w:tblPr>
      <w:tblGrid>
        <w:gridCol w:w="2160"/>
        <w:gridCol w:w="540"/>
        <w:gridCol w:w="900"/>
        <w:gridCol w:w="180"/>
        <w:gridCol w:w="1620"/>
        <w:gridCol w:w="3060"/>
      </w:tblGrid>
      <w:tr w:rsidTr="007646D8">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rPr>
                <w:rStyle w:val="SpecialBold"/>
              </w:rPr>
              <w:t>EVIDENCE GUIDE</w:t>
            </w:r>
          </w:p>
        </w:tc>
      </w:tr>
      <w:tr w:rsidTr="007646D8">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8</w:t>
            </w:r>
            <w:r w:rsidRPr="00F05F89">
              <w:t xml:space="preserve">) </w:t>
            </w:r>
          </w:p>
          <w:p w:rsidR="00000000" w:rsidP="00F05F89">
            <w:pPr>
              <w:pStyle w:val="BodyText"/>
              <w:rPr>
                <w:lang w:val="en-NZ"/>
              </w:rPr>
            </w:pPr>
            <w:r w:rsidRPr="00F05F89">
              <w:t>The Evidence Guide forms an integral part of this Competency Standard Unit and shall be used in conjunction with all components parts of this unit and performed in accordance with the Assessment Guidelines of this Training Package.</w:t>
            </w:r>
          </w:p>
        </w:tc>
      </w:tr>
      <w:tr w:rsidTr="00764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Overview of Assess</w:t>
            </w:r>
            <w:r w:rsidRPr="00F05F89">
              <w:rPr>
                <w:rStyle w:val="SpecialBold"/>
              </w:rPr>
              <w:t>ment</w:t>
            </w:r>
          </w:p>
        </w:tc>
        <w:tc>
          <w:tcPr>
            <w:tcW w:w="6300" w:type="dxa"/>
            <w:gridSpan w:val="5"/>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8</w:t>
            </w:r>
            <w:r w:rsidRPr="00F05F89">
              <w:t>.</w:t>
            </w:r>
            <w:r w:rsidRPr="00F05F89">
              <w:rPr>
                <w:rStyle w:val="SpecialBold"/>
              </w:rPr>
              <w:t>1</w:t>
            </w:r>
            <w:r w:rsidRPr="00F05F89">
              <w:t xml:space="preserve">) </w:t>
            </w:r>
          </w:p>
          <w:p w:rsidR="00000000" w:rsidRPr="00F05F89" w:rsidP="00F05F89">
            <w:pPr>
              <w:pStyle w:val="BodyText"/>
            </w:pPr>
            <w:r w:rsidRPr="00F05F89">
              <w:t>Longitudinal competency development approaches to assessment, such as Profiling, require data to be reliably gathered in a form that can be consistently interpreted over time. This approach is best utilised in Apprenticeship programs and reduces</w:t>
            </w:r>
            <w:r w:rsidRPr="00F05F89">
              <w:t xml:space="preserve"> assessment intervention. It is the Industry's preferred model for apprenticeships. However, where summative (or final) assessment is used it is to include the application of the competency in the normal work environment or, at a minimum, the application o</w:t>
            </w:r>
            <w:r w:rsidRPr="00F05F89">
              <w:t>f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F05F89" w:rsidP="00F05F89">
            <w:pPr>
              <w:pStyle w:val="BodyText"/>
            </w:pPr>
            <w:r w:rsidRPr="00F05F89">
              <w:t>Meth</w:t>
            </w:r>
            <w:r w:rsidRPr="00F05F89">
              <w:t>ods chosen for a particular assessment will be influenced by various factors. These include the extent of the assessment, the most effective locations for the assessment activities to take place, access to physical resources, additional safety measures tha</w:t>
            </w:r>
            <w:r w:rsidRPr="00F05F89">
              <w:t>t may be required and the critical nature of the competencies being assessed.</w:t>
            </w:r>
          </w:p>
          <w:p w:rsidR="00000000" w:rsidRPr="00F05F89" w:rsidP="00F05F89">
            <w:pPr>
              <w:pStyle w:val="BodyText"/>
            </w:pPr>
            <w:r w:rsidRPr="00F05F89">
              <w:t>The critical safety nature of working with electricity, electrical equipment, gas or any other hazardous substance/material carries risk in deeming a person competent. Hence, sou</w:t>
            </w:r>
            <w:r w:rsidRPr="00F05F89">
              <w:t>rces of evidence need to be 'rich' in nature so as to minimise error in judgment.</w:t>
            </w:r>
          </w:p>
          <w:p w:rsidR="00000000" w:rsidP="00F05F89">
            <w:pPr>
              <w:pStyle w:val="BodyText"/>
              <w:rPr>
                <w:lang w:val="en-NZ"/>
              </w:rPr>
            </w:pPr>
            <w:r w:rsidRPr="00F05F89">
              <w:t>Activities associated with normal every day work have a bearing on the decision as to how much and how detailed the data gathered will contribute to its 'richness'. Some skil</w:t>
            </w:r>
            <w:r w:rsidRPr="00F05F89">
              <w:t>ls are more critical to safety and operational requirements while the same skills may be more or less frequently practiced. These points are raised for the assessors to consider when choosing an assessment method and developing assessment instruments. Samp</w:t>
            </w:r>
            <w:r w:rsidRPr="00F05F89">
              <w:t>le assessment instruments are included for Assessors in the Assessment Guidelines of this Training Package.</w:t>
            </w:r>
          </w:p>
        </w:tc>
      </w:tr>
      <w:tr w:rsidTr="007646D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 xml:space="preserve">Critical aspects of evidence required to demonstrate competency </w:t>
            </w:r>
            <w:r w:rsidRPr="00F05F89">
              <w:rPr>
                <w:rStyle w:val="SpecialBold"/>
              </w:rPr>
              <w:t>in this unit</w:t>
            </w:r>
          </w:p>
        </w:tc>
        <w:tc>
          <w:tcPr>
            <w:tcW w:w="6300" w:type="dxa"/>
            <w:gridSpan w:val="5"/>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8</w:t>
            </w:r>
            <w:r w:rsidRPr="00F05F89">
              <w:t>.</w:t>
            </w:r>
            <w:r w:rsidRPr="00F05F89">
              <w:rPr>
                <w:rStyle w:val="SpecialBold"/>
              </w:rPr>
              <w:t>2</w:t>
            </w:r>
            <w:r w:rsidRPr="00F05F89">
              <w:t>)</w:t>
            </w:r>
          </w:p>
          <w:p w:rsidR="00000000" w:rsidP="00F05F89">
            <w:pPr>
              <w:pStyle w:val="BodyText"/>
              <w:rPr>
                <w:lang w:val="en-NZ"/>
              </w:rPr>
            </w:pPr>
            <w:r w:rsidRPr="00F05F89">
              <w:t>Before the critical aspects of evidence are considered all prerequisites shall be met.</w:t>
            </w:r>
          </w:p>
        </w:tc>
      </w:tr>
      <w:tr w:rsidTr="007646D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t>Evidence for competence in this unit shall be considered holistically. Each element and associated performance criteria shall be demonstrated on at least two occas</w:t>
            </w:r>
            <w:r w:rsidRPr="00F05F89">
              <w:t>ions in accordance with the 'Assessment Guidelines  UEG06'. Evidence shall also comprise:</w:t>
            </w:r>
          </w:p>
          <w:p w:rsidR="00000000" w:rsidP="00F05F89">
            <w:pPr>
              <w:pStyle w:val="ListBullet"/>
              <w:rPr>
                <w:lang w:val="en-NZ"/>
              </w:rPr>
            </w:pPr>
            <w:r w:rsidRPr="00F05F89">
              <w:t xml:space="preserve">A representative body of performance criteria demonstrated within the timeframes typically expected of the discipline, work </w:t>
            </w:r>
            <w:r w:rsidRPr="00F05F89">
              <w:t>function and industrial environment. In particular this shall incorporate evidence that shows a candidate is able to:</w:t>
            </w:r>
          </w:p>
        </w:tc>
      </w:tr>
      <w:tr w:rsidTr="00764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F05F89" w:rsidP="00F05F89">
            <w:pPr>
              <w:pStyle w:val="ListBullet2"/>
            </w:pPr>
            <w:r w:rsidRPr="00F05F89">
              <w:t>Implement Occupational Health and Safety workplace procedures and practices including the use of risk control measures as specified</w:t>
            </w:r>
            <w:r w:rsidRPr="00F05F89">
              <w:t xml:space="preserve"> in the performance criteria and range</w:t>
            </w:r>
          </w:p>
          <w:p w:rsidR="00000000" w:rsidRPr="00F05F89" w:rsidP="00F05F89">
            <w:pPr>
              <w:pStyle w:val="ListBullet2"/>
            </w:pPr>
            <w:r w:rsidRPr="00F05F89">
              <w:t>Apply sustainable energy principles and practices as specified in the performance criteria and range</w:t>
            </w:r>
          </w:p>
          <w:p w:rsidR="00000000" w:rsidRPr="00F05F89" w:rsidP="00F05F89">
            <w:pPr>
              <w:pStyle w:val="ListBullet2"/>
            </w:pPr>
            <w:r w:rsidRPr="00F05F89">
              <w:t>Demonstrate an understanding of the essential knowledge and associated skills as described in this unit to such an e</w:t>
            </w:r>
            <w:r w:rsidRPr="00F05F89">
              <w:t>xtent that the learner's performance outcome is reported in accordance with the preferred approach; namely a percentile graded result, where required by the regulated environment</w:t>
            </w:r>
          </w:p>
          <w:p w:rsidR="00000000" w:rsidRPr="00F05F89" w:rsidP="00F05F89">
            <w:pPr>
              <w:pStyle w:val="ListBullet2"/>
            </w:pPr>
            <w:r w:rsidRPr="00F05F89">
              <w:t>Demonstrate an appropriate level of skills enabling employment</w:t>
            </w:r>
          </w:p>
          <w:p w:rsidR="00000000" w:rsidP="00F05F89">
            <w:pPr>
              <w:pStyle w:val="ListBullet2"/>
              <w:rPr>
                <w:lang w:val="en-NZ"/>
              </w:rPr>
            </w:pPr>
            <w:r w:rsidRPr="00F05F89">
              <w:t>Conduct work observing the relevant Anti Discrimination legislation, regulations, polices and workplace procedures</w:t>
            </w:r>
          </w:p>
        </w:tc>
      </w:tr>
      <w:tr w:rsidTr="00764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F05F89">
            <w:pPr>
              <w:pStyle w:val="ListBullet2"/>
              <w:rPr>
                <w:lang w:val="en-NZ"/>
              </w:rPr>
            </w:pPr>
            <w:r w:rsidRPr="00F05F89">
              <w:t>Demonstrate performance across a representative range of contexts from the prescribed items below.</w:t>
            </w:r>
          </w:p>
        </w:tc>
      </w:tr>
      <w:tr w:rsidTr="00764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F05F89">
            <w:pPr>
              <w:pStyle w:val="BodyText"/>
              <w:keepNext w:val="0"/>
              <w:keepLines w:val="0"/>
              <w:contextualSpacing w:val="0"/>
            </w:pPr>
          </w:p>
        </w:tc>
        <w:tc>
          <w:tcPr>
            <w:tcW w:w="576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rPr>
                <w:rStyle w:val="SpecialBold"/>
              </w:rPr>
              <w:t>Range of tools</w:t>
            </w:r>
            <w:r w:rsidRPr="00F05F89">
              <w:t>/</w:t>
            </w:r>
            <w:r w:rsidRPr="00F05F89">
              <w:rPr>
                <w:rStyle w:val="SpecialBold"/>
              </w:rPr>
              <w:t>equipment</w:t>
            </w:r>
            <w:r w:rsidRPr="00F05F89">
              <w:t>/</w:t>
            </w:r>
            <w:r w:rsidRPr="00F05F89">
              <w:rPr>
                <w:rStyle w:val="SpecialBold"/>
              </w:rPr>
              <w:t>materials</w:t>
            </w:r>
            <w:r w:rsidRPr="00F05F89">
              <w:t>/</w:t>
            </w:r>
            <w:r w:rsidRPr="00F05F89">
              <w:rPr>
                <w:rStyle w:val="SpecialBold"/>
              </w:rPr>
              <w:t>procedures</w:t>
            </w:r>
            <w:r w:rsidRPr="00F05F89">
              <w:t>/</w:t>
            </w:r>
            <w:r w:rsidRPr="00F05F89">
              <w:br/>
            </w:r>
            <w:r w:rsidRPr="00F05F89">
              <w:rPr>
                <w:rStyle w:val="SpecialBold"/>
              </w:rPr>
              <w:t>workplaces</w:t>
            </w:r>
            <w:r w:rsidRPr="00F05F89">
              <w:t>/</w:t>
            </w:r>
            <w:r w:rsidRPr="00F05F89">
              <w:rPr>
                <w:rStyle w:val="SpecialBold"/>
              </w:rPr>
              <w:t>other variables</w:t>
            </w:r>
          </w:p>
        </w:tc>
      </w:tr>
      <w:tr w:rsidTr="00764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F05F89">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F89" w:rsidP="00F05F89">
            <w:pPr>
              <w:pStyle w:val="BodyText"/>
            </w:pPr>
            <w:r w:rsidRPr="00F05F89">
              <w:rPr>
                <w:rStyle w:val="SpecialBold"/>
              </w:rPr>
              <w:t>Group No</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F89" w:rsidP="00F05F89">
            <w:pPr>
              <w:pStyle w:val="BodyText"/>
            </w:pPr>
            <w:r w:rsidRPr="00F05F89">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rPr>
                <w:rStyle w:val="SpecialBold"/>
              </w:rPr>
              <w:t>Item List</w:t>
            </w:r>
          </w:p>
        </w:tc>
      </w:tr>
      <w:tr w:rsidTr="00764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A</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F89" w:rsidP="00F05F89">
            <w:pPr>
              <w:pStyle w:val="BodyText"/>
            </w:pPr>
            <w:r w:rsidRPr="00F05F89">
              <w:t>Appropriate Persons:</w:t>
            </w:r>
          </w:p>
          <w:p w:rsidR="00000000" w:rsidP="00F05F89">
            <w:pPr>
              <w:pStyle w:val="BodyText"/>
              <w:rPr>
                <w:lang w:val="en-NZ"/>
              </w:rPr>
            </w:pPr>
            <w:r w:rsidRPr="00F05F89">
              <w:t>Site manager</w:t>
            </w:r>
          </w:p>
        </w:tc>
      </w:tr>
      <w:tr w:rsidTr="00764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B</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F89" w:rsidP="00F05F89">
            <w:pPr>
              <w:pStyle w:val="BodyText"/>
            </w:pPr>
            <w:r w:rsidRPr="00F05F89">
              <w:t>Equipment:</w:t>
            </w:r>
          </w:p>
          <w:p w:rsidR="00000000" w:rsidRPr="00F05F89" w:rsidP="00F05F89">
            <w:pPr>
              <w:pStyle w:val="BodyText"/>
            </w:pPr>
            <w:r w:rsidRPr="00F05F89">
              <w:t>Hand held recording equipment</w:t>
            </w:r>
          </w:p>
          <w:p w:rsidR="00000000" w:rsidRPr="00F05F89" w:rsidP="00F05F89">
            <w:pPr>
              <w:pStyle w:val="BodyText"/>
            </w:pPr>
            <w:r w:rsidRPr="00F05F89">
              <w:t>Computers/computer software</w:t>
            </w:r>
          </w:p>
          <w:p w:rsidR="00000000" w:rsidRPr="00F05F89" w:rsidP="00F05F89">
            <w:pPr>
              <w:pStyle w:val="BodyText"/>
            </w:pPr>
            <w:r w:rsidRPr="00F05F89">
              <w:t>CD-ROMS</w:t>
            </w:r>
          </w:p>
          <w:p w:rsidR="00000000" w:rsidP="00F05F89">
            <w:pPr>
              <w:pStyle w:val="BodyText"/>
              <w:rPr>
                <w:lang w:val="en-NZ"/>
              </w:rPr>
            </w:pPr>
            <w:r w:rsidRPr="00F05F89">
              <w:t>Hard and floppy disks, drives and back up systems</w:t>
            </w:r>
          </w:p>
        </w:tc>
      </w:tr>
      <w:tr w:rsidTr="00764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C</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F89" w:rsidP="00F05F89">
            <w:pPr>
              <w:pStyle w:val="BodyText"/>
            </w:pPr>
            <w:r w:rsidRPr="00F05F89">
              <w:t>Interpret maps, diagrams and workplace documents</w:t>
            </w:r>
          </w:p>
          <w:p w:rsidR="00000000" w:rsidRPr="00F05F89" w:rsidP="00F05F89">
            <w:pPr>
              <w:pStyle w:val="BodyText"/>
            </w:pPr>
            <w:r w:rsidRPr="00F05F89">
              <w:t>Work utilising relevant OHS legislation, regulations, codes of practice, policies and procedures</w:t>
            </w:r>
          </w:p>
          <w:p w:rsidR="00000000" w:rsidRPr="00F05F89" w:rsidP="00F05F89">
            <w:pPr>
              <w:pStyle w:val="BodyText"/>
            </w:pPr>
            <w:r w:rsidRPr="00F05F89">
              <w:t>Maintain a safe and clean workplace</w:t>
            </w:r>
          </w:p>
          <w:p w:rsidR="00000000" w:rsidRPr="00F05F89" w:rsidP="00F05F89">
            <w:pPr>
              <w:pStyle w:val="BodyText"/>
            </w:pPr>
            <w:r w:rsidRPr="00F05F89">
              <w:t>Work safely with hazardous materials and equipment</w:t>
            </w:r>
          </w:p>
          <w:p w:rsidR="00000000" w:rsidRPr="00F05F89" w:rsidP="00F05F89">
            <w:pPr>
              <w:pStyle w:val="BodyText"/>
            </w:pPr>
            <w:r w:rsidRPr="00F05F89">
              <w:t>Apply safe manual handling techniques</w:t>
            </w:r>
          </w:p>
          <w:p w:rsidR="00000000" w:rsidRPr="00F05F89" w:rsidP="00F05F89">
            <w:pPr>
              <w:pStyle w:val="BodyText"/>
            </w:pPr>
            <w:r w:rsidRPr="00F05F89">
              <w:t>Communicate effectively in the workplace</w:t>
            </w:r>
          </w:p>
          <w:p w:rsidR="00000000" w:rsidP="00F05F89">
            <w:pPr>
              <w:pStyle w:val="BodyText"/>
              <w:rPr>
                <w:lang w:val="en-NZ"/>
              </w:rPr>
            </w:pPr>
            <w:r w:rsidRPr="00F05F89">
              <w:t>Apply basic planning skills</w:t>
            </w:r>
          </w:p>
        </w:tc>
      </w:tr>
      <w:tr w:rsidTr="00764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D</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 xml:space="preserve">Deal with an unplanned event by drawing on essential knowledge and associated skills to provide appropriate solutions incorporated in the holistic assessment with the above listed items </w:t>
            </w:r>
          </w:p>
        </w:tc>
      </w:tr>
      <w:tr w:rsidTr="00764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Context of and specific resources for assessment</w:t>
            </w:r>
          </w:p>
        </w:tc>
        <w:tc>
          <w:tcPr>
            <w:tcW w:w="6300" w:type="dxa"/>
            <w:gridSpan w:val="5"/>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8</w:t>
            </w:r>
            <w:r w:rsidRPr="00F05F89">
              <w:t>.</w:t>
            </w:r>
            <w:r w:rsidRPr="00F05F89">
              <w:rPr>
                <w:rStyle w:val="SpecialBold"/>
              </w:rPr>
              <w:t>3</w:t>
            </w:r>
            <w:r w:rsidRPr="00F05F89">
              <w:t xml:space="preserve">) </w:t>
            </w:r>
          </w:p>
          <w:p w:rsidR="00000000" w:rsidRPr="00F05F89" w:rsidP="00F05F89">
            <w:pPr>
              <w:pStyle w:val="BodyText"/>
            </w:pPr>
            <w:r w:rsidRPr="00F05F89">
              <w:t>This unit sho</w:t>
            </w:r>
            <w:r w:rsidRPr="00F05F89">
              <w:t>uld be assessed as it relates to normal work practice using procedures, information and resources typical of a workplace. This should include:</w:t>
            </w:r>
          </w:p>
          <w:p w:rsidR="00000000" w:rsidRPr="00F05F89" w:rsidP="00F05F89">
            <w:pPr>
              <w:pStyle w:val="ListBullet"/>
            </w:pPr>
            <w:r w:rsidRPr="00F05F89">
              <w:t>OHS policy and work procedures and instructions.</w:t>
            </w:r>
          </w:p>
          <w:p w:rsidR="00000000" w:rsidRPr="00F05F89" w:rsidP="00F05F89">
            <w:pPr>
              <w:pStyle w:val="ListBullet"/>
            </w:pPr>
            <w:r w:rsidRPr="00F05F89">
              <w:t>Suitable work environment, facilities, equipment and materials t</w:t>
            </w:r>
            <w:r w:rsidRPr="00F05F89">
              <w:t>o undertake actual work as prescribed by this Competency Standard Unit.</w:t>
            </w:r>
          </w:p>
          <w:p w:rsidR="00000000" w:rsidRPr="00F05F89" w:rsidP="00F05F89">
            <w:pPr>
              <w:pStyle w:val="ListBullet"/>
            </w:pPr>
            <w:r w:rsidRPr="00F05F89">
              <w:t>Appropriate environmental regulation and work practices.</w:t>
            </w:r>
          </w:p>
          <w:p w:rsidR="00000000" w:rsidRPr="00F05F89" w:rsidP="00F05F89">
            <w:pPr>
              <w:pStyle w:val="ListBullet"/>
            </w:pPr>
            <w:r w:rsidRPr="00F05F89">
              <w:t>Appropriate organisational requirements.</w:t>
            </w:r>
          </w:p>
          <w:p w:rsidR="00000000" w:rsidP="00F05F89">
            <w:pPr>
              <w:pStyle w:val="ListBullet"/>
              <w:rPr>
                <w:lang w:val="en-NZ"/>
              </w:rPr>
            </w:pPr>
            <w:r w:rsidRPr="00F05F89">
              <w:t>Appropriate work environment, equipment and tools.</w:t>
            </w:r>
          </w:p>
        </w:tc>
      </w:tr>
      <w:tr w:rsidTr="00764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In addition to the resources listed above, in Context of and specific resources for assessment, evidence should show demonstrated competency in processing meter reading information using appropriate technology.</w:t>
            </w:r>
          </w:p>
        </w:tc>
      </w:tr>
      <w:tr w:rsidTr="00764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Assessment of this competency must also</w:t>
            </w:r>
            <w:r w:rsidRPr="00F05F89">
              <w:t xml:space="preserve"> be undertaken in either an actual workplace or under a simulated work environment. Assessment must also integrate the Key Competencies.</w:t>
            </w:r>
          </w:p>
        </w:tc>
      </w:tr>
      <w:tr w:rsidTr="00764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Method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8</w:t>
            </w:r>
            <w:r w:rsidRPr="00F05F89">
              <w:t>.</w:t>
            </w:r>
            <w:r w:rsidRPr="00F05F89">
              <w:rPr>
                <w:rStyle w:val="SpecialBold"/>
              </w:rPr>
              <w:t>4</w:t>
            </w:r>
            <w:r w:rsidRPr="00F05F89">
              <w:t xml:space="preserve">) </w:t>
            </w:r>
          </w:p>
          <w:p w:rsidR="00000000" w:rsidRPr="00F05F89" w:rsidP="00F05F89">
            <w:pPr>
              <w:pStyle w:val="BodyText"/>
            </w:pPr>
            <w:r w:rsidRPr="00F05F89">
              <w:t xml:space="preserve">This Competency Standard Unit </w:t>
            </w:r>
            <w:r w:rsidRPr="00F05F89">
              <w:t>shall be assessed by methods given in Volume 1, Part 3 'Assessment Guidelines'.</w:t>
            </w:r>
          </w:p>
          <w:p w:rsidR="00000000" w:rsidP="00F05F89">
            <w:pPr>
              <w:pStyle w:val="BodyText"/>
              <w:rPr>
                <w:lang w:val="en-NZ"/>
              </w:rPr>
            </w:pPr>
            <w:r w:rsidRPr="00F05F89">
              <w:br/>
              <w:t>Note:</w:t>
            </w:r>
            <w:r w:rsidRPr="00F05F89">
              <w:br/>
              <w:t>Competent performance with inherent safe working practices is expected in the Industry to which this Competency Standard Unit applies. This requires that the specified E</w:t>
            </w:r>
            <w:r w:rsidRPr="00F05F89">
              <w:t>ssential Knowledge and Associated Skills are assessed in a structured environment which is primarily intended for learning/assessment and incorporates all necessary equipment and facilities for learners to develop and demonstrate the essential knowledge an</w:t>
            </w:r>
            <w:r w:rsidRPr="00F05F89">
              <w:t>d associated skills described in this unit.</w:t>
            </w:r>
          </w:p>
        </w:tc>
      </w:tr>
      <w:tr w:rsidTr="007646D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Concurrent assessment and relationship with other units</w:t>
            </w:r>
          </w:p>
        </w:tc>
        <w:tc>
          <w:tcPr>
            <w:tcW w:w="6300" w:type="dxa"/>
            <w:gridSpan w:val="5"/>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rPr>
                <w:rStyle w:val="SpecialBold"/>
              </w:rPr>
              <w:t>8</w:t>
            </w:r>
            <w:r w:rsidRPr="00F05F89">
              <w:t>.</w:t>
            </w:r>
            <w:r w:rsidRPr="00F05F89">
              <w:rPr>
                <w:rStyle w:val="SpecialBold"/>
              </w:rPr>
              <w:t>5</w:t>
            </w:r>
            <w:r w:rsidRPr="00F05F89">
              <w:t xml:space="preserve">) </w:t>
            </w:r>
          </w:p>
        </w:tc>
      </w:tr>
      <w:tr w:rsidTr="007646D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There are no recommended concurrent assessments with this unit, however in some cases efficiencies may be gained in terms of learning and assessment effort being concurrently managed with allied Competency Standard Units where listed.</w:t>
            </w:r>
          </w:p>
        </w:tc>
      </w:tr>
      <w:tr w:rsidTr="007646D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UEGNSG102A</w:t>
            </w:r>
          </w:p>
        </w:tc>
        <w:tc>
          <w:tcPr>
            <w:tcW w:w="4680" w:type="dxa"/>
            <w:gridSpan w:val="2"/>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Ca</w:t>
            </w:r>
            <w:r w:rsidRPr="00F05F89">
              <w:t>rry out work activities in a utilities industry work environment</w:t>
            </w:r>
          </w:p>
        </w:tc>
      </w:tr>
      <w:tr w:rsidTr="00764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UEGNSG103A</w:t>
            </w:r>
          </w:p>
        </w:tc>
        <w:tc>
          <w:tcPr>
            <w:tcW w:w="4680" w:type="dxa"/>
            <w:gridSpan w:val="2"/>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 xml:space="preserve">Comply with workplace OHS procedures and practices </w:t>
            </w:r>
          </w:p>
        </w:tc>
      </w:tr>
      <w:tr w:rsidTr="00764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UEGNSG104A</w:t>
            </w:r>
          </w:p>
        </w:tc>
        <w:tc>
          <w:tcPr>
            <w:tcW w:w="4680" w:type="dxa"/>
            <w:gridSpan w:val="2"/>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Comply with environmental policies and procedures</w:t>
            </w:r>
          </w:p>
        </w:tc>
      </w:tr>
      <w:tr w:rsidTr="00764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UEGNSG105A</w:t>
            </w:r>
          </w:p>
        </w:tc>
        <w:tc>
          <w:tcPr>
            <w:tcW w:w="4680" w:type="dxa"/>
            <w:gridSpan w:val="2"/>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t>Establish the work site</w:t>
            </w:r>
          </w:p>
        </w:tc>
      </w:tr>
    </w:tbl>
    <w:p w:rsidR="00000000" w:rsidRPr="00F05F89" w:rsidP="00F05F89">
      <w:pPr>
        <w:pStyle w:val="BodyText"/>
      </w:pPr>
    </w:p>
    <w:tbl>
      <w:tblPr>
        <w:tblW w:w="0" w:type="auto"/>
        <w:tblLayout w:type="fixed"/>
        <w:tblCellMar>
          <w:left w:w="62" w:type="dxa"/>
          <w:right w:w="62" w:type="dxa"/>
        </w:tblCellMar>
        <w:tblLook w:val="0000"/>
      </w:tblPr>
      <w:tblGrid>
        <w:gridCol w:w="2160"/>
        <w:gridCol w:w="4737"/>
        <w:gridCol w:w="1563"/>
      </w:tblGrid>
      <w:tr w:rsidTr="007646D8">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F05F89" w:rsidP="00F05F89">
            <w:pPr>
              <w:pStyle w:val="BodyText"/>
            </w:pPr>
            <w:r w:rsidRPr="00F05F89">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8</w:t>
            </w:r>
            <w:r w:rsidRPr="00F05F89">
              <w:t>.</w:t>
            </w:r>
            <w:r w:rsidRPr="00F05F89">
              <w:rPr>
                <w:rStyle w:val="SpecialBold"/>
              </w:rPr>
              <w:t>6</w:t>
            </w:r>
            <w:r w:rsidRPr="00F05F89">
              <w:t xml:space="preserve">) </w:t>
            </w:r>
          </w:p>
          <w:p w:rsidR="00000000" w:rsidP="00F05F89">
            <w:pPr>
              <w:pStyle w:val="BodyText"/>
              <w:rPr>
                <w:lang w:val="en-NZ"/>
              </w:rPr>
            </w:pPr>
            <w:r w:rsidRPr="00F05F89">
              <w:t>Evidence that particular Key Competencies have been achieved within this Competency Standard Unit is in the context of the following performance criteria of evidence. See Volume 2, Part 4 for an explanation of Key Competencies and le</w:t>
            </w:r>
            <w:r w:rsidRPr="00F05F89">
              <w:t>vels of this Training Package.</w:t>
            </w:r>
          </w:p>
        </w:tc>
      </w:tr>
      <w:tr w:rsidTr="007646D8">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F89" w:rsidP="00F05F89">
            <w:pPr>
              <w:pStyle w:val="BodyText"/>
            </w:pPr>
            <w:r w:rsidRPr="00F05F89">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F89" w:rsidP="00F05F89">
            <w:pPr>
              <w:pStyle w:val="BodyText"/>
            </w:pPr>
            <w:r w:rsidRPr="00F05F89">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rPr>
                <w:rStyle w:val="SpecialBold"/>
              </w:rPr>
              <w:t>Performance Level</w:t>
            </w:r>
          </w:p>
        </w:tc>
      </w:tr>
      <w:tr w:rsidTr="007646D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F89">
            <w:pPr>
              <w:pStyle w:val="BodyText"/>
              <w:rPr>
                <w:lang w:val="en-NZ"/>
              </w:rPr>
            </w:pPr>
            <w:r w:rsidRPr="00F05F8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F89" w:rsidP="00F05F89">
            <w:pPr>
              <w:pStyle w:val="BodyText"/>
            </w:pPr>
          </w:p>
          <w:p w:rsidR="00000000" w:rsidP="00F05F89">
            <w:pPr>
              <w:pStyle w:val="BodyText"/>
              <w:rPr>
                <w:lang w:val="en-NZ"/>
              </w:rPr>
            </w:pPr>
            <w:r w:rsidRPr="00F05F89">
              <w:t>1</w:t>
            </w:r>
          </w:p>
        </w:tc>
      </w:tr>
      <w:tr w:rsidTr="007646D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1.4; 2.6;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p>
        </w:tc>
      </w:tr>
      <w:tr w:rsidTr="007646D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F89">
            <w:pPr>
              <w:pStyle w:val="BodyText"/>
              <w:rPr>
                <w:lang w:val="en-NZ"/>
              </w:rPr>
            </w:pPr>
            <w:r w:rsidRPr="00F05F8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F89" w:rsidP="00F05F89">
            <w:pPr>
              <w:pStyle w:val="BodyText"/>
            </w:pPr>
          </w:p>
          <w:p w:rsidR="00000000" w:rsidP="00F05F89">
            <w:pPr>
              <w:pStyle w:val="BodyText"/>
              <w:rPr>
                <w:lang w:val="en-NZ"/>
              </w:rPr>
            </w:pPr>
            <w:r w:rsidRPr="00F05F89">
              <w:t>2</w:t>
            </w:r>
          </w:p>
        </w:tc>
      </w:tr>
      <w:tr w:rsidTr="007646D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1.5; 2.5; 3.1; 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p>
        </w:tc>
      </w:tr>
      <w:tr w:rsidTr="007646D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F89">
            <w:pPr>
              <w:pStyle w:val="BodyText"/>
              <w:rPr>
                <w:lang w:val="en-NZ"/>
              </w:rPr>
            </w:pPr>
            <w:r w:rsidRPr="00F05F8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F89" w:rsidP="00F05F89">
            <w:pPr>
              <w:pStyle w:val="BodyText"/>
            </w:pPr>
          </w:p>
          <w:p w:rsidR="00000000" w:rsidP="00F05F89">
            <w:pPr>
              <w:pStyle w:val="BodyText"/>
              <w:rPr>
                <w:lang w:val="en-NZ"/>
              </w:rPr>
            </w:pPr>
            <w:r w:rsidRPr="00F05F89">
              <w:t>1</w:t>
            </w:r>
          </w:p>
        </w:tc>
      </w:tr>
      <w:tr w:rsidTr="007646D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1.2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p>
        </w:tc>
      </w:tr>
      <w:tr w:rsidTr="007646D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F89">
            <w:pPr>
              <w:pStyle w:val="BodyText"/>
              <w:rPr>
                <w:lang w:val="en-NZ"/>
              </w:rPr>
            </w:pPr>
            <w:r w:rsidRPr="00F05F8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F89" w:rsidP="00F05F89">
            <w:pPr>
              <w:pStyle w:val="BodyText"/>
            </w:pPr>
          </w:p>
          <w:p w:rsidR="00000000" w:rsidP="00F05F89">
            <w:pPr>
              <w:pStyle w:val="BodyText"/>
              <w:rPr>
                <w:lang w:val="en-NZ"/>
              </w:rPr>
            </w:pPr>
            <w:r w:rsidRPr="00F05F89">
              <w:t>1</w:t>
            </w:r>
          </w:p>
        </w:tc>
      </w:tr>
      <w:tr w:rsidTr="007646D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1.2; 1.4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p>
        </w:tc>
      </w:tr>
      <w:tr w:rsidTr="007646D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F89">
            <w:pPr>
              <w:pStyle w:val="BodyText"/>
              <w:rPr>
                <w:lang w:val="en-NZ"/>
              </w:rPr>
            </w:pPr>
            <w:r w:rsidRPr="00F05F8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F89" w:rsidP="00F05F89">
            <w:pPr>
              <w:pStyle w:val="BodyText"/>
            </w:pPr>
          </w:p>
          <w:p w:rsidR="00000000" w:rsidP="00F05F89">
            <w:pPr>
              <w:pStyle w:val="BodyText"/>
              <w:rPr>
                <w:lang w:val="en-NZ"/>
              </w:rPr>
            </w:pPr>
            <w:r w:rsidRPr="00F05F89">
              <w:t>N/A</w:t>
            </w:r>
          </w:p>
        </w:tc>
      </w:tr>
      <w:tr w:rsidTr="007646D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p>
        </w:tc>
      </w:tr>
      <w:tr w:rsidTr="007646D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F89">
            <w:pPr>
              <w:pStyle w:val="BodyText"/>
              <w:rPr>
                <w:lang w:val="en-NZ"/>
              </w:rPr>
            </w:pPr>
            <w:r w:rsidRPr="00F05F8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F89" w:rsidP="00F05F89">
            <w:pPr>
              <w:pStyle w:val="BodyText"/>
            </w:pPr>
          </w:p>
          <w:p w:rsidR="00000000" w:rsidP="00F05F89">
            <w:pPr>
              <w:pStyle w:val="BodyText"/>
              <w:rPr>
                <w:lang w:val="en-NZ"/>
              </w:rPr>
            </w:pPr>
            <w:r w:rsidRPr="00F05F89">
              <w:t>N/A</w:t>
            </w:r>
          </w:p>
        </w:tc>
      </w:tr>
      <w:tr w:rsidTr="007646D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p>
        </w:tc>
      </w:tr>
      <w:tr w:rsidTr="007646D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F89">
            <w:pPr>
              <w:pStyle w:val="BodyText"/>
              <w:rPr>
                <w:lang w:val="en-NZ"/>
              </w:rPr>
            </w:pPr>
            <w:r w:rsidRPr="00F05F8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F89" w:rsidP="00F05F89">
            <w:pPr>
              <w:pStyle w:val="BodyText"/>
            </w:pPr>
          </w:p>
          <w:p w:rsidR="00000000" w:rsidP="00F05F89">
            <w:pPr>
              <w:pStyle w:val="BodyText"/>
              <w:rPr>
                <w:lang w:val="en-NZ"/>
              </w:rPr>
            </w:pPr>
            <w:r w:rsidRPr="00F05F89">
              <w:t>2</w:t>
            </w:r>
          </w:p>
        </w:tc>
      </w:tr>
      <w:tr w:rsidTr="007646D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1.7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p>
        </w:tc>
      </w:tr>
      <w:tr w:rsidTr="007646D8">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05F89" w:rsidP="00F05F89">
            <w:pPr>
              <w:pStyle w:val="BodyText"/>
            </w:pPr>
          </w:p>
        </w:tc>
      </w:tr>
    </w:tbl>
    <w:p w:rsidR="00000000" w:rsidRPr="00F05F89" w:rsidP="00F05F89">
      <w:pPr>
        <w:pStyle w:val="BodyText"/>
      </w:pPr>
    </w:p>
    <w:tbl>
      <w:tblPr>
        <w:tblW w:w="0" w:type="auto"/>
        <w:tblLayout w:type="fixed"/>
        <w:tblCellMar>
          <w:left w:w="62" w:type="dxa"/>
          <w:right w:w="62" w:type="dxa"/>
        </w:tblCellMar>
        <w:tblLook w:val="0000"/>
      </w:tblPr>
      <w:tblGrid>
        <w:gridCol w:w="326"/>
        <w:gridCol w:w="1834"/>
        <w:gridCol w:w="6300"/>
      </w:tblGrid>
      <w:tr w:rsidTr="007646D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05F89" w:rsidP="00F05F89">
            <w:pPr>
              <w:pStyle w:val="BodyText"/>
            </w:pPr>
            <w:r w:rsidRPr="00F05F89">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F05F89" w:rsidP="00F05F89">
            <w:pPr>
              <w:pStyle w:val="BodyText"/>
            </w:pPr>
            <w:r w:rsidRPr="00F05F89">
              <w:rPr>
                <w:rStyle w:val="SpecialBold"/>
              </w:rPr>
              <w:t>8</w:t>
            </w:r>
            <w:r w:rsidRPr="00F05F89">
              <w:t>.</w:t>
            </w:r>
            <w:r w:rsidRPr="00F05F89">
              <w:rPr>
                <w:rStyle w:val="SpecialBold"/>
              </w:rPr>
              <w:t>7</w:t>
            </w:r>
            <w:r w:rsidRPr="00F05F89">
              <w:t xml:space="preserve">) </w:t>
            </w:r>
          </w:p>
          <w:p w:rsidR="00000000" w:rsidP="00F05F89">
            <w:pPr>
              <w:pStyle w:val="BodyText"/>
              <w:rPr>
                <w:lang w:val="en-NZ"/>
              </w:rPr>
            </w:pPr>
            <w:r w:rsidRPr="00F05F89">
              <w:t xml:space="preserve">Evidence that competency in this unit incorporates skills enabling employment is in the context of the following performance. See Volume 2, Part 5 for definitions and an explanation of skills enabling employment. </w:t>
            </w:r>
          </w:p>
        </w:tc>
      </w:tr>
      <w:tr w:rsidTr="007646D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F89" w:rsidP="00F05F89">
            <w:pPr>
              <w:pStyle w:val="BodyText"/>
            </w:pPr>
            <w:r w:rsidRPr="00F05F89">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rPr>
                <w:rStyle w:val="SpecialBold"/>
              </w:rPr>
              <w:t>Example of Applica</w:t>
            </w:r>
            <w:r w:rsidRPr="00F05F89">
              <w:rPr>
                <w:rStyle w:val="SpecialBold"/>
              </w:rPr>
              <w:t>tion</w:t>
            </w:r>
          </w:p>
        </w:tc>
      </w:tr>
      <w:tr w:rsidTr="007646D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F89">
            <w:pPr>
              <w:pStyle w:val="BodyText"/>
              <w:rPr>
                <w:lang w:val="en-NZ"/>
              </w:rPr>
            </w:pPr>
            <w:r w:rsidRPr="00F05F89">
              <w:t>Refer to the following Performance Criteria for examples of application:</w:t>
            </w:r>
          </w:p>
        </w:tc>
      </w:tr>
      <w:tr w:rsidTr="007646D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All</w:t>
            </w:r>
          </w:p>
        </w:tc>
      </w:tr>
      <w:tr w:rsidTr="007646D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F89">
            <w:pPr>
              <w:pStyle w:val="BodyText"/>
              <w:rPr>
                <w:lang w:val="en-NZ"/>
              </w:rPr>
            </w:pPr>
            <w:r w:rsidRPr="00F05F89">
              <w:t>Refer to the following Performance Criteria for examples of application:</w:t>
            </w:r>
          </w:p>
        </w:tc>
      </w:tr>
      <w:tr w:rsidTr="007646D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1.1; 1.5</w:t>
            </w:r>
          </w:p>
        </w:tc>
      </w:tr>
      <w:tr w:rsidTr="007646D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F89">
            <w:pPr>
              <w:pStyle w:val="BodyText"/>
              <w:rPr>
                <w:lang w:val="en-NZ"/>
              </w:rPr>
            </w:pPr>
            <w:r w:rsidRPr="00F05F89">
              <w:t>Refer to the following Performance Criteria for examples of application:</w:t>
            </w:r>
          </w:p>
        </w:tc>
      </w:tr>
      <w:tr w:rsidTr="007646D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3.1; 3.6</w:t>
            </w:r>
          </w:p>
        </w:tc>
      </w:tr>
      <w:tr w:rsidTr="007646D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F89">
            <w:pPr>
              <w:pStyle w:val="BodyText"/>
              <w:rPr>
                <w:lang w:val="en-NZ"/>
              </w:rPr>
            </w:pPr>
            <w:r w:rsidRPr="00F05F89">
              <w:t>Refer to the following Performance Criteria for examples of application:</w:t>
            </w:r>
          </w:p>
        </w:tc>
      </w:tr>
      <w:tr w:rsidTr="007646D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1.2; 2.5; 2.8; 3.3</w:t>
            </w:r>
          </w:p>
        </w:tc>
      </w:tr>
      <w:tr w:rsidTr="007646D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F89">
            <w:pPr>
              <w:pStyle w:val="BodyText"/>
              <w:rPr>
                <w:lang w:val="en-NZ"/>
              </w:rPr>
            </w:pPr>
            <w:r w:rsidRPr="00F05F89">
              <w:t>Refer to the following Performance Criteria for examples of application:</w:t>
            </w:r>
          </w:p>
        </w:tc>
      </w:tr>
      <w:tr w:rsidTr="007646D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1.4; 1.5; 1.7</w:t>
            </w:r>
          </w:p>
        </w:tc>
      </w:tr>
      <w:tr w:rsidTr="007646D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F89">
            <w:pPr>
              <w:pStyle w:val="BodyText"/>
              <w:rPr>
                <w:lang w:val="en-NZ"/>
              </w:rPr>
            </w:pPr>
            <w:r w:rsidRPr="00F05F89">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F89">
            <w:pPr>
              <w:pStyle w:val="BodyText"/>
              <w:rPr>
                <w:lang w:val="en-NZ"/>
              </w:rPr>
            </w:pPr>
            <w:r w:rsidRPr="00F05F89">
              <w:t>Refer to the following Performance Criteria for examples of application:</w:t>
            </w:r>
          </w:p>
        </w:tc>
      </w:tr>
      <w:tr w:rsidTr="007646D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05F89" w:rsidP="00F05F89">
            <w:pPr>
              <w:pStyle w:val="BodyText"/>
            </w:pPr>
            <w:r w:rsidRPr="00F05F89">
              <w:t>2.6; 2.7</w:t>
            </w:r>
          </w:p>
        </w:tc>
      </w:tr>
    </w:tbl>
    <w:p w:rsidR="007646D8" w:rsidP="00F05F89">
      <w:pPr>
        <w:pStyle w:val="BodyText"/>
      </w:pPr>
    </w:p>
    <w:p w:rsidR="007646D8" w:rsidP="00F05F89">
      <w:pPr>
        <w:pStyle w:val="BodyText"/>
      </w:pPr>
    </w:p>
    <w:p w:rsidR="00000000" w:rsidRPr="00F05F89" w:rsidP="00F05F89">
      <w:pPr>
        <w:pStyle w:val="Heading1"/>
      </w:pPr>
      <w:bookmarkStart w:id="11" w:name="O_255827"/>
      <w:bookmarkEnd w:id="11"/>
      <w:r w:rsidRPr="00F05F89">
        <w:t>Range Statement</w:t>
      </w:r>
    </w:p>
    <w:tbl>
      <w:tblPr>
        <w:tblW w:w="0" w:type="auto"/>
        <w:tblLayout w:type="fixed"/>
        <w:tblCellMar>
          <w:left w:w="62" w:type="dxa"/>
          <w:right w:w="62" w:type="dxa"/>
        </w:tblCellMar>
        <w:tblLook w:val="0000"/>
      </w:tblPr>
      <w:tblGrid>
        <w:gridCol w:w="8460"/>
      </w:tblGrid>
      <w:tr w:rsidTr="007646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rPr>
                <w:rStyle w:val="SpecialBold"/>
              </w:rPr>
              <w:t>RANGE STATEMENT</w:t>
            </w:r>
          </w:p>
        </w:tc>
      </w:tr>
      <w:tr w:rsidTr="007646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rPr>
                <w:rStyle w:val="SpecialBold"/>
              </w:rPr>
              <w:t>7</w:t>
            </w:r>
            <w:r w:rsidRPr="00F05F89">
              <w:t>) This relates to the competency standard unit as a whole providing the range of contexts and conditions to which the performance criteria apply. It allows for different work environments and situations that will affect performance.</w:t>
            </w:r>
          </w:p>
        </w:tc>
      </w:tr>
      <w:tr w:rsidTr="007646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t>This Competency Standa</w:t>
            </w:r>
            <w:r w:rsidRPr="00F05F89">
              <w:t>rd Unit shall/may be demonstrated in relation to processing meter reading information using appropriate technology.</w:t>
            </w:r>
          </w:p>
          <w:p w:rsidR="00000000" w:rsidRPr="00F05F89" w:rsidP="00F05F89">
            <w:pPr>
              <w:pStyle w:val="BodyText"/>
            </w:pPr>
            <w:r w:rsidRPr="00F05F89">
              <w:t>The following constants and variables included in the element/performance criteria in this unit are fully described in the Definitions Secti</w:t>
            </w:r>
            <w:r w:rsidRPr="00F05F89">
              <w:t>on of this volume and form an integral part of the Range Statement of this unit:</w:t>
            </w:r>
          </w:p>
          <w:p w:rsidR="00000000" w:rsidRPr="00F05F89" w:rsidP="00F05F89">
            <w:pPr>
              <w:pStyle w:val="BodyText"/>
            </w:pPr>
            <w:r w:rsidRPr="00F05F89">
              <w:t>Services (2)</w:t>
            </w:r>
          </w:p>
          <w:p w:rsidR="00000000" w:rsidRPr="00F05F89" w:rsidP="00F05F89">
            <w:pPr>
              <w:pStyle w:val="BodyText"/>
            </w:pPr>
            <w:r w:rsidRPr="00F05F89">
              <w:t>Appropriate persons (2)</w:t>
            </w:r>
          </w:p>
          <w:p w:rsidR="00000000" w:rsidRPr="00F05F89" w:rsidP="00F05F89">
            <w:pPr>
              <w:pStyle w:val="BodyText"/>
            </w:pPr>
            <w:r w:rsidRPr="00F05F89">
              <w:t>Tools and equipment (2)</w:t>
            </w:r>
          </w:p>
          <w:p w:rsidR="00000000" w:rsidRPr="00F05F89" w:rsidP="00F05F89">
            <w:pPr>
              <w:pStyle w:val="BodyText"/>
            </w:pPr>
            <w:r w:rsidRPr="00F05F89">
              <w:t>Legislative requirements (2)</w:t>
            </w:r>
          </w:p>
        </w:tc>
      </w:tr>
    </w:tbl>
    <w:p w:rsidR="007646D8" w:rsidP="00F05F89">
      <w:pPr>
        <w:pStyle w:val="BodyText"/>
      </w:pPr>
    </w:p>
    <w:p w:rsidR="007646D8" w:rsidP="00F05F89">
      <w:pPr>
        <w:pStyle w:val="BodyText"/>
      </w:pPr>
    </w:p>
    <w:p w:rsidR="00000000" w:rsidRPr="00F05F89" w:rsidP="00F05F89">
      <w:pPr>
        <w:pStyle w:val="Heading1"/>
      </w:pPr>
      <w:bookmarkStart w:id="12" w:name="O_296840"/>
      <w:bookmarkEnd w:id="12"/>
      <w:r w:rsidRPr="00F05F89">
        <w:t>Unit Sector(s)</w:t>
      </w:r>
    </w:p>
    <w:p w:rsidR="00000000" w:rsidRPr="00F05F89" w:rsidP="00F05F89">
      <w:pPr>
        <w:pStyle w:val="BodyText"/>
      </w:pPr>
      <w:r w:rsidRPr="00F05F89">
        <w:t>Not Applicable</w:t>
      </w:r>
    </w:p>
    <w:p w:rsidR="00000000" w:rsidRPr="00F05F89" w:rsidP="00F05F89">
      <w:pPr>
        <w:pStyle w:val="AllowPageBreak"/>
      </w:pPr>
    </w:p>
    <w:p w:rsidR="00000000" w:rsidRPr="00F05F89" w:rsidP="00F05F89">
      <w:pPr>
        <w:pStyle w:val="Heading1"/>
      </w:pPr>
      <w:bookmarkStart w:id="13" w:name="O_229698"/>
      <w:bookmarkEnd w:id="13"/>
      <w:r w:rsidRPr="00F05F89">
        <w:t>Li</w:t>
      </w:r>
      <w:r w:rsidRPr="00F05F89">
        <w:t>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646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2</w:t>
            </w:r>
            <w:r w:rsidRPr="00F05F89">
              <w:t>.</w:t>
            </w:r>
            <w:r w:rsidRPr="00F05F89">
              <w:rPr>
                <w:rStyle w:val="SpecialBold"/>
              </w:rPr>
              <w:t>2</w:t>
            </w:r>
            <w:r w:rsidRPr="00F05F89">
              <w:t xml:space="preserve">) </w:t>
            </w:r>
          </w:p>
          <w:p w:rsidR="00000000" w:rsidP="00F05F89">
            <w:pPr>
              <w:pStyle w:val="BodyText"/>
              <w:rPr>
                <w:lang w:val="en-NZ"/>
              </w:rPr>
            </w:pPr>
            <w:r w:rsidRPr="00F05F89">
              <w:t>Participants are best equipped to achieve this unit if they have reading, writing and numeracy skills indicated by the following scales. Description of each scale is given in Volume 2, Part 3 'L</w:t>
            </w:r>
            <w:r w:rsidRPr="00F05F89">
              <w:t>iteracy and Numeracy'</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Reading</w:t>
            </w:r>
          </w:p>
        </w:tc>
        <w:tc>
          <w:tcPr>
            <w:tcW w:w="805"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3</w:t>
            </w:r>
          </w:p>
        </w:tc>
        <w:tc>
          <w:tcPr>
            <w:tcW w:w="1184"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Writing</w:t>
            </w:r>
          </w:p>
        </w:tc>
        <w:tc>
          <w:tcPr>
            <w:tcW w:w="805"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3</w:t>
            </w:r>
          </w:p>
        </w:tc>
        <w:tc>
          <w:tcPr>
            <w:tcW w:w="1172"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t>Numeracy</w:t>
            </w:r>
          </w:p>
        </w:tc>
        <w:tc>
          <w:tcPr>
            <w:tcW w:w="805"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t>3</w:t>
            </w:r>
          </w:p>
        </w:tc>
      </w:tr>
    </w:tbl>
    <w:p w:rsidR="007646D8" w:rsidP="00F05F89">
      <w:pPr>
        <w:pStyle w:val="BodyText"/>
      </w:pPr>
    </w:p>
    <w:p w:rsidR="007646D8" w:rsidP="00F05F89">
      <w:pPr>
        <w:pStyle w:val="BodyText"/>
      </w:pPr>
    </w:p>
    <w:p w:rsidR="00000000" w:rsidRPr="00F05F89" w:rsidP="00F05F89">
      <w:pPr>
        <w:pStyle w:val="Heading1"/>
      </w:pPr>
      <w:bookmarkStart w:id="14" w:name="O_229701"/>
      <w:bookmarkEnd w:id="14"/>
      <w:r w:rsidRPr="00F05F89">
        <w:t>Competency Field</w:t>
      </w:r>
    </w:p>
    <w:tbl>
      <w:tblPr>
        <w:tblW w:w="0" w:type="auto"/>
        <w:tblLayout w:type="fixed"/>
        <w:tblCellMar>
          <w:left w:w="62" w:type="dxa"/>
          <w:right w:w="62" w:type="dxa"/>
        </w:tblCellMar>
        <w:tblLook w:val="0000"/>
      </w:tblPr>
      <w:tblGrid>
        <w:gridCol w:w="2700"/>
        <w:gridCol w:w="5760"/>
      </w:tblGrid>
      <w:tr w:rsidTr="007646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05F89">
            <w:pPr>
              <w:pStyle w:val="BodyText"/>
              <w:rPr>
                <w:lang w:val="en-NZ"/>
              </w:rPr>
            </w:pPr>
            <w:r w:rsidRPr="00F05F89">
              <w:rPr>
                <w:rStyle w:val="SpecialBold"/>
              </w:rPr>
              <w:t>4</w:t>
            </w:r>
            <w:r w:rsidRPr="00F05F89">
              <w:t xml:space="preserve">) </w:t>
            </w:r>
          </w:p>
        </w:tc>
      </w:tr>
      <w:tr w:rsidTr="007646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5F89" w:rsidP="00F05F89">
            <w:pPr>
              <w:pStyle w:val="BodyText"/>
            </w:pPr>
            <w:r w:rsidRPr="00F05F89">
              <w:t>Support services.</w:t>
            </w:r>
          </w:p>
        </w:tc>
      </w:tr>
    </w:tbl>
    <w:p w:rsidR="007646D8" w:rsidP="00F05F89">
      <w:pPr>
        <w:pStyle w:val="BodyText"/>
      </w:pPr>
    </w:p>
    <w:p w:rsidR="007646D8" w:rsidP="00F05F89">
      <w:pPr>
        <w:pStyle w:val="BodyText"/>
      </w:pPr>
    </w:p>
    <w:p w:rsidR="00000000" w:rsidRPr="00F05F89" w:rsidP="00F05F89"/>
    <w:sectPr w:rsidSect="00F05F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F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46D8" w:rsidP="007646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F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D8" w:rsidP="00F05F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646D8" w:rsidP="00F05F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646D8" w:rsidP="00F05F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F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F89" w:rsidRPr="007646D8" w:rsidP="007646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F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D8" w:rsidRPr="002D2AF8" w:rsidP="00F05F89">
    <w:pPr>
      <w:pStyle w:val="Header"/>
      <w:framePr w:wrap="around"/>
    </w:pPr>
    <w:r>
      <w:fldChar w:fldCharType="begin"/>
    </w:r>
    <w:r>
      <w:instrText xml:space="preserve"> TITLE   \* MERGEFORMAT </w:instrText>
    </w:r>
    <w:r>
      <w:fldChar w:fldCharType="separate"/>
    </w:r>
    <w:r>
      <w:t>UEGNSG701A Process meter reading information using appropriate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646D8" w:rsidP="00F05F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3231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7A1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589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F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5F89"/>
    <w:pPr>
      <w:spacing w:before="360" w:after="60"/>
      <w:outlineLvl w:val="0"/>
    </w:pPr>
    <w:rPr>
      <w:sz w:val="32"/>
    </w:rPr>
  </w:style>
  <w:style w:type="paragraph" w:styleId="Heading2">
    <w:name w:val="heading 2"/>
    <w:basedOn w:val="HeadingBase"/>
    <w:next w:val="BodyText"/>
    <w:link w:val="Heading2Char"/>
    <w:qFormat/>
    <w:rsid w:val="00F05F89"/>
    <w:pPr>
      <w:keepLines/>
      <w:spacing w:before="240" w:after="120"/>
      <w:outlineLvl w:val="1"/>
    </w:pPr>
    <w:rPr>
      <w:sz w:val="28"/>
      <w:szCs w:val="40"/>
    </w:rPr>
  </w:style>
  <w:style w:type="paragraph" w:styleId="Heading3">
    <w:name w:val="heading 3"/>
    <w:basedOn w:val="HeadingBase"/>
    <w:next w:val="BodyText"/>
    <w:link w:val="Heading3Char"/>
    <w:qFormat/>
    <w:rsid w:val="00F05F89"/>
    <w:pPr>
      <w:spacing w:before="180" w:after="120"/>
      <w:outlineLvl w:val="2"/>
    </w:pPr>
    <w:rPr>
      <w:spacing w:val="-10"/>
      <w:kern w:val="32"/>
    </w:rPr>
  </w:style>
  <w:style w:type="paragraph" w:styleId="Heading4">
    <w:name w:val="heading 4"/>
    <w:basedOn w:val="HeadingBase"/>
    <w:next w:val="BodyText"/>
    <w:link w:val="Heading4Char"/>
    <w:qFormat/>
    <w:rsid w:val="00F05F89"/>
    <w:pPr>
      <w:spacing w:before="160" w:after="120"/>
      <w:outlineLvl w:val="3"/>
    </w:pPr>
    <w:rPr>
      <w:sz w:val="22"/>
    </w:rPr>
  </w:style>
  <w:style w:type="paragraph" w:styleId="Heading5">
    <w:name w:val="heading 5"/>
    <w:basedOn w:val="HeadingBase"/>
    <w:next w:val="Normal"/>
    <w:link w:val="Heading5Char"/>
    <w:qFormat/>
    <w:rsid w:val="00F05F89"/>
    <w:pPr>
      <w:spacing w:before="80"/>
      <w:outlineLvl w:val="4"/>
    </w:pPr>
    <w:rPr>
      <w:color w:val="918585"/>
      <w:sz w:val="20"/>
    </w:rPr>
  </w:style>
  <w:style w:type="paragraph" w:styleId="Heading6">
    <w:name w:val="heading 6"/>
    <w:basedOn w:val="HeadingBase"/>
    <w:next w:val="Normal"/>
    <w:link w:val="Heading6Char"/>
    <w:qFormat/>
    <w:rsid w:val="00F05F89"/>
    <w:pPr>
      <w:spacing w:before="60"/>
      <w:outlineLvl w:val="5"/>
    </w:pPr>
    <w:rPr>
      <w:color w:val="918585"/>
      <w:sz w:val="20"/>
    </w:rPr>
  </w:style>
  <w:style w:type="paragraph" w:styleId="Heading7">
    <w:name w:val="heading 7"/>
    <w:basedOn w:val="Normal"/>
    <w:next w:val="Normal"/>
    <w:link w:val="Heading7Char"/>
    <w:qFormat/>
    <w:rsid w:val="00F05F89"/>
    <w:pPr>
      <w:ind w:left="720"/>
      <w:outlineLvl w:val="6"/>
    </w:pPr>
    <w:rPr>
      <w:i/>
    </w:rPr>
  </w:style>
  <w:style w:type="paragraph" w:styleId="Heading8">
    <w:name w:val="heading 8"/>
    <w:basedOn w:val="Normal"/>
    <w:next w:val="Normal"/>
    <w:link w:val="Heading8Char"/>
    <w:qFormat/>
    <w:rsid w:val="00F05F89"/>
    <w:pPr>
      <w:ind w:left="720"/>
      <w:outlineLvl w:val="7"/>
    </w:pPr>
    <w:rPr>
      <w:i/>
    </w:rPr>
  </w:style>
  <w:style w:type="paragraph" w:styleId="Heading9">
    <w:name w:val="heading 9"/>
    <w:basedOn w:val="Normal"/>
    <w:next w:val="Normal"/>
    <w:link w:val="Heading9Char"/>
    <w:qFormat/>
    <w:rsid w:val="00F05F89"/>
    <w:pPr>
      <w:ind w:left="720"/>
      <w:outlineLvl w:val="8"/>
    </w:pPr>
    <w:rPr>
      <w:i/>
    </w:rPr>
  </w:style>
  <w:style w:type="character" w:default="1" w:styleId="DefaultParagraphFont">
    <w:name w:val="Default Paragraph Font"/>
    <w:uiPriority w:val="1"/>
    <w:unhideWhenUsed/>
    <w:rsid w:val="00F05F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F89"/>
  </w:style>
  <w:style w:type="character" w:customStyle="1" w:styleId="Heading1Char">
    <w:name w:val="Heading 1 Char"/>
    <w:basedOn w:val="DefaultParagraphFont"/>
    <w:link w:val="Heading1"/>
    <w:rsid w:val="00F05F89"/>
    <w:rPr>
      <w:rFonts w:ascii="Times New Roman" w:eastAsia="Times New Roman" w:hAnsi="Times New Roman" w:cs="Times New Roman"/>
      <w:b/>
      <w:sz w:val="32"/>
      <w:szCs w:val="20"/>
      <w:lang w:eastAsia="en-US"/>
    </w:rPr>
  </w:style>
  <w:style w:type="paragraph" w:styleId="BodyText">
    <w:name w:val="Body Text"/>
    <w:basedOn w:val="Normal"/>
    <w:link w:val="BodyTextChar"/>
    <w:rsid w:val="00F05F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5F89"/>
    <w:rPr>
      <w:rFonts w:ascii="Times New Roman" w:eastAsia="Times New Roman" w:hAnsi="Times New Roman" w:cs="Times New Roman"/>
      <w:sz w:val="24"/>
      <w:lang w:eastAsia="en-US"/>
    </w:rPr>
  </w:style>
  <w:style w:type="paragraph" w:styleId="Footer">
    <w:name w:val="footer"/>
    <w:basedOn w:val="Normal"/>
    <w:link w:val="FooterChar"/>
    <w:rsid w:val="00F05F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F89"/>
    <w:rPr>
      <w:rFonts w:ascii="Times New Roman" w:eastAsia="Times New Roman" w:hAnsi="Times New Roman" w:cs="Times New Roman"/>
      <w:sz w:val="16"/>
      <w:lang w:eastAsia="en-US"/>
    </w:rPr>
  </w:style>
  <w:style w:type="paragraph" w:styleId="ListBullet">
    <w:name w:val="List Bullet"/>
    <w:basedOn w:val="List"/>
    <w:rsid w:val="00F05F89"/>
    <w:pPr>
      <w:numPr>
        <w:numId w:val="13"/>
      </w:numPr>
      <w:tabs>
        <w:tab w:val="clear" w:pos="340"/>
      </w:tabs>
      <w:spacing w:before="40" w:after="40"/>
    </w:pPr>
  </w:style>
  <w:style w:type="character" w:customStyle="1" w:styleId="SpecialBold">
    <w:name w:val="Special Bold"/>
    <w:basedOn w:val="DefaultParagraphFont"/>
    <w:rsid w:val="00F05F89"/>
    <w:rPr>
      <w:b/>
      <w:spacing w:val="0"/>
    </w:rPr>
  </w:style>
  <w:style w:type="paragraph" w:styleId="ListBullet2">
    <w:name w:val="List Bullet 2"/>
    <w:basedOn w:val="List2"/>
    <w:rsid w:val="00F05F89"/>
    <w:pPr>
      <w:numPr>
        <w:numId w:val="14"/>
      </w:numPr>
      <w:tabs>
        <w:tab w:val="clear" w:pos="680"/>
      </w:tabs>
    </w:pPr>
  </w:style>
  <w:style w:type="paragraph" w:customStyle="1" w:styleId="SuperHeading">
    <w:name w:val="SuperHeading"/>
    <w:basedOn w:val="Normal"/>
    <w:rsid w:val="00F05F89"/>
    <w:pPr>
      <w:spacing w:before="240" w:after="120"/>
      <w:outlineLvl w:val="0"/>
    </w:pPr>
    <w:rPr>
      <w:rFonts w:ascii="Times New Roman" w:hAnsi="Times New Roman"/>
      <w:b/>
      <w:sz w:val="28"/>
    </w:rPr>
  </w:style>
  <w:style w:type="paragraph" w:customStyle="1" w:styleId="AllowPageBreak">
    <w:name w:val="AllowPageBreak"/>
    <w:rsid w:val="00F05F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5F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F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F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F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F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F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5F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5F89"/>
    <w:rPr>
      <w:rFonts w:ascii="Courier New" w:eastAsia="Times New Roman" w:hAnsi="Courier New" w:cs="Times New Roman"/>
      <w:i/>
      <w:szCs w:val="20"/>
      <w:lang w:eastAsia="en-US"/>
    </w:rPr>
  </w:style>
  <w:style w:type="paragraph" w:customStyle="1" w:styleId="HeadingBase">
    <w:name w:val="Heading Base"/>
    <w:rsid w:val="00F05F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F89"/>
    <w:pPr>
      <w:tabs>
        <w:tab w:val="right" w:leader="dot" w:pos="9072"/>
      </w:tabs>
      <w:ind w:left="567"/>
    </w:pPr>
    <w:rPr>
      <w:szCs w:val="22"/>
    </w:rPr>
  </w:style>
  <w:style w:type="paragraph" w:customStyle="1" w:styleId="TOCBase">
    <w:name w:val="TOC Base"/>
    <w:rsid w:val="00F05F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F89"/>
    <w:pPr>
      <w:tabs>
        <w:tab w:val="right" w:leader="dot" w:pos="9072"/>
      </w:tabs>
      <w:spacing w:before="40" w:after="40"/>
      <w:ind w:left="284"/>
    </w:pPr>
    <w:rPr>
      <w:rFonts w:ascii="Times New Roman" w:hAnsi="Times New Roman"/>
    </w:rPr>
  </w:style>
  <w:style w:type="paragraph" w:styleId="TOC1">
    <w:name w:val="toc 1"/>
    <w:basedOn w:val="TOCBase"/>
    <w:next w:val="Normal"/>
    <w:rsid w:val="00F05F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5F89"/>
    <w:pPr>
      <w:spacing w:before="5040"/>
      <w:jc w:val="center"/>
    </w:pPr>
    <w:rPr>
      <w:sz w:val="48"/>
      <w:szCs w:val="72"/>
      <w:lang w:val="en-US"/>
    </w:rPr>
  </w:style>
  <w:style w:type="character" w:customStyle="1" w:styleId="TitleChar">
    <w:name w:val="Title Char"/>
    <w:basedOn w:val="DefaultParagraphFont"/>
    <w:link w:val="Title"/>
    <w:rsid w:val="00F05F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F89"/>
    <w:pPr>
      <w:tabs>
        <w:tab w:val="left" w:pos="3600"/>
        <w:tab w:val="left" w:pos="3958"/>
      </w:tabs>
    </w:pPr>
  </w:style>
  <w:style w:type="paragraph" w:styleId="List">
    <w:name w:val="List"/>
    <w:basedOn w:val="BodyText"/>
    <w:next w:val="BodyText"/>
    <w:rsid w:val="00F05F89"/>
    <w:pPr>
      <w:tabs>
        <w:tab w:val="left" w:pos="340"/>
      </w:tabs>
      <w:spacing w:before="60" w:after="60"/>
      <w:ind w:left="340" w:hanging="340"/>
    </w:pPr>
  </w:style>
  <w:style w:type="paragraph" w:customStyle="1" w:styleId="Note">
    <w:name w:val="Note"/>
    <w:basedOn w:val="BodyText"/>
    <w:rsid w:val="00F05F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F89"/>
    <w:pPr>
      <w:framePr w:wrap="auto" w:hAnchor="text" w:y="6049"/>
    </w:pPr>
    <w:rPr>
      <w:color w:val="000000"/>
      <w:sz w:val="40"/>
    </w:rPr>
  </w:style>
  <w:style w:type="paragraph" w:customStyle="1" w:styleId="TOCTitle">
    <w:name w:val="TOCTitle"/>
    <w:basedOn w:val="Heading1"/>
    <w:rsid w:val="00F05F89"/>
    <w:pPr>
      <w:spacing w:after="240"/>
      <w:jc w:val="center"/>
      <w:outlineLvl w:val="9"/>
    </w:pPr>
    <w:rPr>
      <w:caps/>
    </w:rPr>
  </w:style>
  <w:style w:type="paragraph" w:customStyle="1" w:styleId="Version">
    <w:name w:val="Version"/>
    <w:rsid w:val="00F05F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5F89"/>
    <w:pPr>
      <w:keepNext w:val="0"/>
      <w:tabs>
        <w:tab w:val="right" w:pos="4176"/>
      </w:tabs>
      <w:ind w:left="198" w:hanging="198"/>
    </w:pPr>
    <w:rPr>
      <w:rFonts w:ascii="Garamond" w:hAnsi="Garamond"/>
    </w:rPr>
  </w:style>
  <w:style w:type="paragraph" w:styleId="IndexHeading">
    <w:name w:val="index heading"/>
    <w:basedOn w:val="Normal"/>
    <w:next w:val="Index1"/>
    <w:semiHidden/>
    <w:rsid w:val="00F05F89"/>
    <w:pPr>
      <w:spacing w:before="120" w:after="120"/>
    </w:pPr>
    <w:rPr>
      <w:rFonts w:ascii="Arial" w:hAnsi="Arial"/>
      <w:b/>
      <w:color w:val="918585"/>
      <w:sz w:val="24"/>
    </w:rPr>
  </w:style>
  <w:style w:type="paragraph" w:styleId="Header">
    <w:name w:val="header"/>
    <w:basedOn w:val="Normal"/>
    <w:link w:val="HeaderChar"/>
    <w:rsid w:val="00F05F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F89"/>
    <w:rPr>
      <w:rFonts w:ascii="Times New Roman" w:eastAsia="Times New Roman" w:hAnsi="Times New Roman" w:cs="Times New Roman"/>
      <w:sz w:val="16"/>
      <w:szCs w:val="20"/>
      <w:lang w:val="en-GB" w:eastAsia="en-US"/>
    </w:rPr>
  </w:style>
  <w:style w:type="paragraph" w:customStyle="1" w:styleId="Chapter">
    <w:name w:val="Chapter"/>
    <w:basedOn w:val="Normal"/>
    <w:rsid w:val="00F05F89"/>
    <w:pPr>
      <w:spacing w:before="240"/>
    </w:pPr>
    <w:rPr>
      <w:rFonts w:ascii="Times New Roman" w:hAnsi="Times New Roman"/>
      <w:smallCaps/>
      <w:spacing w:val="80"/>
      <w:sz w:val="28"/>
    </w:rPr>
  </w:style>
  <w:style w:type="paragraph" w:customStyle="1" w:styleId="InChapter">
    <w:name w:val="InChapter"/>
    <w:basedOn w:val="Heading3"/>
    <w:rsid w:val="00F05F89"/>
    <w:pPr>
      <w:spacing w:after="240"/>
      <w:outlineLvl w:val="9"/>
    </w:pPr>
    <w:rPr>
      <w:noProof/>
    </w:rPr>
  </w:style>
  <w:style w:type="paragraph" w:styleId="Index2">
    <w:name w:val="index 2"/>
    <w:basedOn w:val="Normal"/>
    <w:next w:val="Normal"/>
    <w:semiHidden/>
    <w:rsid w:val="00F05F89"/>
    <w:pPr>
      <w:tabs>
        <w:tab w:val="right" w:pos="4176"/>
      </w:tabs>
      <w:ind w:left="568" w:hanging="284"/>
    </w:pPr>
    <w:rPr>
      <w:rFonts w:ascii="Garamond" w:hAnsi="Garamond"/>
    </w:rPr>
  </w:style>
  <w:style w:type="paragraph" w:customStyle="1" w:styleId="Byline">
    <w:name w:val="Byline"/>
    <w:rsid w:val="00F05F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F89"/>
    <w:pPr>
      <w:tabs>
        <w:tab w:val="clear" w:pos="3600"/>
        <w:tab w:val="clear" w:pos="3958"/>
      </w:tabs>
      <w:jc w:val="right"/>
    </w:pPr>
  </w:style>
  <w:style w:type="character" w:styleId="Emphasis">
    <w:name w:val="Emphasis"/>
    <w:basedOn w:val="DefaultParagraphFont"/>
    <w:qFormat/>
    <w:rsid w:val="00F05F89"/>
    <w:rPr>
      <w:i/>
    </w:rPr>
  </w:style>
  <w:style w:type="paragraph" w:styleId="Caption">
    <w:name w:val="caption"/>
    <w:basedOn w:val="BodyText"/>
    <w:next w:val="Normal"/>
    <w:qFormat/>
    <w:rsid w:val="00F05F89"/>
    <w:pPr>
      <w:framePr w:w="2268" w:hSpace="181" w:vSpace="181" w:wrap="around" w:vAnchor="text" w:hAnchor="page" w:x="1135" w:y="285" w:anchorLock="1"/>
    </w:pPr>
    <w:rPr>
      <w:i/>
    </w:rPr>
  </w:style>
  <w:style w:type="paragraph" w:customStyle="1" w:styleId="MiniTOCTitle">
    <w:name w:val="MiniTOCTitle"/>
    <w:basedOn w:val="Heading4"/>
    <w:rsid w:val="00F05F89"/>
    <w:pPr>
      <w:spacing w:before="240"/>
      <w:outlineLvl w:val="9"/>
    </w:pPr>
    <w:rPr>
      <w:noProof/>
      <w:sz w:val="24"/>
    </w:rPr>
  </w:style>
  <w:style w:type="paragraph" w:customStyle="1" w:styleId="MiniTOCItem">
    <w:name w:val="MiniTOCItem"/>
    <w:basedOn w:val="ListBullet"/>
    <w:rsid w:val="00F05F89"/>
    <w:pPr>
      <w:numPr>
        <w:numId w:val="0"/>
      </w:numPr>
      <w:tabs>
        <w:tab w:val="right" w:leader="dot" w:pos="6521"/>
      </w:tabs>
      <w:spacing w:before="0" w:after="0"/>
    </w:pPr>
  </w:style>
  <w:style w:type="paragraph" w:customStyle="1" w:styleId="TOFTitle">
    <w:name w:val="TOFTitle"/>
    <w:basedOn w:val="TOCTitle"/>
    <w:rsid w:val="00F05F89"/>
  </w:style>
  <w:style w:type="paragraph" w:styleId="TableofFigures">
    <w:name w:val="table of figures"/>
    <w:basedOn w:val="Normal"/>
    <w:next w:val="Normal"/>
    <w:semiHidden/>
    <w:rsid w:val="00F05F89"/>
    <w:pPr>
      <w:tabs>
        <w:tab w:val="right" w:leader="dot" w:pos="9072"/>
      </w:tabs>
      <w:ind w:left="970" w:hanging="403"/>
    </w:pPr>
    <w:rPr>
      <w:rFonts w:ascii="Times New Roman" w:hAnsi="Times New Roman"/>
      <w:b/>
    </w:rPr>
  </w:style>
  <w:style w:type="paragraph" w:styleId="ListNumber">
    <w:name w:val="List Number"/>
    <w:basedOn w:val="List"/>
    <w:rsid w:val="00F05F89"/>
    <w:pPr>
      <w:numPr>
        <w:numId w:val="11"/>
      </w:numPr>
    </w:pPr>
  </w:style>
  <w:style w:type="character" w:customStyle="1" w:styleId="WingdingSymbols">
    <w:name w:val="Wingding Symbols"/>
    <w:rsid w:val="00F05F89"/>
    <w:rPr>
      <w:rFonts w:ascii="Wingdings" w:hAnsi="Wingdings"/>
    </w:rPr>
  </w:style>
  <w:style w:type="paragraph" w:customStyle="1" w:styleId="TableHeading">
    <w:name w:val="Table Heading"/>
    <w:basedOn w:val="HeadingBase"/>
    <w:rsid w:val="00F05F89"/>
    <w:pPr>
      <w:keepLines/>
      <w:pBdr>
        <w:bottom w:val="single" w:sz="6" w:space="1" w:color="918585"/>
      </w:pBdr>
      <w:spacing w:before="240"/>
    </w:pPr>
  </w:style>
  <w:style w:type="character" w:customStyle="1" w:styleId="HotSpot">
    <w:name w:val="HotSpot"/>
    <w:rsid w:val="00F05F89"/>
    <w:rPr>
      <w:color w:val="0033CC"/>
      <w:u w:val="none"/>
    </w:rPr>
  </w:style>
  <w:style w:type="paragraph" w:customStyle="1" w:styleId="BodyTextRight">
    <w:name w:val="Body Text Right"/>
    <w:basedOn w:val="BodyText"/>
    <w:rsid w:val="00F05F89"/>
    <w:pPr>
      <w:spacing w:before="0" w:after="0"/>
      <w:jc w:val="right"/>
    </w:pPr>
  </w:style>
  <w:style w:type="paragraph" w:styleId="Index3">
    <w:name w:val="index 3"/>
    <w:basedOn w:val="ListNumber2"/>
    <w:next w:val="Normal"/>
    <w:semiHidden/>
    <w:rsid w:val="00F05F89"/>
    <w:pPr>
      <w:numPr>
        <w:numId w:val="0"/>
      </w:numPr>
      <w:tabs>
        <w:tab w:val="right" w:leader="dot" w:pos="4176"/>
      </w:tabs>
    </w:pPr>
  </w:style>
  <w:style w:type="paragraph" w:styleId="ListNumber2">
    <w:name w:val="List Number 2"/>
    <w:basedOn w:val="List2"/>
    <w:rsid w:val="00F05F89"/>
    <w:pPr>
      <w:numPr>
        <w:numId w:val="10"/>
      </w:numPr>
      <w:tabs>
        <w:tab w:val="clear" w:pos="1060"/>
      </w:tabs>
    </w:pPr>
  </w:style>
  <w:style w:type="paragraph" w:customStyle="1" w:styleId="MarginNote">
    <w:name w:val="Margin Note"/>
    <w:basedOn w:val="BodyText"/>
    <w:rsid w:val="00F05F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F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F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5F89"/>
    <w:rPr>
      <w:sz w:val="32"/>
    </w:rPr>
  </w:style>
  <w:style w:type="paragraph" w:customStyle="1" w:styleId="HeadingProcedure">
    <w:name w:val="Heading Procedure"/>
    <w:basedOn w:val="HeadingBase"/>
    <w:next w:val="Normal"/>
    <w:rsid w:val="00F05F89"/>
    <w:pPr>
      <w:tabs>
        <w:tab w:val="left" w:pos="0"/>
      </w:tabs>
      <w:spacing w:before="120" w:after="60"/>
    </w:pPr>
    <w:rPr>
      <w:i/>
      <w:color w:val="918585"/>
      <w:sz w:val="22"/>
    </w:rPr>
  </w:style>
  <w:style w:type="paragraph" w:customStyle="1" w:styleId="TableBodyText">
    <w:name w:val="Table Body Text"/>
    <w:basedOn w:val="BodyText"/>
    <w:rsid w:val="00F05F89"/>
    <w:pPr>
      <w:spacing w:before="60" w:after="60"/>
    </w:pPr>
  </w:style>
  <w:style w:type="paragraph" w:styleId="ListContinue">
    <w:name w:val="List Continue"/>
    <w:basedOn w:val="List"/>
    <w:rsid w:val="00F05F89"/>
    <w:pPr>
      <w:ind w:firstLine="0"/>
    </w:pPr>
  </w:style>
  <w:style w:type="paragraph" w:customStyle="1" w:styleId="ListNote">
    <w:name w:val="List Note"/>
    <w:basedOn w:val="List"/>
    <w:rsid w:val="00F05F89"/>
    <w:pPr>
      <w:pBdr>
        <w:top w:val="single" w:sz="6" w:space="2" w:color="918585"/>
        <w:bottom w:val="single" w:sz="6" w:space="2" w:color="918585"/>
      </w:pBdr>
      <w:tabs>
        <w:tab w:val="left" w:pos="1021"/>
      </w:tabs>
      <w:ind w:firstLine="0"/>
    </w:pPr>
  </w:style>
  <w:style w:type="paragraph" w:customStyle="1" w:styleId="Warning">
    <w:name w:val="Warning"/>
    <w:basedOn w:val="BodyText"/>
    <w:rsid w:val="00F05F89"/>
    <w:pPr>
      <w:shd w:val="clear" w:color="auto" w:fill="D9D9D9"/>
      <w:tabs>
        <w:tab w:val="left" w:pos="992"/>
      </w:tabs>
      <w:ind w:left="119" w:right="119"/>
    </w:pPr>
    <w:rPr>
      <w:sz w:val="20"/>
    </w:rPr>
  </w:style>
  <w:style w:type="paragraph" w:customStyle="1" w:styleId="MarginIcons">
    <w:name w:val="Margin Icons"/>
    <w:basedOn w:val="BodyText"/>
    <w:rsid w:val="00F05F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F89"/>
    <w:rPr>
      <w:rFonts w:ascii="Courier New" w:hAnsi="Courier New"/>
    </w:rPr>
  </w:style>
  <w:style w:type="paragraph" w:customStyle="1" w:styleId="NoteBullet">
    <w:name w:val="Note Bullet"/>
    <w:basedOn w:val="Note"/>
    <w:rsid w:val="00F05F89"/>
    <w:pPr>
      <w:tabs>
        <w:tab w:val="clear" w:pos="680"/>
      </w:tabs>
      <w:spacing w:before="60" w:after="60"/>
    </w:pPr>
  </w:style>
  <w:style w:type="paragraph" w:customStyle="1" w:styleId="SubHeading2">
    <w:name w:val="SubHeading2"/>
    <w:basedOn w:val="HeadingBase"/>
    <w:rsid w:val="00F05F89"/>
    <w:pPr>
      <w:spacing w:before="240" w:after="60"/>
    </w:pPr>
    <w:rPr>
      <w:sz w:val="20"/>
    </w:rPr>
  </w:style>
  <w:style w:type="paragraph" w:customStyle="1" w:styleId="SubHeading1">
    <w:name w:val="SubHeading1"/>
    <w:basedOn w:val="HeadingBase"/>
    <w:rsid w:val="00F05F89"/>
    <w:pPr>
      <w:spacing w:before="240" w:after="60"/>
    </w:pPr>
    <w:rPr>
      <w:color w:val="918585"/>
      <w:sz w:val="22"/>
    </w:rPr>
  </w:style>
  <w:style w:type="paragraph" w:customStyle="1" w:styleId="SideHeading">
    <w:name w:val="Side Heading"/>
    <w:basedOn w:val="HeadingBase"/>
    <w:rsid w:val="00F05F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F89"/>
    <w:pPr>
      <w:numPr>
        <w:numId w:val="12"/>
      </w:numPr>
    </w:pPr>
  </w:style>
  <w:style w:type="paragraph" w:styleId="PlainText">
    <w:name w:val="Plain Text"/>
    <w:basedOn w:val="Normal"/>
    <w:link w:val="PlainTextChar"/>
    <w:rsid w:val="00F05F89"/>
    <w:rPr>
      <w:sz w:val="20"/>
    </w:rPr>
  </w:style>
  <w:style w:type="character" w:customStyle="1" w:styleId="PlainTextChar">
    <w:name w:val="Plain Text Char"/>
    <w:basedOn w:val="DefaultParagraphFont"/>
    <w:link w:val="PlainText"/>
    <w:rsid w:val="00F05F89"/>
    <w:rPr>
      <w:rFonts w:ascii="Courier New" w:eastAsia="Times New Roman" w:hAnsi="Courier New" w:cs="Times New Roman"/>
      <w:sz w:val="20"/>
      <w:szCs w:val="20"/>
      <w:lang w:eastAsia="en-US"/>
    </w:rPr>
  </w:style>
  <w:style w:type="character" w:customStyle="1" w:styleId="MenuOption">
    <w:name w:val="Menu Option"/>
    <w:basedOn w:val="DefaultParagraphFont"/>
    <w:rsid w:val="00F05F89"/>
    <w:rPr>
      <w:b/>
      <w:smallCaps/>
    </w:rPr>
  </w:style>
  <w:style w:type="paragraph" w:customStyle="1" w:styleId="TableListNumber">
    <w:name w:val="Table List Number"/>
    <w:basedOn w:val="ListNumber"/>
    <w:rsid w:val="00F05F89"/>
    <w:pPr>
      <w:numPr>
        <w:numId w:val="0"/>
      </w:numPr>
    </w:pPr>
  </w:style>
  <w:style w:type="paragraph" w:styleId="TOC4">
    <w:name w:val="toc 4"/>
    <w:basedOn w:val="TOCBase"/>
    <w:next w:val="Normal"/>
    <w:semiHidden/>
    <w:rsid w:val="00F05F89"/>
    <w:pPr>
      <w:tabs>
        <w:tab w:val="right" w:leader="dot" w:pos="9071"/>
      </w:tabs>
      <w:ind w:left="1701"/>
    </w:pPr>
  </w:style>
  <w:style w:type="paragraph" w:customStyle="1" w:styleId="ListAlpha">
    <w:name w:val="List Alpha"/>
    <w:basedOn w:val="List"/>
    <w:rsid w:val="00F05F89"/>
    <w:pPr>
      <w:numPr>
        <w:numId w:val="9"/>
      </w:numPr>
    </w:pPr>
  </w:style>
  <w:style w:type="paragraph" w:customStyle="1" w:styleId="ListAlpha2">
    <w:name w:val="List Alpha 2"/>
    <w:basedOn w:val="List2"/>
    <w:rsid w:val="00F05F89"/>
    <w:pPr>
      <w:numPr>
        <w:numId w:val="8"/>
      </w:numPr>
    </w:pPr>
  </w:style>
  <w:style w:type="paragraph" w:styleId="List2">
    <w:name w:val="List 2"/>
    <w:basedOn w:val="BodyText"/>
    <w:rsid w:val="00F05F89"/>
    <w:pPr>
      <w:tabs>
        <w:tab w:val="left" w:pos="680"/>
      </w:tabs>
      <w:spacing w:before="60" w:after="60"/>
      <w:ind w:left="680" w:hanging="340"/>
    </w:pPr>
  </w:style>
  <w:style w:type="paragraph" w:styleId="List3">
    <w:name w:val="List 3"/>
    <w:basedOn w:val="BodyText"/>
    <w:rsid w:val="00F05F89"/>
    <w:pPr>
      <w:tabs>
        <w:tab w:val="left" w:pos="1021"/>
      </w:tabs>
      <w:spacing w:before="60" w:after="60"/>
      <w:ind w:left="1020" w:hanging="340"/>
    </w:pPr>
  </w:style>
  <w:style w:type="paragraph" w:styleId="List4">
    <w:name w:val="List 4"/>
    <w:basedOn w:val="BodyText"/>
    <w:rsid w:val="00F05F89"/>
    <w:pPr>
      <w:tabs>
        <w:tab w:val="left" w:pos="1361"/>
      </w:tabs>
      <w:spacing w:before="60" w:after="60"/>
      <w:ind w:left="1361" w:hanging="340"/>
    </w:pPr>
  </w:style>
  <w:style w:type="paragraph" w:styleId="List5">
    <w:name w:val="List 5"/>
    <w:basedOn w:val="BodyText"/>
    <w:rsid w:val="00F05F89"/>
    <w:pPr>
      <w:tabs>
        <w:tab w:val="left" w:pos="1701"/>
      </w:tabs>
      <w:spacing w:before="60" w:after="60"/>
      <w:ind w:left="1701" w:hanging="340"/>
    </w:pPr>
  </w:style>
  <w:style w:type="paragraph" w:styleId="ListBullet3">
    <w:name w:val="List Bullet 3"/>
    <w:basedOn w:val="List3"/>
    <w:rsid w:val="00F05F89"/>
    <w:pPr>
      <w:numPr>
        <w:numId w:val="15"/>
      </w:numPr>
      <w:tabs>
        <w:tab w:val="clear" w:pos="1021"/>
      </w:tabs>
      <w:ind w:left="1037" w:hanging="357"/>
    </w:pPr>
  </w:style>
  <w:style w:type="paragraph" w:styleId="ListBullet4">
    <w:name w:val="List Bullet 4"/>
    <w:basedOn w:val="List4"/>
    <w:rsid w:val="00F05F89"/>
    <w:pPr>
      <w:numPr>
        <w:numId w:val="3"/>
      </w:numPr>
    </w:pPr>
  </w:style>
  <w:style w:type="paragraph" w:styleId="ListBullet5">
    <w:name w:val="List Bullet 5"/>
    <w:basedOn w:val="List5"/>
    <w:rsid w:val="00F05F89"/>
    <w:pPr>
      <w:numPr>
        <w:numId w:val="4"/>
      </w:numPr>
    </w:pPr>
  </w:style>
  <w:style w:type="paragraph" w:styleId="ListContinue2">
    <w:name w:val="List Continue 2"/>
    <w:basedOn w:val="List2"/>
    <w:rsid w:val="00F05F89"/>
    <w:pPr>
      <w:ind w:firstLine="0"/>
    </w:pPr>
  </w:style>
  <w:style w:type="paragraph" w:styleId="ListContinue3">
    <w:name w:val="List Continue 3"/>
    <w:basedOn w:val="List3"/>
    <w:rsid w:val="00F05F89"/>
    <w:pPr>
      <w:ind w:left="1021" w:firstLine="0"/>
    </w:pPr>
  </w:style>
  <w:style w:type="paragraph" w:styleId="ListContinue4">
    <w:name w:val="List Continue 4"/>
    <w:basedOn w:val="List4"/>
    <w:rsid w:val="00F05F89"/>
    <w:pPr>
      <w:ind w:firstLine="0"/>
    </w:pPr>
  </w:style>
  <w:style w:type="paragraph" w:styleId="ListContinue5">
    <w:name w:val="List Continue 5"/>
    <w:basedOn w:val="List5"/>
    <w:rsid w:val="00F05F89"/>
    <w:pPr>
      <w:ind w:firstLine="0"/>
    </w:pPr>
  </w:style>
  <w:style w:type="paragraph" w:styleId="ListNumber3">
    <w:name w:val="List Number 3"/>
    <w:basedOn w:val="List3"/>
    <w:rsid w:val="00F05F89"/>
    <w:pPr>
      <w:numPr>
        <w:numId w:val="5"/>
      </w:numPr>
    </w:pPr>
  </w:style>
  <w:style w:type="paragraph" w:styleId="ListNumber4">
    <w:name w:val="List Number 4"/>
    <w:basedOn w:val="List4"/>
    <w:rsid w:val="00F05F89"/>
    <w:pPr>
      <w:numPr>
        <w:numId w:val="6"/>
      </w:numPr>
    </w:pPr>
  </w:style>
  <w:style w:type="paragraph" w:styleId="ListNumber5">
    <w:name w:val="List Number 5"/>
    <w:basedOn w:val="List5"/>
    <w:rsid w:val="00F05F89"/>
    <w:pPr>
      <w:numPr>
        <w:numId w:val="7"/>
      </w:numPr>
    </w:pPr>
  </w:style>
  <w:style w:type="paragraph" w:styleId="BlockText">
    <w:name w:val="Block Text"/>
    <w:basedOn w:val="Normal"/>
    <w:rsid w:val="00F05F89"/>
    <w:pPr>
      <w:spacing w:after="120"/>
      <w:ind w:left="1440" w:right="1440"/>
    </w:pPr>
  </w:style>
  <w:style w:type="character" w:customStyle="1" w:styleId="Subscript">
    <w:name w:val="Subscript"/>
    <w:basedOn w:val="DefaultParagraphFont"/>
    <w:rsid w:val="00F05F89"/>
    <w:rPr>
      <w:sz w:val="16"/>
      <w:vertAlign w:val="subscript"/>
    </w:rPr>
  </w:style>
  <w:style w:type="character" w:customStyle="1" w:styleId="Superscript">
    <w:name w:val="Superscript"/>
    <w:basedOn w:val="DefaultParagraphFont"/>
    <w:rsid w:val="00F05F89"/>
    <w:rPr>
      <w:sz w:val="16"/>
      <w:vertAlign w:val="superscript"/>
    </w:rPr>
  </w:style>
  <w:style w:type="character" w:customStyle="1" w:styleId="Symbols">
    <w:name w:val="Symbols"/>
    <w:basedOn w:val="DefaultParagraphFont"/>
    <w:rsid w:val="00F05F89"/>
    <w:rPr>
      <w:rFonts w:ascii="Symbol" w:hAnsi="Symbol"/>
    </w:rPr>
  </w:style>
  <w:style w:type="character" w:customStyle="1" w:styleId="MenuOptions">
    <w:name w:val="Menu Options"/>
    <w:basedOn w:val="DefaultParagraphFont"/>
    <w:rsid w:val="00F05F89"/>
    <w:rPr>
      <w:rFonts w:ascii="Arial Narrow" w:hAnsi="Arial Narrow"/>
      <w:smallCaps/>
    </w:rPr>
  </w:style>
  <w:style w:type="character" w:customStyle="1" w:styleId="Buttons">
    <w:name w:val="Buttons"/>
    <w:basedOn w:val="DefaultParagraphFont"/>
    <w:rsid w:val="00F05F89"/>
    <w:rPr>
      <w:b/>
    </w:rPr>
  </w:style>
  <w:style w:type="character" w:customStyle="1" w:styleId="Underlined">
    <w:name w:val="Underlined"/>
    <w:basedOn w:val="DefaultParagraphFont"/>
    <w:rsid w:val="00F05F89"/>
    <w:rPr>
      <w:u w:val="single"/>
    </w:rPr>
  </w:style>
  <w:style w:type="paragraph" w:customStyle="1" w:styleId="TableBodyTextRight">
    <w:name w:val="Table Body Text Right"/>
    <w:basedOn w:val="TableBodyText"/>
    <w:rsid w:val="00F05F89"/>
    <w:pPr>
      <w:widowControl w:val="0"/>
      <w:autoSpaceDE w:val="0"/>
      <w:autoSpaceDN w:val="0"/>
      <w:adjustRightInd w:val="0"/>
      <w:jc w:val="right"/>
    </w:pPr>
    <w:rPr>
      <w:rFonts w:cs="Arial"/>
      <w:szCs w:val="18"/>
    </w:rPr>
  </w:style>
  <w:style w:type="paragraph" w:customStyle="1" w:styleId="CopyrightText">
    <w:name w:val="Copyright Text"/>
    <w:basedOn w:val="BodyText"/>
    <w:rsid w:val="00F05F89"/>
    <w:rPr>
      <w:sz w:val="18"/>
    </w:rPr>
  </w:style>
  <w:style w:type="paragraph" w:customStyle="1" w:styleId="BodySmallRight">
    <w:name w:val="Body Small Right"/>
    <w:basedOn w:val="BodyTextRight"/>
    <w:rsid w:val="00F05F89"/>
    <w:rPr>
      <w:sz w:val="18"/>
      <w:szCs w:val="18"/>
    </w:rPr>
  </w:style>
  <w:style w:type="paragraph" w:customStyle="1" w:styleId="MarginEdition">
    <w:name w:val="Margin Edition"/>
    <w:basedOn w:val="MarginNote"/>
    <w:rsid w:val="00F05F89"/>
    <w:pPr>
      <w:spacing w:before="0" w:after="0"/>
    </w:pPr>
    <w:rPr>
      <w:rFonts w:ascii="Times New Roman" w:hAnsi="Times New Roman"/>
      <w:color w:val="999999"/>
    </w:rPr>
  </w:style>
  <w:style w:type="paragraph" w:customStyle="1" w:styleId="Spacer">
    <w:name w:val="Spacer"/>
    <w:basedOn w:val="Normal"/>
    <w:rsid w:val="00F05F89"/>
    <w:rPr>
      <w:sz w:val="2"/>
      <w:szCs w:val="2"/>
    </w:rPr>
  </w:style>
  <w:style w:type="character" w:customStyle="1" w:styleId="Small">
    <w:name w:val="Small"/>
    <w:basedOn w:val="DefaultParagraphFont"/>
    <w:rsid w:val="00F05F89"/>
    <w:rPr>
      <w:sz w:val="16"/>
    </w:rPr>
  </w:style>
  <w:style w:type="paragraph" w:customStyle="1" w:styleId="WideTable">
    <w:name w:val="Wide Table"/>
    <w:basedOn w:val="Normal"/>
    <w:rsid w:val="00F05F89"/>
    <w:pPr>
      <w:ind w:left="-1418"/>
    </w:pPr>
    <w:rPr>
      <w:sz w:val="2"/>
      <w:szCs w:val="2"/>
    </w:rPr>
  </w:style>
  <w:style w:type="character" w:styleId="PageNumber">
    <w:name w:val="page number"/>
    <w:basedOn w:val="DefaultParagraphFont"/>
    <w:rsid w:val="00F05F89"/>
  </w:style>
  <w:style w:type="paragraph" w:styleId="Quote">
    <w:name w:val="Quote"/>
    <w:basedOn w:val="Heading1"/>
    <w:link w:val="QuoteChar"/>
    <w:qFormat/>
    <w:rsid w:val="00F05F89"/>
    <w:rPr>
      <w:b w:val="0"/>
      <w:sz w:val="72"/>
      <w:szCs w:val="72"/>
      <w:lang w:val="en-NZ"/>
    </w:rPr>
  </w:style>
  <w:style w:type="character" w:customStyle="1" w:styleId="QuoteChar">
    <w:name w:val="Quote Char"/>
    <w:basedOn w:val="DefaultParagraphFont"/>
    <w:link w:val="Quote"/>
    <w:rsid w:val="00F05F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F89"/>
    <w:pPr>
      <w:pageBreakBefore/>
    </w:pPr>
  </w:style>
  <w:style w:type="paragraph" w:customStyle="1" w:styleId="Border">
    <w:name w:val="Border"/>
    <w:basedOn w:val="Normal"/>
    <w:qFormat/>
    <w:rsid w:val="00F05F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F89"/>
    <w:rPr>
      <w:b/>
      <w:bCs/>
      <w:i/>
      <w:iCs/>
      <w:color w:val="auto"/>
    </w:rPr>
  </w:style>
  <w:style w:type="paragraph" w:styleId="IntenseQuote">
    <w:name w:val="Intense Quote"/>
    <w:basedOn w:val="Normal"/>
    <w:next w:val="Normal"/>
    <w:link w:val="IntenseQuoteChar"/>
    <w:uiPriority w:val="30"/>
    <w:qFormat/>
    <w:rsid w:val="00F05F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F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5F89"/>
    <w:rPr>
      <w:smallCaps/>
      <w:color w:val="auto"/>
      <w:u w:val="single"/>
    </w:rPr>
  </w:style>
  <w:style w:type="character" w:styleId="IntenseReference">
    <w:name w:val="Intense Reference"/>
    <w:basedOn w:val="DefaultParagraphFont"/>
    <w:uiPriority w:val="32"/>
    <w:qFormat/>
    <w:rsid w:val="00F05F89"/>
    <w:rPr>
      <w:b/>
      <w:bCs/>
      <w:smallCaps/>
      <w:color w:val="auto"/>
      <w:spacing w:val="5"/>
      <w:u w:val="single"/>
    </w:rPr>
  </w:style>
  <w:style w:type="paragraph" w:customStyle="1" w:styleId="2ColumnHeading">
    <w:name w:val="2Column Heading"/>
    <w:basedOn w:val="BodyText"/>
    <w:qFormat/>
    <w:rsid w:val="00F05F89"/>
    <w:pPr>
      <w:spacing w:after="60"/>
      <w:ind w:left="-2268"/>
    </w:pPr>
    <w:rPr>
      <w:b/>
    </w:rPr>
  </w:style>
  <w:style w:type="paragraph" w:customStyle="1" w:styleId="Heading1TOC">
    <w:name w:val="Heading1 TOC"/>
    <w:basedOn w:val="Normal"/>
    <w:qFormat/>
    <w:rsid w:val="00F05F89"/>
    <w:pPr>
      <w:spacing w:before="240" w:after="120"/>
    </w:pPr>
    <w:rPr>
      <w:rFonts w:ascii="Times New Roman" w:hAnsi="Times New Roman"/>
      <w:b/>
      <w:sz w:val="32"/>
    </w:rPr>
  </w:style>
  <w:style w:type="paragraph" w:customStyle="1" w:styleId="Heading2TOC">
    <w:name w:val="Heading2 TOC"/>
    <w:basedOn w:val="Normal"/>
    <w:qFormat/>
    <w:rsid w:val="00F05F89"/>
    <w:pPr>
      <w:spacing w:before="240" w:after="60"/>
    </w:pPr>
    <w:rPr>
      <w:rFonts w:ascii="Times New Roman" w:hAnsi="Times New Roman"/>
      <w:b/>
      <w:sz w:val="28"/>
    </w:rPr>
  </w:style>
  <w:style w:type="character" w:customStyle="1" w:styleId="Underline">
    <w:name w:val="Underline"/>
    <w:basedOn w:val="DefaultParagraphFont"/>
    <w:qFormat/>
    <w:rsid w:val="00F05F89"/>
    <w:rPr>
      <w:u w:val="single"/>
    </w:rPr>
  </w:style>
  <w:style w:type="character" w:customStyle="1" w:styleId="BoldandItalics">
    <w:name w:val="Bold and Italics"/>
    <w:qFormat/>
    <w:rsid w:val="00F05F89"/>
    <w:rPr>
      <w:b/>
      <w:i/>
      <w:u w:val="none"/>
    </w:rPr>
  </w:style>
  <w:style w:type="paragraph" w:styleId="BalloonText">
    <w:name w:val="Balloon Text"/>
    <w:basedOn w:val="Normal"/>
    <w:link w:val="BalloonTextChar"/>
    <w:rsid w:val="00F05F89"/>
    <w:rPr>
      <w:rFonts w:ascii="Tahoma" w:hAnsi="Tahoma" w:cs="Tahoma"/>
      <w:sz w:val="16"/>
      <w:szCs w:val="16"/>
    </w:rPr>
  </w:style>
  <w:style w:type="character" w:customStyle="1" w:styleId="BalloonTextChar">
    <w:name w:val="Balloon Text Char"/>
    <w:basedOn w:val="DefaultParagraphFont"/>
    <w:link w:val="BalloonText"/>
    <w:rsid w:val="00F05F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5F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5F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5F89"/>
    <w:rPr>
      <w:b/>
      <w:color w:val="660033"/>
      <w:spacing w:val="0"/>
    </w:rPr>
  </w:style>
  <w:style w:type="paragraph" w:customStyle="1" w:styleId="Nameditemlist">
    <w:name w:val="Named item list"/>
    <w:basedOn w:val="BodyText"/>
    <w:qFormat/>
    <w:rsid w:val="00F05F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2581</Words>
  <Characters>15319</Characters>
  <Application>Microsoft Office Word</Application>
  <DocSecurity>0</DocSecurity>
  <Lines>751</Lines>
  <Paragraphs>295</Paragraphs>
  <ScaleCrop>false</ScaleCrop>
  <Company>Author-it Software Corporation Ltd.</Company>
  <LinksUpToDate>false</LinksUpToDate>
  <CharactersWithSpaces>17642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UEGNSG701A Process meter reading information using appropriate technology</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2012-10-10T07:13:00Z</dcterms:created>
  <dcterms:modified xsi:type="dcterms:W3CDTF">2012-10-10T07:13:00Z</dcterms:modified>
</cp:coreProperties>
</file>