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E96" w:rsidP="00EE2E96">
      <w:pPr>
        <w:pStyle w:val="Title"/>
      </w:pPr>
      <w:bookmarkStart w:id="0" w:name="_GoBack"/>
      <w:bookmarkEnd w:id="0"/>
      <w:r>
        <w:fldChar w:fldCharType="begin"/>
      </w:r>
      <w:r>
        <w:instrText xml:space="preserve"> TITLE   \* MERGEFORMAT </w:instrText>
      </w:r>
      <w:r>
        <w:fldChar w:fldCharType="separate"/>
      </w:r>
      <w:r>
        <w:t>UEGNSG612A Supervise technical operations for liquefied petroleum gas storage and processing</w:t>
      </w:r>
      <w:r>
        <w:fldChar w:fldCharType="end"/>
      </w:r>
    </w:p>
    <w:p w:rsidR="00EE2E96" w:rsidP="00EE2E96">
      <w:pPr>
        <w:pStyle w:val="Version"/>
        <w:sectPr w:rsidSect="00FD0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AE1" w:rsidP="00FD0AE1">
      <w:pPr>
        <w:pStyle w:val="SuperHeading"/>
      </w:pPr>
      <w:r w:rsidRPr="00FD0AE1">
        <w:t>UEGNSG612A Supervise technical operations for liquefied petroleum gas storage and processing</w:t>
      </w:r>
    </w:p>
    <w:p w:rsidR="00000000" w:rsidRPr="00FD0AE1" w:rsidP="00FD0AE1">
      <w:pPr>
        <w:pStyle w:val="Heading1"/>
      </w:pPr>
      <w:bookmarkStart w:id="1" w:name="O_275145"/>
      <w:bookmarkEnd w:id="1"/>
      <w:r w:rsidRPr="00FD0AE1">
        <w:t>Modification History</w:t>
      </w:r>
    </w:p>
    <w:p w:rsidR="00000000" w:rsidRPr="00FD0AE1" w:rsidP="00FD0AE1">
      <w:pPr>
        <w:pStyle w:val="BodyText"/>
      </w:pPr>
      <w:r w:rsidRPr="00FD0AE1">
        <w:t>Not Applicable</w:t>
      </w:r>
    </w:p>
    <w:p w:rsidR="00000000" w:rsidRPr="00FD0AE1" w:rsidP="00FD0AE1">
      <w:pPr>
        <w:pStyle w:val="AllowPageBreak"/>
      </w:pPr>
    </w:p>
    <w:p w:rsidR="00000000" w:rsidRPr="00FD0AE1" w:rsidP="00FD0AE1">
      <w:pPr>
        <w:pStyle w:val="Heading1"/>
      </w:pPr>
      <w:bookmarkStart w:id="2" w:name="O_229690"/>
      <w:bookmarkEnd w:id="2"/>
      <w:r w:rsidRPr="00FD0AE1">
        <w:t>Unit Descriptor</w:t>
      </w:r>
    </w:p>
    <w:tbl>
      <w:tblPr>
        <w:tblW w:w="0" w:type="auto"/>
        <w:tblLayout w:type="fixed"/>
        <w:tblCellMar>
          <w:left w:w="62" w:type="dxa"/>
          <w:right w:w="62" w:type="dxa"/>
        </w:tblCellMar>
        <w:tblLook w:val="0000"/>
      </w:tblPr>
      <w:tblGrid>
        <w:gridCol w:w="2700"/>
        <w:gridCol w:w="5760"/>
      </w:tblGrid>
      <w:tr w:rsidTr="00EE2E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1</w:t>
            </w:r>
            <w:r w:rsidRPr="00FD0AE1">
              <w:t xml:space="preserve">) </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This Competency Standard Unit covers the technical supervision of liquefied petroleum gas storage, processing and maintenance operations. The competency standard refers to Resources; Activities; Appropriate Persons; Relevant Persons; Monitoring; Operationa</w:t>
            </w:r>
            <w:r w:rsidRPr="00FD0AE1">
              <w:t>l Requirements; Effective Communication; Types of Gas System Faults; Relevant Documentation; Legislative Requirements; Records and reports</w:t>
            </w:r>
          </w:p>
        </w:tc>
      </w:tr>
    </w:tbl>
    <w:p w:rsidR="00EE2E96" w:rsidP="00FD0AE1">
      <w:pPr>
        <w:pStyle w:val="BodyText"/>
      </w:pPr>
    </w:p>
    <w:p w:rsidR="00EE2E96" w:rsidP="00FD0AE1">
      <w:pPr>
        <w:pStyle w:val="BodyText"/>
      </w:pPr>
    </w:p>
    <w:p w:rsidR="00000000" w:rsidRPr="00FD0AE1" w:rsidP="00FD0AE1">
      <w:pPr>
        <w:pStyle w:val="Heading1"/>
      </w:pPr>
      <w:bookmarkStart w:id="3" w:name="O_229693"/>
      <w:bookmarkEnd w:id="3"/>
      <w:r w:rsidRPr="00FD0AE1">
        <w:t>Application of the Unit</w:t>
      </w:r>
    </w:p>
    <w:tbl>
      <w:tblPr>
        <w:tblW w:w="0" w:type="auto"/>
        <w:tblLayout w:type="fixed"/>
        <w:tblCellMar>
          <w:left w:w="62" w:type="dxa"/>
          <w:right w:w="62" w:type="dxa"/>
        </w:tblCellMar>
        <w:tblLook w:val="0000"/>
      </w:tblPr>
      <w:tblGrid>
        <w:gridCol w:w="2700"/>
        <w:gridCol w:w="5760"/>
      </w:tblGrid>
      <w:tr w:rsidTr="00EE2E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3</w:t>
            </w:r>
            <w:r w:rsidRPr="00FD0AE1">
              <w:t>)</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 xml:space="preserve">This competency standard shall apply to any </w:t>
            </w:r>
            <w:r w:rsidRPr="00FD0AE1">
              <w:t>work site where liquefied petroleum gas operations occur.</w:t>
            </w:r>
          </w:p>
        </w:tc>
      </w:tr>
    </w:tbl>
    <w:p w:rsidR="00EE2E96" w:rsidP="00FD0AE1">
      <w:pPr>
        <w:pStyle w:val="BodyText"/>
      </w:pPr>
    </w:p>
    <w:p w:rsidR="00EE2E96" w:rsidP="00FD0AE1">
      <w:pPr>
        <w:pStyle w:val="BodyText"/>
      </w:pPr>
    </w:p>
    <w:p w:rsidR="00000000" w:rsidRPr="00FD0AE1" w:rsidP="00FD0AE1">
      <w:pPr>
        <w:pStyle w:val="Heading1"/>
      </w:pPr>
      <w:bookmarkStart w:id="4" w:name="O_229694"/>
      <w:bookmarkEnd w:id="4"/>
      <w:r w:rsidRPr="00FD0AE1">
        <w:t>Licensing/Regulatory Information</w:t>
      </w:r>
    </w:p>
    <w:tbl>
      <w:tblPr>
        <w:tblW w:w="0" w:type="auto"/>
        <w:tblLayout w:type="fixed"/>
        <w:tblCellMar>
          <w:left w:w="62" w:type="dxa"/>
          <w:right w:w="62" w:type="dxa"/>
        </w:tblCellMar>
        <w:tblLook w:val="0000"/>
      </w:tblPr>
      <w:tblGrid>
        <w:gridCol w:w="2700"/>
        <w:gridCol w:w="5760"/>
      </w:tblGrid>
      <w:tr w:rsidTr="00EE2E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3</w:t>
            </w:r>
            <w:r w:rsidRPr="00FD0AE1">
              <w:t>.</w:t>
            </w:r>
            <w:r w:rsidRPr="00FD0AE1">
              <w:rPr>
                <w:rStyle w:val="SpecialBold"/>
              </w:rPr>
              <w:t>1</w:t>
            </w:r>
            <w:r w:rsidRPr="00FD0AE1">
              <w:t>)</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The skills and knowledge described in this unit are not subject to licence regulation other than those directly related to Occupational Health and Safety, gas/electricity/water industry safety and compliance, industrial relations, environmental protection,</w:t>
            </w:r>
            <w:r w:rsidRPr="00FD0AE1">
              <w:t xml:space="preserve"> telecommunications, anti discrimination and training. Commonwealth, State/Territory or Local Government legislation and regulations may exist that limits the age of operating certain equipment.</w:t>
            </w:r>
          </w:p>
        </w:tc>
      </w:tr>
    </w:tbl>
    <w:p w:rsidR="00EE2E96" w:rsidP="00FD0AE1">
      <w:pPr>
        <w:pStyle w:val="BodyText"/>
      </w:pPr>
    </w:p>
    <w:p w:rsidR="00EE2E96" w:rsidP="00FD0AE1">
      <w:pPr>
        <w:pStyle w:val="BodyText"/>
      </w:pPr>
    </w:p>
    <w:p w:rsidR="00000000" w:rsidRPr="00FD0AE1" w:rsidP="00FD0AE1">
      <w:pPr>
        <w:pStyle w:val="Heading1"/>
      </w:pPr>
      <w:bookmarkStart w:id="5" w:name="O_229691"/>
      <w:bookmarkEnd w:id="5"/>
      <w:r w:rsidRPr="00FD0AE1">
        <w:t>Pre-Requisites</w:t>
      </w:r>
    </w:p>
    <w:tbl>
      <w:tblPr>
        <w:tblW w:w="0" w:type="auto"/>
        <w:tblLayout w:type="fixed"/>
        <w:tblCellMar>
          <w:left w:w="62" w:type="dxa"/>
          <w:right w:w="62" w:type="dxa"/>
        </w:tblCellMar>
        <w:tblLook w:val="0000"/>
      </w:tblPr>
      <w:tblGrid>
        <w:gridCol w:w="2700"/>
        <w:gridCol w:w="1800"/>
        <w:gridCol w:w="3960"/>
      </w:tblGrid>
      <w:tr w:rsidTr="00EE2E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Prerequisite Unit</w:t>
            </w:r>
            <w:r w:rsidRPr="00FD0AE1">
              <w:t>(</w:t>
            </w:r>
            <w:r w:rsidRPr="00FD0AE1">
              <w:rPr>
                <w:rStyle w:val="SpecialBold"/>
              </w:rPr>
              <w:t>s</w:t>
            </w:r>
            <w:r w:rsidRPr="00FD0AE1">
              <w:t>)</w:t>
            </w:r>
          </w:p>
        </w:tc>
        <w:tc>
          <w:tcPr>
            <w:tcW w:w="5760" w:type="dxa"/>
            <w:gridSpan w:val="2"/>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2</w:t>
            </w:r>
            <w:r w:rsidRPr="00FD0AE1">
              <w:t xml:space="preserve">) </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2</w:t>
            </w:r>
            <w:r w:rsidRPr="00FD0AE1">
              <w:t>.</w:t>
            </w:r>
            <w:r w:rsidRPr="00FD0AE1">
              <w:rPr>
                <w:rStyle w:val="SpecialBold"/>
              </w:rPr>
              <w:t>1</w:t>
            </w:r>
            <w:r w:rsidRPr="00FD0AE1">
              <w:t xml:space="preserve">) </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Granting of competency in this unit shall be made only after competency in the following unit(s) has/have been confirmed:</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Nil</w:t>
            </w:r>
          </w:p>
        </w:tc>
        <w:tc>
          <w:tcPr>
            <w:tcW w:w="3960" w:type="dxa"/>
            <w:tcBorders>
              <w:top w:val="nil"/>
              <w:left w:val="nil"/>
              <w:bottom w:val="nil"/>
              <w:right w:val="nil"/>
            </w:tcBorders>
            <w:tcMar>
              <w:top w:w="0" w:type="dxa"/>
              <w:left w:w="62" w:type="dxa"/>
              <w:bottom w:w="0" w:type="dxa"/>
              <w:right w:w="62" w:type="dxa"/>
            </w:tcMar>
          </w:tcPr>
          <w:p w:rsidR="00000000" w:rsidRPr="00FD0AE1" w:rsidP="00FD0AE1">
            <w:pPr>
              <w:pStyle w:val="BodyText"/>
            </w:pPr>
          </w:p>
        </w:tc>
      </w:tr>
    </w:tbl>
    <w:p w:rsidR="00EE2E96" w:rsidP="00FD0AE1">
      <w:pPr>
        <w:pStyle w:val="BodyText"/>
      </w:pPr>
    </w:p>
    <w:p w:rsidR="00EE2E96" w:rsidP="00FD0AE1">
      <w:pPr>
        <w:pStyle w:val="BodyText"/>
      </w:pPr>
    </w:p>
    <w:p w:rsidR="00000000" w:rsidRPr="00FD0AE1" w:rsidP="00FD0AE1">
      <w:pPr>
        <w:pStyle w:val="Heading1"/>
      </w:pPr>
      <w:bookmarkStart w:id="6" w:name="O_285394"/>
      <w:bookmarkEnd w:id="6"/>
      <w:r w:rsidRPr="00FD0AE1">
        <w:t>Employability Skills Information</w:t>
      </w:r>
    </w:p>
    <w:p w:rsidR="00000000" w:rsidRPr="00FD0AE1" w:rsidP="00FD0AE1">
      <w:pPr>
        <w:pStyle w:val="BodyText"/>
      </w:pPr>
      <w:r w:rsidRPr="00FD0AE1">
        <w:t>Refer to the Evidence Guide</w:t>
      </w:r>
    </w:p>
    <w:p w:rsidR="00000000" w:rsidRPr="00FD0AE1" w:rsidP="00FD0AE1">
      <w:pPr>
        <w:pStyle w:val="AllowPageBreak"/>
      </w:pPr>
    </w:p>
    <w:p w:rsidR="00000000" w:rsidRPr="00FD0AE1" w:rsidP="00FD0AE1">
      <w:pPr>
        <w:pStyle w:val="Heading1"/>
      </w:pPr>
      <w:bookmarkStart w:id="7" w:name="O_293191"/>
      <w:bookmarkEnd w:id="7"/>
      <w:r w:rsidRPr="00FD0AE1">
        <w:t>Elements and Performance Criteria Pre-Content</w:t>
      </w:r>
    </w:p>
    <w:tbl>
      <w:tblPr>
        <w:tblW w:w="0" w:type="auto"/>
        <w:tblLayout w:type="fixed"/>
        <w:tblCellMar>
          <w:left w:w="62" w:type="dxa"/>
          <w:right w:w="62" w:type="dxa"/>
        </w:tblCellMar>
        <w:tblLook w:val="0000"/>
      </w:tblPr>
      <w:tblGrid>
        <w:gridCol w:w="2700"/>
        <w:gridCol w:w="5760"/>
      </w:tblGrid>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5</w:t>
            </w:r>
            <w:r w:rsidRPr="00FD0AE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Performance Criteria describe the required performance needed to demonstrate achievement of the element. Assessment of performance is to</w:t>
            </w:r>
            <w:r w:rsidRPr="00FD0AE1">
              <w:t xml:space="preserve"> be consistent with the Evidence Guide.</w:t>
            </w:r>
          </w:p>
        </w:tc>
      </w:tr>
    </w:tbl>
    <w:p w:rsidR="00000000" w:rsidRPr="00FD0AE1" w:rsidP="00FD0AE1">
      <w:pPr>
        <w:pStyle w:val="BodyText"/>
      </w:pPr>
    </w:p>
    <w:p w:rsidR="00000000" w:rsidRPr="00FD0AE1" w:rsidP="00FD0AE1">
      <w:pPr>
        <w:pStyle w:val="AllowPageBreak"/>
      </w:pPr>
    </w:p>
    <w:p w:rsidR="00000000" w:rsidRPr="00FD0AE1" w:rsidP="00FD0AE1">
      <w:pPr>
        <w:pStyle w:val="Heading1"/>
      </w:pPr>
      <w:bookmarkStart w:id="8" w:name="O_239859"/>
      <w:bookmarkEnd w:id="8"/>
      <w:r w:rsidRPr="00FD0AE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E2E9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PERFORMANCE CRITERIA</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w:t>
            </w:r>
          </w:p>
        </w:tc>
        <w:tc>
          <w:tcPr>
            <w:tcW w:w="2296" w:type="dxa"/>
            <w:vMerge w:val="restart"/>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Plan and prepare to supervise operations</w:t>
            </w: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1.1</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Operational area is checked for hazards and the works schedule(s)</w:t>
            </w:r>
            <w:r w:rsidRPr="00FD0AE1">
              <w:t xml:space="preserve">, including drawings, plans, requirements, established procedures and material lists are detailed, analysed if necessary by site inspection and the extent of the preparation of the work determined for planning and coordination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1.2</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Work is prioritised a</w:t>
            </w:r>
            <w:r w:rsidRPr="00FD0AE1">
              <w:t xml:space="preserve">nd sequenced for the most efficient and effective outcome following consultation with others for completion within acceptable timeframes to a quality standard and </w:t>
            </w:r>
            <w:r w:rsidRPr="00FD0AE1">
              <w:t xml:space="preserve">in accordance with established procedures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1.3</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Risk control measures for identified hazards are prioritised, implemented and monitored against the work schedule</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1.4</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Relevant requirements and established procedures for the work are communicated to all persons and identified for all work sites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1.5</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OHS, environmental and sustainable energy policies and procedures related to the work are identified to ensure safe systems of work are followed</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1.6</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 xml:space="preserve">Relevant work permits are secured to coordinate the performance of work according to requirements and or established procedures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1.7</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 xml:space="preserve">Resources including appropriately licensed persons, equipment, tools and personal protective equipment required for the </w:t>
            </w:r>
            <w:r w:rsidRPr="00FD0AE1">
              <w:t>job are identified, scheduled, coordinated and confirmed in a safe and technical working order</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1.8</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Clients are provided with possible solutions and options within the scope, acceptable cost and requirements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1.9</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Liaison and communication issues with a</w:t>
            </w:r>
            <w:r w:rsidRPr="00FD0AE1">
              <w:t>uthorised persons, authorities, clients and land owners are resolved and activities coordinated to carry out work</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1.10</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Persons participating in the work, including plant operators and contractors are fully briefed and respective responsibilities coordinated and authorised where applicable in accordance with established procedures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1.11</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Status of the system is sought thro</w:t>
            </w:r>
            <w:r w:rsidRPr="00FD0AE1">
              <w:t>ugh communication with pipeline control centre in accordance with established procedures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1.12</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Expenditure is forecast and managed to keep within operational budget constraints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w:t>
            </w:r>
          </w:p>
        </w:tc>
        <w:tc>
          <w:tcPr>
            <w:tcW w:w="2296"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Supervise operations</w:t>
            </w: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2.1</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OHS policies and procedures and safe work practices are followed to eliminate or minimise incidents and hazards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2.2</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 xml:space="preserve">Appropriate persons are inducted according to company standard operating procedures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2.3</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First Aid and other related work procedures a</w:t>
            </w:r>
            <w:r w:rsidRPr="00FD0AE1">
              <w:t xml:space="preserve">re performed according to requirements and established procedures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2.4</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Lifting, climbing, working in confined spaces, excavations, trenches, and aloft, use of power tools, techniques and practices are safely exercised according to requirements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2.5</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Equipment faults are identified through inspection and testing of operational equipment in accordance with a work schedule and to requirements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2.6</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Hazard warnings and safety signs are recognised and hazards and assessed OHS risks are reported to the imm</w:t>
            </w:r>
            <w:r w:rsidRPr="00FD0AE1">
              <w:t>ediate authorised persons for directions according to established procedures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2.7</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Operating conditions of equipment are monitored through gauge levels, temperatures, flow indicators in order to determine performance of equipment and system</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2.8</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Information concerning the operation of the pipeline system is monitored and conveyed to relevant persons to ensure safe and efficient operation of the pipeline system</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2.9</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Fault finding and troubleshooting techniques are applied to operational systems a</w:t>
            </w:r>
            <w:r w:rsidRPr="00FD0AE1">
              <w:t>nd equipment to identify any repairs or maintenance that is required according to requirements and established procedures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2.10</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Essential Knowledge and Associated Skills are applied to ensure completion in an agreed timeframe and to quality standards wit</w:t>
            </w:r>
            <w:r w:rsidRPr="00FD0AE1">
              <w:t>h a minimum of waste according to requirements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2.11</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Solutions to non-routine problems are identified and actioned using Essential Knowledge and Associated Skills according to requirements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2.12</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Ongoing checks of quality of the work are undertaken in accordance with requirements and established procedures to ensure a quality outcome is achieved for the client/customer to a community and industry standards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3</w:t>
            </w:r>
          </w:p>
        </w:tc>
        <w:tc>
          <w:tcPr>
            <w:tcW w:w="2296"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Finalise completion details</w:t>
            </w: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3.1</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Work un</w:t>
            </w:r>
            <w:r w:rsidRPr="00FD0AE1">
              <w:t>dertaken is checked against works schedule for conformance with requirements and anomalies which are reported and solutions identified in accordance with established procedures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3.2</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Accidents and injuries are reported and followed up in accordance with r</w:t>
            </w:r>
            <w:r w:rsidRPr="00FD0AE1">
              <w:t xml:space="preserve">equirements and established procedures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3.3</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 xml:space="preserve">Work site is rehabilitated/cleaned up and confirmed safe and in accordance with established procedures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3.4</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 xml:space="preserve">Tools, equipment and any surplus resources and materials are, where appropriate, cleaned, checked and returned to storage in accordance with established procedures </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3.5</w:t>
            </w:r>
          </w:p>
        </w:tc>
        <w:tc>
          <w:tcPr>
            <w:tcW w:w="48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Relevant work permit(s) are signed off in accordance with requirements</w:t>
            </w:r>
          </w:p>
        </w:tc>
      </w:tr>
      <w:tr w:rsidTr="00EE2E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3.6</w:t>
            </w:r>
          </w:p>
        </w:tc>
        <w:tc>
          <w:tcPr>
            <w:tcW w:w="48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 xml:space="preserve">Works </w:t>
            </w:r>
            <w:r w:rsidRPr="00FD0AE1">
              <w:t xml:space="preserve">completion records, reports as installed/modified drawing(s) and documentation and information is confirmed, processed and the appropriate persons notified </w:t>
            </w:r>
          </w:p>
        </w:tc>
      </w:tr>
    </w:tbl>
    <w:p w:rsidR="00EE2E96" w:rsidP="00FD0AE1">
      <w:pPr>
        <w:pStyle w:val="BodyText"/>
      </w:pPr>
    </w:p>
    <w:p w:rsidR="00EE2E96" w:rsidP="00FD0AE1">
      <w:pPr>
        <w:pStyle w:val="BodyText"/>
      </w:pPr>
    </w:p>
    <w:p w:rsidR="00000000" w:rsidRPr="00FD0AE1" w:rsidP="00FD0AE1">
      <w:pPr>
        <w:pStyle w:val="Heading1"/>
      </w:pPr>
      <w:bookmarkStart w:id="9" w:name="O_263650"/>
      <w:bookmarkEnd w:id="9"/>
      <w:r w:rsidRPr="00FD0AE1">
        <w:t>Required Skills and Knowledge</w:t>
      </w:r>
    </w:p>
    <w:tbl>
      <w:tblPr>
        <w:tblW w:w="0" w:type="auto"/>
        <w:tblLayout w:type="fixed"/>
        <w:tblCellMar>
          <w:left w:w="62" w:type="dxa"/>
          <w:right w:w="62" w:type="dxa"/>
        </w:tblCellMar>
        <w:tblLook w:val="0000"/>
      </w:tblPr>
      <w:tblGrid>
        <w:gridCol w:w="2700"/>
        <w:gridCol w:w="1080"/>
        <w:gridCol w:w="4680"/>
      </w:tblGrid>
      <w:tr w:rsidTr="00EE2E9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REQUIRED SKILLS AND KNOWLEDGE</w:t>
            </w:r>
          </w:p>
        </w:tc>
      </w:tr>
      <w:tr w:rsidTr="00EE2E9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6</w:t>
            </w:r>
            <w:r w:rsidRPr="00FD0AE1">
              <w:t>) This describes the essential skills and knowledge and their level, required for this unit.</w:t>
            </w:r>
          </w:p>
        </w:tc>
      </w:tr>
      <w:tr w:rsidTr="00EE2E9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Evidence shall show that knowledge has been acquired of safe working practices for the supervising of technical operations for liquefied petroleum gas storage a</w:t>
            </w:r>
            <w:r w:rsidRPr="00FD0AE1">
              <w:t>nd processing. The extent of the essential knowledge and associated skills (EKAS) required is given in Volume 2 - Part 2.2 EKAS.  It forms an integral part of this unit.</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G 3.6.1</w:t>
            </w:r>
          </w:p>
        </w:tc>
        <w:tc>
          <w:tcPr>
            <w:tcW w:w="46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Working safely in an LPG environment</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G 3.6.6</w:t>
            </w:r>
          </w:p>
        </w:tc>
        <w:tc>
          <w:tcPr>
            <w:tcW w:w="46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Technical drawings</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G 5.6.1</w:t>
            </w:r>
          </w:p>
        </w:tc>
        <w:tc>
          <w:tcPr>
            <w:tcW w:w="46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Supervision of LPG processes</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G 5.6.2</w:t>
            </w:r>
          </w:p>
        </w:tc>
        <w:tc>
          <w:tcPr>
            <w:tcW w:w="46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Odourant levels for LPG processing</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G 5.6.3</w:t>
            </w:r>
          </w:p>
        </w:tc>
        <w:tc>
          <w:tcPr>
            <w:tcW w:w="468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LPG plant and equipment</w:t>
            </w:r>
          </w:p>
        </w:tc>
      </w:tr>
    </w:tbl>
    <w:p w:rsidR="00EE2E96" w:rsidP="00FD0AE1">
      <w:pPr>
        <w:pStyle w:val="BodyText"/>
      </w:pPr>
    </w:p>
    <w:p w:rsidR="00EE2E96" w:rsidP="00FD0AE1">
      <w:pPr>
        <w:pStyle w:val="BodyText"/>
      </w:pPr>
    </w:p>
    <w:p w:rsidR="00000000" w:rsidRPr="00FD0AE1" w:rsidP="00FD0AE1">
      <w:pPr>
        <w:pStyle w:val="Heading1"/>
      </w:pPr>
      <w:bookmarkStart w:id="10" w:name="O_247842"/>
      <w:bookmarkEnd w:id="10"/>
      <w:r w:rsidRPr="00FD0AE1">
        <w:t>Evidence Guide</w:t>
      </w:r>
    </w:p>
    <w:tbl>
      <w:tblPr>
        <w:tblW w:w="0" w:type="auto"/>
        <w:tblLayout w:type="fixed"/>
        <w:tblCellMar>
          <w:left w:w="62" w:type="dxa"/>
          <w:right w:w="62" w:type="dxa"/>
        </w:tblCellMar>
        <w:tblLook w:val="0000"/>
      </w:tblPr>
      <w:tblGrid>
        <w:gridCol w:w="2160"/>
        <w:gridCol w:w="360"/>
        <w:gridCol w:w="900"/>
        <w:gridCol w:w="540"/>
        <w:gridCol w:w="1620"/>
        <w:gridCol w:w="2880"/>
      </w:tblGrid>
      <w:tr w:rsidTr="00EE2E96">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EVIDENCE GUIDE</w:t>
            </w:r>
          </w:p>
        </w:tc>
      </w:tr>
      <w:tr w:rsidTr="00EE2E96">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8</w:t>
            </w:r>
            <w:r w:rsidRPr="00FD0AE1">
              <w:t xml:space="preserve">) </w:t>
            </w:r>
          </w:p>
          <w:p w:rsidR="00000000" w:rsidP="00FD0AE1">
            <w:pPr>
              <w:pStyle w:val="BodyText"/>
              <w:rPr>
                <w:lang w:val="en-NZ"/>
              </w:rPr>
            </w:pPr>
            <w:r w:rsidRPr="00FD0AE1">
              <w:t>The Evidence Guide forms an integral part of this Competency Standard Unit and shall be used in conjunction with all components parts of this unit and performed in accordance with the Assessment Guidelines of this Training Package.</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Overview of Assess</w:t>
            </w:r>
            <w:r w:rsidRPr="00FD0AE1">
              <w:rPr>
                <w:rStyle w:val="SpecialBold"/>
              </w:rPr>
              <w:t>ment</w:t>
            </w:r>
          </w:p>
        </w:tc>
        <w:tc>
          <w:tcPr>
            <w:tcW w:w="6300" w:type="dxa"/>
            <w:gridSpan w:val="5"/>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8</w:t>
            </w:r>
            <w:r w:rsidRPr="00FD0AE1">
              <w:t>.</w:t>
            </w:r>
            <w:r w:rsidRPr="00FD0AE1">
              <w:rPr>
                <w:rStyle w:val="SpecialBold"/>
              </w:rPr>
              <w:t>1</w:t>
            </w:r>
            <w:r w:rsidRPr="00FD0AE1">
              <w:t xml:space="preserve">) </w:t>
            </w:r>
          </w:p>
          <w:p w:rsidR="00000000" w:rsidRPr="00FD0AE1" w:rsidP="00FD0AE1">
            <w:pPr>
              <w:pStyle w:val="BodyText"/>
            </w:pPr>
            <w:r w:rsidRPr="00FD0AE1">
              <w:t>Longitudinal competency development approaches to assessment, such as Profiling, require data to be reliably gathered in a form that can be consistently interpreted over time. This approach is best utilised in Apprenticeship programs and reduces</w:t>
            </w:r>
            <w:r w:rsidRPr="00FD0AE1">
              <w:t xml:space="preserve"> assessment intervention. It is the Industry's preferred model for apprenticeships. However, where summative (or final) assessment is used it is to include the application of the competency in the normal work environment or, at a minimum, the application o</w:t>
            </w:r>
            <w:r w:rsidRPr="00FD0AE1">
              <w:t>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FD0AE1" w:rsidP="00FD0AE1">
            <w:pPr>
              <w:pStyle w:val="BodyText"/>
            </w:pPr>
            <w:r w:rsidRPr="00FD0AE1">
              <w:t>Meth</w:t>
            </w:r>
            <w:r w:rsidRPr="00FD0AE1">
              <w:t>ods chosen for a particular assessment will be influenced by various factors. These include the extent of the assessment, the most effective locations for the assessment activities to take place, access to physical resources, additional safety measures tha</w:t>
            </w:r>
            <w:r w:rsidRPr="00FD0AE1">
              <w:t>t may be required and the critical nature of the competencies being assessed.</w:t>
            </w:r>
          </w:p>
          <w:p w:rsidR="00000000" w:rsidRPr="00FD0AE1" w:rsidP="00FD0AE1">
            <w:pPr>
              <w:pStyle w:val="BodyText"/>
            </w:pPr>
            <w:r w:rsidRPr="00FD0AE1">
              <w:t>The critical safety nature of working with electricity, electrical equipment, gas or any other hazardous substance/material carries risk in deeming a person competent. Hence, sou</w:t>
            </w:r>
            <w:r w:rsidRPr="00FD0AE1">
              <w:t>rces of evidence need to be 'rich' in nature so as to minimise error in judgment.</w:t>
            </w:r>
          </w:p>
          <w:p w:rsidR="00000000" w:rsidP="00FD0AE1">
            <w:pPr>
              <w:pStyle w:val="BodyText"/>
              <w:rPr>
                <w:lang w:val="en-NZ"/>
              </w:rPr>
            </w:pPr>
            <w:r w:rsidRPr="00FD0AE1">
              <w:t>Activities associated with normal every day work have a bearing on the decision as to how much and how detailed the data gathered will contribute to its 'richness'. Some skil</w:t>
            </w:r>
            <w:r w:rsidRPr="00FD0AE1">
              <w:t>ls are more critical to safety and operational requirements while the same skills may be more or less frequently practiced. These points are raised for the assessors to consider when choosing an assessment method and developing assessment instruments. Samp</w:t>
            </w:r>
            <w:r w:rsidRPr="00FD0AE1">
              <w:t>le assessment instruments are included for Assessors in the Assessment Guidelines of this Training Package.</w:t>
            </w:r>
          </w:p>
        </w:tc>
      </w:tr>
      <w:tr w:rsidTr="00EE2E9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8</w:t>
            </w:r>
            <w:r w:rsidRPr="00FD0AE1">
              <w:t>.</w:t>
            </w:r>
            <w:r w:rsidRPr="00FD0AE1">
              <w:rPr>
                <w:rStyle w:val="SpecialBold"/>
              </w:rPr>
              <w:t>2</w:t>
            </w:r>
            <w:r w:rsidRPr="00FD0AE1">
              <w:t xml:space="preserve">) </w:t>
            </w:r>
          </w:p>
          <w:p w:rsidR="00000000" w:rsidP="00FD0AE1">
            <w:pPr>
              <w:pStyle w:val="BodyText"/>
              <w:rPr>
                <w:lang w:val="en-NZ"/>
              </w:rPr>
            </w:pPr>
            <w:r w:rsidRPr="00FD0AE1">
              <w:t>Before the critical aspects of evidence are considered all prerequisites shall be met.</w:t>
            </w:r>
          </w:p>
        </w:tc>
      </w:tr>
      <w:tr w:rsidTr="00EE2E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Evidence for competence in this unit shall be considered holistically. Each element and associated Performance Criteria shall be demonstrated on at least two occas</w:t>
            </w:r>
            <w:r w:rsidRPr="00FD0AE1">
              <w:t>ions in accordance with the 'Assessment Guidelines   UEG06'. Evidence shall also comprise:</w:t>
            </w:r>
          </w:p>
          <w:p w:rsidR="00000000" w:rsidP="00FD0AE1">
            <w:pPr>
              <w:pStyle w:val="ListBullet"/>
              <w:rPr>
                <w:lang w:val="en-NZ"/>
              </w:rPr>
            </w:pPr>
            <w:r w:rsidRPr="00FD0AE1">
              <w:t>A representative body of Performance Criteria demonstrated within the timeframes typically expected of the discipline, work function and industrial environment. In p</w:t>
            </w:r>
            <w:r w:rsidRPr="00FD0AE1">
              <w:t>articular this shall incorporate evidence that shows a candidate is able to:</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FD0AE1" w:rsidP="00FD0AE1">
            <w:pPr>
              <w:pStyle w:val="ListBullet2"/>
            </w:pPr>
            <w:r w:rsidRPr="00FD0AE1">
              <w:t>Implement Occupational Health and Safety workplace procedures and practices including the use of risk control measures as specified in the Performance Criteria and range</w:t>
            </w:r>
          </w:p>
          <w:p w:rsidR="00000000" w:rsidRPr="00FD0AE1" w:rsidP="00FD0AE1">
            <w:pPr>
              <w:pStyle w:val="ListBullet2"/>
            </w:pPr>
            <w:r w:rsidRPr="00FD0AE1">
              <w:t>Apply sustainable energy principles and practices as specified in the Performance Criteria and range</w:t>
            </w:r>
          </w:p>
          <w:p w:rsidR="00000000" w:rsidRPr="00FD0AE1" w:rsidP="00FD0AE1">
            <w:pPr>
              <w:pStyle w:val="ListBullet2"/>
            </w:pPr>
            <w:r w:rsidRPr="00FD0AE1">
              <w:t>Demonstrate an understanding of the essential knowledge and associated skills as described in this unit to such an extent that the learner's performance ou</w:t>
            </w:r>
            <w:r w:rsidRPr="00FD0AE1">
              <w:t>tcome is reported in accordance with the preferred approach; namely a percentile graded result, where required by the regulated environment</w:t>
            </w:r>
          </w:p>
          <w:p w:rsidR="00000000" w:rsidRPr="00FD0AE1" w:rsidP="00FD0AE1">
            <w:pPr>
              <w:pStyle w:val="ListBullet2"/>
            </w:pPr>
            <w:r w:rsidRPr="00FD0AE1">
              <w:t>Demonstrate an appropriate level of skills enabling employment</w:t>
            </w:r>
          </w:p>
          <w:p w:rsidR="00000000" w:rsidP="00FD0AE1">
            <w:pPr>
              <w:pStyle w:val="ListBullet2"/>
              <w:rPr>
                <w:lang w:val="en-NZ"/>
              </w:rPr>
            </w:pPr>
            <w:r w:rsidRPr="00FD0AE1">
              <w:t>Conduct work observing the relevant Anti discrimination legislation, regulations, polices and workplace procedures</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D0AE1">
            <w:pPr>
              <w:pStyle w:val="ListBullet2"/>
              <w:rPr>
                <w:lang w:val="en-NZ"/>
              </w:rPr>
            </w:pPr>
            <w:r w:rsidRPr="00FD0AE1">
              <w:t>Demonstrate performance across a representative range of contexts from the prescribed items below.</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D0AE1">
            <w:pPr>
              <w:pStyle w:val="BodyText"/>
              <w:keepNext w:val="0"/>
              <w:keepLines w:val="0"/>
              <w:contextualSpacing w:val="0"/>
            </w:pPr>
          </w:p>
        </w:tc>
        <w:tc>
          <w:tcPr>
            <w:tcW w:w="594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rPr>
                <w:rStyle w:val="SpecialBold"/>
              </w:rPr>
              <w:t>Range of tools</w:t>
            </w:r>
            <w:r w:rsidRPr="00FD0AE1">
              <w:t>/</w:t>
            </w:r>
            <w:r w:rsidRPr="00FD0AE1">
              <w:rPr>
                <w:rStyle w:val="SpecialBold"/>
              </w:rPr>
              <w:t>equipment</w:t>
            </w:r>
            <w:r w:rsidRPr="00FD0AE1">
              <w:t>/</w:t>
            </w:r>
            <w:r w:rsidRPr="00FD0AE1">
              <w:rPr>
                <w:rStyle w:val="SpecialBold"/>
              </w:rPr>
              <w:t>materials</w:t>
            </w:r>
            <w:r w:rsidRPr="00FD0AE1">
              <w:t>/</w:t>
            </w:r>
            <w:r w:rsidRPr="00FD0AE1">
              <w:rPr>
                <w:rStyle w:val="SpecialBold"/>
              </w:rPr>
              <w:t>procedures</w:t>
            </w:r>
            <w:r w:rsidRPr="00FD0AE1">
              <w:t>/</w:t>
            </w:r>
            <w:r w:rsidRPr="00FD0AE1">
              <w:br/>
            </w:r>
            <w:r w:rsidRPr="00FD0AE1">
              <w:rPr>
                <w:rStyle w:val="SpecialBold"/>
              </w:rPr>
              <w:t>workplaces</w:t>
            </w:r>
            <w:r w:rsidRPr="00FD0AE1">
              <w:t>/</w:t>
            </w:r>
            <w:r w:rsidRPr="00FD0AE1">
              <w:rPr>
                <w:rStyle w:val="SpecialBold"/>
              </w:rPr>
              <w:t>other variables</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D0AE1">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rPr>
                <w:rStyle w:val="SpecialBold"/>
              </w:rPr>
              <w:t>Group No</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rPr>
                <w:rStyle w:val="SpecialBold"/>
              </w:rPr>
              <w:t>Item List</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At least 5</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t>Resources:</w:t>
            </w:r>
          </w:p>
          <w:p w:rsidR="00000000" w:rsidRPr="00FD0AE1" w:rsidP="00FD0AE1">
            <w:pPr>
              <w:pStyle w:val="BodyText"/>
            </w:pPr>
            <w:r w:rsidRPr="00FD0AE1">
              <w:t>Vessels</w:t>
            </w:r>
          </w:p>
          <w:p w:rsidR="00000000" w:rsidRPr="00FD0AE1" w:rsidP="00FD0AE1">
            <w:pPr>
              <w:pStyle w:val="BodyText"/>
            </w:pPr>
            <w:r w:rsidRPr="00FD0AE1">
              <w:t xml:space="preserve">Pumps </w:t>
            </w:r>
          </w:p>
          <w:p w:rsidR="00000000" w:rsidRPr="00FD0AE1" w:rsidP="00FD0AE1">
            <w:pPr>
              <w:pStyle w:val="BodyText"/>
            </w:pPr>
            <w:r w:rsidRPr="00FD0AE1">
              <w:t>Compressors</w:t>
            </w:r>
          </w:p>
          <w:p w:rsidR="00000000" w:rsidRPr="00FD0AE1" w:rsidP="00FD0AE1">
            <w:pPr>
              <w:pStyle w:val="BodyText"/>
            </w:pPr>
            <w:r w:rsidRPr="00FD0AE1">
              <w:t>Valves</w:t>
            </w:r>
          </w:p>
          <w:p w:rsidR="00000000" w:rsidRPr="00FD0AE1" w:rsidP="00FD0AE1">
            <w:pPr>
              <w:pStyle w:val="BodyText"/>
            </w:pPr>
            <w:r w:rsidRPr="00FD0AE1">
              <w:t>Product</w:t>
            </w:r>
          </w:p>
          <w:p w:rsidR="00000000" w:rsidRPr="00FD0AE1" w:rsidP="00FD0AE1">
            <w:pPr>
              <w:pStyle w:val="BodyText"/>
            </w:pPr>
            <w:r w:rsidRPr="00FD0AE1">
              <w:t>Control and monitoring equipment</w:t>
            </w:r>
          </w:p>
          <w:p w:rsidR="00000000" w:rsidRPr="00FD0AE1" w:rsidP="00FD0AE1">
            <w:pPr>
              <w:pStyle w:val="BodyText"/>
            </w:pPr>
            <w:r w:rsidRPr="00FD0AE1">
              <w:t>Mixing and sampling equipment</w:t>
            </w:r>
          </w:p>
          <w:p w:rsidR="00000000" w:rsidP="00FD0AE1">
            <w:pPr>
              <w:pStyle w:val="BodyText"/>
              <w:rPr>
                <w:lang w:val="en-NZ"/>
              </w:rPr>
            </w:pPr>
            <w:r w:rsidRPr="00FD0AE1">
              <w:t>Air equipment</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B</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t>Activities:</w:t>
            </w:r>
          </w:p>
          <w:p w:rsidR="00000000" w:rsidRPr="00FD0AE1" w:rsidP="00FD0AE1">
            <w:pPr>
              <w:pStyle w:val="BodyText"/>
            </w:pPr>
            <w:r w:rsidRPr="00FD0AE1">
              <w:t>Product revival, processing and/or dispatch</w:t>
            </w:r>
          </w:p>
          <w:p w:rsidR="00000000" w:rsidRPr="00FD0AE1" w:rsidP="00FD0AE1">
            <w:pPr>
              <w:pStyle w:val="BodyText"/>
            </w:pPr>
            <w:r w:rsidRPr="00FD0AE1">
              <w:t>Rectification of gas system faults</w:t>
            </w:r>
          </w:p>
          <w:p w:rsidR="00000000" w:rsidRPr="00FD0AE1" w:rsidP="00FD0AE1">
            <w:pPr>
              <w:pStyle w:val="BodyText"/>
            </w:pPr>
            <w:r w:rsidRPr="00FD0AE1">
              <w:t>Scheduling of maintenance, repairs and/or modifications</w:t>
            </w:r>
          </w:p>
          <w:p w:rsidR="00000000" w:rsidRPr="00FD0AE1" w:rsidP="00FD0AE1">
            <w:pPr>
              <w:pStyle w:val="BodyText"/>
            </w:pPr>
            <w:r w:rsidRPr="00FD0AE1">
              <w:t>Commissioning of new plant and/or equipment</w:t>
            </w:r>
          </w:p>
          <w:p w:rsidR="00000000" w:rsidP="00FD0AE1">
            <w:pPr>
              <w:pStyle w:val="BodyText"/>
              <w:rPr>
                <w:lang w:val="en-NZ"/>
              </w:rPr>
            </w:pPr>
            <w:r w:rsidRPr="00FD0AE1">
              <w:t xml:space="preserve">Stock control </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C</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At least 5</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t>Monitoring of storage/processing facilities:</w:t>
            </w:r>
          </w:p>
          <w:p w:rsidR="00000000" w:rsidRPr="00FD0AE1" w:rsidP="00FD0AE1">
            <w:pPr>
              <w:pStyle w:val="BodyText"/>
            </w:pPr>
            <w:r w:rsidRPr="00FD0AE1">
              <w:t>Pressure</w:t>
            </w:r>
          </w:p>
          <w:p w:rsidR="00000000" w:rsidRPr="00FD0AE1" w:rsidP="00FD0AE1">
            <w:pPr>
              <w:pStyle w:val="BodyText"/>
            </w:pPr>
            <w:r w:rsidRPr="00FD0AE1">
              <w:t>Temperature</w:t>
            </w:r>
          </w:p>
          <w:p w:rsidR="00000000" w:rsidRPr="00FD0AE1" w:rsidP="00FD0AE1">
            <w:pPr>
              <w:pStyle w:val="BodyText"/>
            </w:pPr>
            <w:r w:rsidRPr="00FD0AE1">
              <w:t>Volume</w:t>
            </w:r>
          </w:p>
          <w:p w:rsidR="00000000" w:rsidRPr="00FD0AE1" w:rsidP="00FD0AE1">
            <w:pPr>
              <w:pStyle w:val="BodyText"/>
            </w:pPr>
            <w:r w:rsidRPr="00FD0AE1">
              <w:t>Corrosion</w:t>
            </w:r>
          </w:p>
          <w:p w:rsidR="00000000" w:rsidRPr="00FD0AE1" w:rsidP="00FD0AE1">
            <w:pPr>
              <w:pStyle w:val="BodyText"/>
            </w:pPr>
            <w:r w:rsidRPr="00FD0AE1">
              <w:t>Liquid/vapour leaks</w:t>
            </w:r>
          </w:p>
          <w:p w:rsidR="00000000" w:rsidRPr="00FD0AE1" w:rsidP="00FD0AE1">
            <w:pPr>
              <w:pStyle w:val="BodyText"/>
            </w:pPr>
            <w:r w:rsidRPr="00FD0AE1">
              <w:t>Product levels</w:t>
            </w:r>
          </w:p>
          <w:p w:rsidR="00000000" w:rsidRPr="00FD0AE1" w:rsidP="00FD0AE1">
            <w:pPr>
              <w:pStyle w:val="BodyText"/>
            </w:pPr>
            <w:r w:rsidRPr="00FD0AE1">
              <w:t>Product levels</w:t>
            </w:r>
          </w:p>
          <w:p w:rsidR="00000000" w:rsidP="00FD0AE1">
            <w:pPr>
              <w:pStyle w:val="BodyText"/>
              <w:rPr>
                <w:lang w:val="en-NZ"/>
              </w:rPr>
            </w:pPr>
            <w:r w:rsidRPr="00FD0AE1">
              <w:t>Security</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D</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t>Operational requirements:</w:t>
            </w:r>
          </w:p>
          <w:p w:rsidR="00000000" w:rsidRPr="00FD0AE1" w:rsidP="00FD0AE1">
            <w:pPr>
              <w:pStyle w:val="BodyText"/>
            </w:pPr>
            <w:r w:rsidRPr="00FD0AE1">
              <w:t>Product levels</w:t>
            </w:r>
          </w:p>
          <w:p w:rsidR="00000000" w:rsidRPr="00FD0AE1" w:rsidP="00FD0AE1">
            <w:pPr>
              <w:pStyle w:val="BodyText"/>
            </w:pPr>
            <w:r w:rsidRPr="00FD0AE1">
              <w:t>Product blending/mixing/odourising</w:t>
            </w:r>
          </w:p>
          <w:p w:rsidR="00000000" w:rsidRPr="00FD0AE1" w:rsidP="00FD0AE1">
            <w:pPr>
              <w:pStyle w:val="BodyText"/>
            </w:pPr>
            <w:r w:rsidRPr="00FD0AE1">
              <w:t>Manufacturers maintenance requirements</w:t>
            </w:r>
          </w:p>
          <w:p w:rsidR="00000000" w:rsidP="00FD0AE1">
            <w:pPr>
              <w:pStyle w:val="BodyText"/>
              <w:rPr>
                <w:lang w:val="en-NZ"/>
              </w:rPr>
            </w:pPr>
            <w:r w:rsidRPr="00FD0AE1">
              <w:t>Rectification of gas system faults</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E</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At least 4</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t>Types of faults:</w:t>
            </w:r>
          </w:p>
          <w:p w:rsidR="00000000" w:rsidRPr="00FD0AE1" w:rsidP="00FD0AE1">
            <w:pPr>
              <w:pStyle w:val="BodyText"/>
            </w:pPr>
            <w:r w:rsidRPr="00FD0AE1">
              <w:t>Liquid/vapour leaks</w:t>
            </w:r>
          </w:p>
          <w:p w:rsidR="00000000" w:rsidRPr="00FD0AE1" w:rsidP="00FD0AE1">
            <w:pPr>
              <w:pStyle w:val="BodyText"/>
            </w:pPr>
            <w:r w:rsidRPr="00FD0AE1">
              <w:t>Electrical problems</w:t>
            </w:r>
          </w:p>
          <w:p w:rsidR="00000000" w:rsidRPr="00FD0AE1" w:rsidP="00FD0AE1">
            <w:pPr>
              <w:pStyle w:val="BodyText"/>
            </w:pPr>
            <w:r w:rsidRPr="00FD0AE1">
              <w:t>Mechanical failure</w:t>
            </w:r>
          </w:p>
          <w:p w:rsidR="00000000" w:rsidRPr="00FD0AE1" w:rsidP="00FD0AE1">
            <w:pPr>
              <w:pStyle w:val="BodyText"/>
            </w:pPr>
            <w:r w:rsidRPr="00FD0AE1">
              <w:t>Over filled vessel</w:t>
            </w:r>
          </w:p>
          <w:p w:rsidR="00000000" w:rsidRPr="00FD0AE1" w:rsidP="00FD0AE1">
            <w:pPr>
              <w:pStyle w:val="BodyText"/>
            </w:pPr>
            <w:r w:rsidRPr="00FD0AE1">
              <w:t>Out of current inspection status</w:t>
            </w:r>
          </w:p>
          <w:p w:rsidR="00000000" w:rsidP="00FD0AE1">
            <w:pPr>
              <w:pStyle w:val="BodyText"/>
              <w:rPr>
                <w:lang w:val="en-NZ"/>
              </w:rPr>
            </w:pPr>
            <w:r w:rsidRPr="00FD0AE1">
              <w:t>Gauge failure</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F</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t>Working safely in an LPG environment</w:t>
            </w:r>
          </w:p>
          <w:p w:rsidR="00000000" w:rsidRPr="00FD0AE1" w:rsidP="00FD0AE1">
            <w:pPr>
              <w:pStyle w:val="BodyText"/>
            </w:pPr>
            <w:r w:rsidRPr="00FD0AE1">
              <w:t>Interpreting technical drawings</w:t>
            </w:r>
          </w:p>
          <w:p w:rsidR="00000000" w:rsidRPr="00FD0AE1" w:rsidP="00FD0AE1">
            <w:pPr>
              <w:pStyle w:val="BodyText"/>
            </w:pPr>
            <w:r w:rsidRPr="00FD0AE1">
              <w:t>Determining odourant levels for LPG processing</w:t>
            </w:r>
          </w:p>
          <w:p w:rsidR="00000000" w:rsidRPr="00FD0AE1" w:rsidP="00FD0AE1">
            <w:pPr>
              <w:pStyle w:val="BodyText"/>
            </w:pPr>
            <w:r w:rsidRPr="00FD0AE1">
              <w:t>OHS and associated legislative requirements</w:t>
            </w:r>
          </w:p>
          <w:p w:rsidR="00000000" w:rsidP="00FD0AE1">
            <w:pPr>
              <w:pStyle w:val="BodyText"/>
              <w:rPr>
                <w:lang w:val="en-NZ"/>
              </w:rPr>
            </w:pPr>
            <w:r w:rsidRPr="00FD0AE1">
              <w:t>ADG Code</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G</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 xml:space="preserve">Deal with an unplanned event by drawing on essential knowledge and associated skills to provide appropriate solutions incorporated in the holistic assessment with the above listed items </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8</w:t>
            </w:r>
            <w:r w:rsidRPr="00FD0AE1">
              <w:t>.</w:t>
            </w:r>
            <w:r w:rsidRPr="00FD0AE1">
              <w:rPr>
                <w:rStyle w:val="SpecialBold"/>
              </w:rPr>
              <w:t>3</w:t>
            </w:r>
            <w:r w:rsidRPr="00FD0AE1">
              <w:t xml:space="preserve">) </w:t>
            </w:r>
          </w:p>
          <w:p w:rsidR="00000000" w:rsidRPr="00FD0AE1" w:rsidP="00FD0AE1">
            <w:pPr>
              <w:pStyle w:val="BodyText"/>
            </w:pPr>
            <w:r w:rsidRPr="00FD0AE1">
              <w:t>This unit should be assessed as it relates to normal work practice using procedures, information and resources typical of a workplace. This should include:</w:t>
            </w:r>
          </w:p>
          <w:p w:rsidR="00000000" w:rsidRPr="00FD0AE1" w:rsidP="00FD0AE1">
            <w:pPr>
              <w:pStyle w:val="ListBullet"/>
            </w:pPr>
            <w:r w:rsidRPr="00FD0AE1">
              <w:t>OHS policy and work procedures and instructions.</w:t>
            </w:r>
          </w:p>
          <w:p w:rsidR="00000000" w:rsidRPr="00FD0AE1" w:rsidP="00FD0AE1">
            <w:pPr>
              <w:pStyle w:val="ListBullet"/>
            </w:pPr>
            <w:r w:rsidRPr="00FD0AE1">
              <w:t>Suitable work environment, facilities, equipment an</w:t>
            </w:r>
            <w:r w:rsidRPr="00FD0AE1">
              <w:t>d materials to undertake actual work as prescribed by this Competency Standard Unit.</w:t>
            </w:r>
          </w:p>
          <w:p w:rsidR="00000000" w:rsidRPr="00FD0AE1" w:rsidP="00FD0AE1">
            <w:pPr>
              <w:pStyle w:val="ListBullet"/>
            </w:pPr>
            <w:r w:rsidRPr="00FD0AE1">
              <w:t>Appropriate environmental regulation and work practices.</w:t>
            </w:r>
          </w:p>
          <w:p w:rsidR="00000000" w:rsidRPr="00FD0AE1" w:rsidP="00FD0AE1">
            <w:pPr>
              <w:pStyle w:val="ListBullet"/>
            </w:pPr>
            <w:r w:rsidRPr="00FD0AE1">
              <w:t>Appropriate organisational requirements.</w:t>
            </w:r>
          </w:p>
          <w:p w:rsidR="00000000" w:rsidP="00FD0AE1">
            <w:pPr>
              <w:pStyle w:val="ListBullet"/>
              <w:rPr>
                <w:lang w:val="en-NZ"/>
              </w:rPr>
            </w:pPr>
            <w:r w:rsidRPr="00FD0AE1">
              <w:t>Appropriate work environment, equipment and tools.</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In addition to the resources listed above, in Context of and specific resources for assessment, evidence should show demonstrated competency in supervising technical operations for liquefied petroleum gas storage and processing.</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Assessment of this co</w:t>
            </w:r>
            <w:r w:rsidRPr="00FD0AE1">
              <w:t>mpetency must also be undertaken in either an actual workplace or under a simulated work environment. Assessment must also integrate the Key Competencies.</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8</w:t>
            </w:r>
            <w:r w:rsidRPr="00FD0AE1">
              <w:t>.</w:t>
            </w:r>
            <w:r w:rsidRPr="00FD0AE1">
              <w:rPr>
                <w:rStyle w:val="SpecialBold"/>
              </w:rPr>
              <w:t>4</w:t>
            </w:r>
            <w:r w:rsidRPr="00FD0AE1">
              <w:t xml:space="preserve">) </w:t>
            </w:r>
          </w:p>
          <w:p w:rsidR="00000000" w:rsidRPr="00FD0AE1" w:rsidP="00FD0AE1">
            <w:pPr>
              <w:pStyle w:val="BodyText"/>
            </w:pPr>
            <w:r w:rsidRPr="00FD0AE1">
              <w:t>This Competency Standard Unit shall be assessed by methods given in Volume 1, Part 3 'Assessment Guidelines'.</w:t>
            </w:r>
          </w:p>
          <w:p w:rsidR="00000000" w:rsidP="00FD0AE1">
            <w:pPr>
              <w:pStyle w:val="BodyText"/>
              <w:rPr>
                <w:lang w:val="en-NZ"/>
              </w:rPr>
            </w:pPr>
            <w:r w:rsidRPr="00FD0AE1">
              <w:t>Note:</w:t>
            </w:r>
            <w:r w:rsidRPr="00FD0AE1">
              <w:br/>
              <w:t xml:space="preserve">Competent performance with inherent safe working practices is expected in the Industry to which this Competency Standard Unit applies. This </w:t>
            </w:r>
            <w:r w:rsidRPr="00FD0AE1">
              <w:t>requires that the specified Essential Knowledge and Associated Skills are assessed in a structured environment which is primarily intended for learning/assessment and incorporates all necessary equipment and facilities for learners to develop and demonstra</w:t>
            </w:r>
            <w:r w:rsidRPr="00FD0AE1">
              <w:t>te the essential knowledge and associated skills described in this unit.</w:t>
            </w:r>
          </w:p>
        </w:tc>
      </w:tr>
      <w:tr w:rsidTr="00EE2E9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8</w:t>
            </w:r>
            <w:r w:rsidRPr="00FD0AE1">
              <w:t>.</w:t>
            </w:r>
            <w:r w:rsidRPr="00FD0AE1">
              <w:rPr>
                <w:rStyle w:val="SpecialBold"/>
              </w:rPr>
              <w:t>5</w:t>
            </w:r>
            <w:r w:rsidRPr="00FD0AE1">
              <w:t xml:space="preserve">) </w:t>
            </w:r>
          </w:p>
        </w:tc>
      </w:tr>
      <w:tr w:rsidTr="00EE2E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There are no recommended concurrent assessments with this unit, however in some cases efficiencies may be gained in terms of learning and assessment effort being concurrently managed with allied Competency Standard Units where listed.</w:t>
            </w:r>
          </w:p>
        </w:tc>
      </w:tr>
      <w:tr w:rsidTr="00EE2E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BSBFLM405A</w:t>
            </w:r>
          </w:p>
        </w:tc>
        <w:tc>
          <w:tcPr>
            <w:tcW w:w="4500" w:type="dxa"/>
            <w:gridSpan w:val="2"/>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Implement operational plans</w:t>
            </w:r>
          </w:p>
        </w:tc>
      </w:tr>
      <w:tr w:rsidTr="00EE2E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BSBCMN411A</w:t>
            </w:r>
          </w:p>
        </w:tc>
        <w:tc>
          <w:tcPr>
            <w:tcW w:w="4500" w:type="dxa"/>
            <w:gridSpan w:val="2"/>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Monitor a safe workplace</w:t>
            </w:r>
          </w:p>
        </w:tc>
      </w:tr>
    </w:tbl>
    <w:p w:rsidR="00000000" w:rsidRPr="00FD0AE1" w:rsidP="00FD0AE1">
      <w:pPr>
        <w:pStyle w:val="BodyText"/>
      </w:pPr>
    </w:p>
    <w:tbl>
      <w:tblPr>
        <w:tblW w:w="0" w:type="auto"/>
        <w:tblLayout w:type="fixed"/>
        <w:tblCellMar>
          <w:left w:w="62" w:type="dxa"/>
          <w:right w:w="62" w:type="dxa"/>
        </w:tblCellMar>
        <w:tblLook w:val="0000"/>
      </w:tblPr>
      <w:tblGrid>
        <w:gridCol w:w="2160"/>
        <w:gridCol w:w="4737"/>
        <w:gridCol w:w="1563"/>
      </w:tblGrid>
      <w:tr w:rsidTr="00EE2E9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D0AE1" w:rsidP="00FD0AE1">
            <w:pPr>
              <w:pStyle w:val="BodyText"/>
            </w:pPr>
            <w:r w:rsidRPr="00FD0AE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8</w:t>
            </w:r>
            <w:r w:rsidRPr="00FD0AE1">
              <w:t>.</w:t>
            </w:r>
            <w:r w:rsidRPr="00FD0AE1">
              <w:rPr>
                <w:rStyle w:val="SpecialBold"/>
              </w:rPr>
              <w:t>6</w:t>
            </w:r>
            <w:r w:rsidRPr="00FD0AE1">
              <w:t xml:space="preserve">) </w:t>
            </w:r>
          </w:p>
          <w:p w:rsidR="00000000" w:rsidP="00FD0AE1">
            <w:pPr>
              <w:pStyle w:val="BodyText"/>
              <w:rPr>
                <w:lang w:val="en-NZ"/>
              </w:rPr>
            </w:pPr>
            <w:r w:rsidRPr="00FD0AE1">
              <w:t>Evidence that particular Key Competencies have been achieved within this Competency Standard Unit is in the context of the following Performance Criteria of evidence. See Volume 2, Part 4 for an explanation of Key Competencies and levels of this Training P</w:t>
            </w:r>
            <w:r w:rsidRPr="00FD0AE1">
              <w:t>ackage.</w:t>
            </w:r>
          </w:p>
        </w:tc>
      </w:tr>
      <w:tr w:rsidTr="00EE2E9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rPr>
                <w:rStyle w:val="SpecialBold"/>
              </w:rPr>
              <w:t>Performance Level</w:t>
            </w:r>
          </w:p>
        </w:tc>
      </w:tr>
      <w:tr w:rsidTr="00EE2E9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p w:rsidR="00000000" w:rsidP="00FD0AE1">
            <w:pPr>
              <w:pStyle w:val="BodyText"/>
              <w:rPr>
                <w:lang w:val="en-NZ"/>
              </w:rPr>
            </w:pPr>
            <w:r w:rsidRPr="00FD0AE1">
              <w:t>3</w:t>
            </w:r>
          </w:p>
        </w:tc>
      </w:tr>
      <w:tr w:rsidTr="00EE2E9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p>
        </w:tc>
      </w:tr>
      <w:tr w:rsidTr="00EE2E9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p w:rsidR="00000000" w:rsidP="00FD0AE1">
            <w:pPr>
              <w:pStyle w:val="BodyText"/>
              <w:rPr>
                <w:lang w:val="en-NZ"/>
              </w:rPr>
            </w:pPr>
            <w:r w:rsidRPr="00FD0AE1">
              <w:t>2</w:t>
            </w:r>
          </w:p>
        </w:tc>
      </w:tr>
      <w:tr w:rsidTr="00EE2E9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p>
        </w:tc>
      </w:tr>
      <w:tr w:rsidTr="00EE2E9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p w:rsidR="00000000" w:rsidP="00FD0AE1">
            <w:pPr>
              <w:pStyle w:val="BodyText"/>
              <w:rPr>
                <w:lang w:val="en-NZ"/>
              </w:rPr>
            </w:pPr>
            <w:r w:rsidRPr="00FD0AE1">
              <w:t>2</w:t>
            </w:r>
          </w:p>
        </w:tc>
      </w:tr>
      <w:tr w:rsidTr="00EE2E9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1.2;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p>
        </w:tc>
      </w:tr>
      <w:tr w:rsidTr="00EE2E9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p w:rsidR="00000000" w:rsidP="00FD0AE1">
            <w:pPr>
              <w:pStyle w:val="BodyText"/>
              <w:rPr>
                <w:lang w:val="en-NZ"/>
              </w:rPr>
            </w:pPr>
            <w:r w:rsidRPr="00FD0AE1">
              <w:t>2</w:t>
            </w:r>
          </w:p>
        </w:tc>
      </w:tr>
      <w:tr w:rsidTr="00EE2E9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p>
        </w:tc>
      </w:tr>
      <w:tr w:rsidTr="00EE2E9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p w:rsidR="00000000" w:rsidP="00FD0AE1">
            <w:pPr>
              <w:pStyle w:val="BodyText"/>
              <w:rPr>
                <w:lang w:val="en-NZ"/>
              </w:rPr>
            </w:pPr>
            <w:r w:rsidRPr="00FD0AE1">
              <w:t>N/A</w:t>
            </w:r>
          </w:p>
        </w:tc>
      </w:tr>
      <w:tr w:rsidTr="00EE2E9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p>
        </w:tc>
      </w:tr>
      <w:tr w:rsidTr="00EE2E9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p w:rsidR="00000000" w:rsidP="00FD0AE1">
            <w:pPr>
              <w:pStyle w:val="BodyText"/>
              <w:rPr>
                <w:lang w:val="en-NZ"/>
              </w:rPr>
            </w:pPr>
            <w:r w:rsidRPr="00FD0AE1">
              <w:t>2</w:t>
            </w:r>
          </w:p>
        </w:tc>
      </w:tr>
      <w:tr w:rsidTr="00EE2E9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2.11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p>
        </w:tc>
      </w:tr>
      <w:tr w:rsidTr="00EE2E9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p w:rsidR="00000000" w:rsidP="00FD0AE1">
            <w:pPr>
              <w:pStyle w:val="BodyText"/>
              <w:rPr>
                <w:lang w:val="en-NZ"/>
              </w:rPr>
            </w:pPr>
            <w:r w:rsidRPr="00FD0AE1">
              <w:t>2</w:t>
            </w:r>
          </w:p>
        </w:tc>
      </w:tr>
      <w:tr w:rsidTr="00EE2E9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p>
        </w:tc>
      </w:tr>
    </w:tbl>
    <w:p w:rsidR="00000000" w:rsidRPr="00FD0AE1" w:rsidP="00FD0AE1">
      <w:pPr>
        <w:pStyle w:val="BodyText"/>
      </w:pPr>
    </w:p>
    <w:tbl>
      <w:tblPr>
        <w:tblW w:w="0" w:type="auto"/>
        <w:tblLayout w:type="fixed"/>
        <w:tblCellMar>
          <w:left w:w="62" w:type="dxa"/>
          <w:right w:w="62" w:type="dxa"/>
        </w:tblCellMar>
        <w:tblLook w:val="0000"/>
      </w:tblPr>
      <w:tblGrid>
        <w:gridCol w:w="326"/>
        <w:gridCol w:w="1834"/>
        <w:gridCol w:w="6300"/>
      </w:tblGrid>
      <w:tr w:rsidTr="00EE2E9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D0AE1" w:rsidP="00FD0AE1">
            <w:pPr>
              <w:pStyle w:val="BodyText"/>
            </w:pPr>
            <w:r w:rsidRPr="00FD0AE1">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D0AE1" w:rsidP="00FD0AE1">
            <w:pPr>
              <w:pStyle w:val="BodyText"/>
            </w:pPr>
            <w:r w:rsidRPr="00FD0AE1">
              <w:rPr>
                <w:rStyle w:val="SpecialBold"/>
              </w:rPr>
              <w:t>8</w:t>
            </w:r>
            <w:r w:rsidRPr="00FD0AE1">
              <w:t>.</w:t>
            </w:r>
            <w:r w:rsidRPr="00FD0AE1">
              <w:rPr>
                <w:rStyle w:val="SpecialBold"/>
              </w:rPr>
              <w:t>7</w:t>
            </w:r>
            <w:r w:rsidRPr="00FD0AE1">
              <w:t xml:space="preserve">) </w:t>
            </w:r>
          </w:p>
          <w:p w:rsidR="00000000" w:rsidP="00FD0AE1">
            <w:pPr>
              <w:pStyle w:val="BodyText"/>
              <w:rPr>
                <w:lang w:val="en-NZ"/>
              </w:rPr>
            </w:pPr>
            <w:r w:rsidRPr="00FD0AE1">
              <w:t xml:space="preserve">Evidence that competency in this unit incorporates skills enabling employment is in the context of the following performance. See Volume 2, Part 5 for definitions and an explanation of skills enabling employment. </w:t>
            </w:r>
          </w:p>
        </w:tc>
      </w:tr>
      <w:tr w:rsidTr="00EE2E9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rPr>
                <w:rStyle w:val="SpecialBold"/>
              </w:rPr>
              <w:t>Example of Applica</w:t>
            </w:r>
            <w:r w:rsidRPr="00FD0AE1">
              <w:rPr>
                <w:rStyle w:val="SpecialBold"/>
              </w:rPr>
              <w:t>tion</w:t>
            </w:r>
          </w:p>
        </w:tc>
      </w:tr>
      <w:tr w:rsidTr="00EE2E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r>
      <w:tr w:rsidTr="00EE2E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All</w:t>
            </w:r>
          </w:p>
        </w:tc>
      </w:tr>
      <w:tr w:rsidTr="00EE2E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r>
      <w:tr w:rsidTr="00EE2E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1.2; 1.3; 2.11</w:t>
            </w:r>
          </w:p>
        </w:tc>
      </w:tr>
      <w:tr w:rsidTr="00EE2E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r>
      <w:tr w:rsidTr="00EE2E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3.6</w:t>
            </w:r>
          </w:p>
        </w:tc>
      </w:tr>
      <w:tr w:rsidTr="00EE2E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r>
      <w:tr w:rsidTr="00EE2E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1.2; 1.4; 1.9; 2.11</w:t>
            </w:r>
          </w:p>
        </w:tc>
      </w:tr>
      <w:tr w:rsidTr="00EE2E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r>
      <w:tr w:rsidTr="00EE2E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1.2; 1.3</w:t>
            </w:r>
          </w:p>
        </w:tc>
      </w:tr>
      <w:tr w:rsidTr="00EE2E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AE1">
            <w:pPr>
              <w:pStyle w:val="BodyText"/>
              <w:rPr>
                <w:lang w:val="en-NZ"/>
              </w:rPr>
            </w:pPr>
            <w:r w:rsidRPr="00FD0AE1">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AE1">
            <w:pPr>
              <w:pStyle w:val="BodyText"/>
              <w:rPr>
                <w:lang w:val="en-NZ"/>
              </w:rPr>
            </w:pPr>
            <w:r w:rsidRPr="00FD0AE1">
              <w:t>Refer to the following Performance Criteria for examples of application:</w:t>
            </w:r>
          </w:p>
        </w:tc>
      </w:tr>
      <w:tr w:rsidTr="00EE2E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D0AE1" w:rsidP="00FD0AE1">
            <w:pPr>
              <w:pStyle w:val="BodyText"/>
            </w:pPr>
            <w:r w:rsidRPr="00FD0AE1">
              <w:t>2.11</w:t>
            </w:r>
          </w:p>
        </w:tc>
      </w:tr>
    </w:tbl>
    <w:p w:rsidR="00EE2E96" w:rsidP="00FD0AE1">
      <w:pPr>
        <w:pStyle w:val="BodyText"/>
      </w:pPr>
    </w:p>
    <w:p w:rsidR="00EE2E96" w:rsidP="00FD0AE1">
      <w:pPr>
        <w:pStyle w:val="BodyText"/>
      </w:pPr>
    </w:p>
    <w:p w:rsidR="00000000" w:rsidRPr="00FD0AE1" w:rsidP="00FD0AE1">
      <w:pPr>
        <w:pStyle w:val="Heading1"/>
      </w:pPr>
      <w:bookmarkStart w:id="11" w:name="O_255826"/>
      <w:bookmarkEnd w:id="11"/>
      <w:r w:rsidRPr="00FD0AE1">
        <w:t>Range Statement</w:t>
      </w:r>
    </w:p>
    <w:tbl>
      <w:tblPr>
        <w:tblW w:w="0" w:type="auto"/>
        <w:tblLayout w:type="fixed"/>
        <w:tblCellMar>
          <w:left w:w="62" w:type="dxa"/>
          <w:right w:w="62" w:type="dxa"/>
        </w:tblCellMar>
        <w:tblLook w:val="0000"/>
      </w:tblPr>
      <w:tblGrid>
        <w:gridCol w:w="8460"/>
      </w:tblGrid>
      <w:tr w:rsidTr="00EE2E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RANGE STATEMENT</w:t>
            </w:r>
          </w:p>
        </w:tc>
      </w:tr>
      <w:tr w:rsidTr="00EE2E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7</w:t>
            </w:r>
            <w:r w:rsidRPr="00FD0AE1">
              <w:t>) This relates to the competency standard unit as a whole providing the range of contexts and conditions to which the Performance Criteria apply. It allows for different work environments and situations that will affect performance.</w:t>
            </w:r>
          </w:p>
        </w:tc>
      </w:tr>
      <w:tr w:rsidTr="00EE2E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This Competency Standa</w:t>
            </w:r>
            <w:r w:rsidRPr="00FD0AE1">
              <w:t>rd Unit shall/may be demonstrated in relation to supervising technical operations for liquefied petroleum gas storage and processing.</w:t>
            </w:r>
          </w:p>
          <w:p w:rsidR="00000000" w:rsidRPr="00FD0AE1" w:rsidP="00FD0AE1">
            <w:pPr>
              <w:pStyle w:val="BodyText"/>
            </w:pPr>
            <w:r w:rsidRPr="00FD0AE1">
              <w:t>The following constants and variables included in the element/Performance Criteria in this unit are fully described in the</w:t>
            </w:r>
            <w:r w:rsidRPr="00FD0AE1">
              <w:t xml:space="preserve"> Definitions Section of this volume and form an integral part of the Range Statement of this unit:</w:t>
            </w:r>
          </w:p>
          <w:p w:rsidR="00000000" w:rsidRPr="00FD0AE1" w:rsidP="00FD0AE1">
            <w:pPr>
              <w:pStyle w:val="BodyText"/>
            </w:pPr>
            <w:r w:rsidRPr="00FD0AE1">
              <w:t xml:space="preserve">Resources </w:t>
            </w:r>
          </w:p>
          <w:p w:rsidR="00000000" w:rsidRPr="00FD0AE1" w:rsidP="00FD0AE1">
            <w:pPr>
              <w:pStyle w:val="BodyText"/>
            </w:pPr>
            <w:r w:rsidRPr="00FD0AE1">
              <w:t>Activities</w:t>
            </w:r>
          </w:p>
          <w:p w:rsidR="00000000" w:rsidRPr="00FD0AE1" w:rsidP="00FD0AE1">
            <w:pPr>
              <w:pStyle w:val="BodyText"/>
            </w:pPr>
            <w:r w:rsidRPr="00FD0AE1">
              <w:t>Appropriate persons (5)</w:t>
            </w:r>
          </w:p>
          <w:p w:rsidR="00000000" w:rsidRPr="00FD0AE1" w:rsidP="00FD0AE1">
            <w:pPr>
              <w:pStyle w:val="BodyText"/>
            </w:pPr>
            <w:r w:rsidRPr="00FD0AE1">
              <w:t>Relevant persons</w:t>
            </w:r>
          </w:p>
          <w:p w:rsidR="00000000" w:rsidRPr="00FD0AE1" w:rsidP="00FD0AE1">
            <w:pPr>
              <w:pStyle w:val="BodyText"/>
            </w:pPr>
            <w:r w:rsidRPr="00FD0AE1">
              <w:t>Monitoring</w:t>
            </w:r>
          </w:p>
          <w:p w:rsidR="00000000" w:rsidRPr="00FD0AE1" w:rsidP="00FD0AE1">
            <w:pPr>
              <w:pStyle w:val="BodyText"/>
            </w:pPr>
            <w:r w:rsidRPr="00FD0AE1">
              <w:t>Operational requirements (5)</w:t>
            </w:r>
          </w:p>
          <w:p w:rsidR="00000000" w:rsidRPr="00FD0AE1" w:rsidP="00FD0AE1">
            <w:pPr>
              <w:pStyle w:val="BodyText"/>
            </w:pPr>
            <w:r w:rsidRPr="00FD0AE1">
              <w:t>Effective communication (5)</w:t>
            </w:r>
          </w:p>
          <w:p w:rsidR="00000000" w:rsidRPr="00FD0AE1" w:rsidP="00FD0AE1">
            <w:pPr>
              <w:pStyle w:val="BodyText"/>
            </w:pPr>
            <w:r w:rsidRPr="00FD0AE1">
              <w:t>Types of gas system faults</w:t>
            </w:r>
          </w:p>
          <w:p w:rsidR="00000000" w:rsidRPr="00FD0AE1" w:rsidP="00FD0AE1">
            <w:pPr>
              <w:pStyle w:val="BodyText"/>
            </w:pPr>
            <w:r w:rsidRPr="00FD0AE1">
              <w:t>Relevant documentation (5)</w:t>
            </w:r>
          </w:p>
          <w:p w:rsidR="00000000" w:rsidRPr="00FD0AE1" w:rsidP="00FD0AE1">
            <w:pPr>
              <w:pStyle w:val="BodyText"/>
            </w:pPr>
            <w:r w:rsidRPr="00FD0AE1">
              <w:t>Legislative requirements (5)</w:t>
            </w:r>
          </w:p>
          <w:p w:rsidR="00000000" w:rsidRPr="00FD0AE1" w:rsidP="00FD0AE1">
            <w:pPr>
              <w:pStyle w:val="BodyText"/>
            </w:pPr>
            <w:r w:rsidRPr="00FD0AE1">
              <w:t>Records/reports (5)</w:t>
            </w:r>
          </w:p>
        </w:tc>
      </w:tr>
    </w:tbl>
    <w:p w:rsidR="00EE2E96" w:rsidP="00FD0AE1">
      <w:pPr>
        <w:pStyle w:val="BodyText"/>
      </w:pPr>
    </w:p>
    <w:p w:rsidR="00EE2E96" w:rsidP="00FD0AE1">
      <w:pPr>
        <w:pStyle w:val="BodyText"/>
      </w:pPr>
    </w:p>
    <w:p w:rsidR="00000000" w:rsidRPr="00FD0AE1" w:rsidP="00FD0AE1">
      <w:pPr>
        <w:pStyle w:val="Heading1"/>
      </w:pPr>
      <w:bookmarkStart w:id="12" w:name="O_296839"/>
      <w:bookmarkEnd w:id="12"/>
      <w:r w:rsidRPr="00FD0AE1">
        <w:t>Unit Sector(s)</w:t>
      </w:r>
    </w:p>
    <w:p w:rsidR="00000000" w:rsidRPr="00FD0AE1" w:rsidP="00FD0AE1">
      <w:pPr>
        <w:pStyle w:val="BodyText"/>
      </w:pPr>
      <w:r w:rsidRPr="00FD0AE1">
        <w:t>Not Applicable</w:t>
      </w:r>
    </w:p>
    <w:p w:rsidR="00000000" w:rsidRPr="00FD0AE1" w:rsidP="00FD0AE1">
      <w:pPr>
        <w:pStyle w:val="AllowPageBreak"/>
      </w:pPr>
    </w:p>
    <w:p w:rsidR="00000000" w:rsidRPr="00FD0AE1" w:rsidP="00FD0AE1">
      <w:pPr>
        <w:pStyle w:val="Heading1"/>
      </w:pPr>
      <w:bookmarkStart w:id="13" w:name="O_229692"/>
      <w:bookmarkEnd w:id="13"/>
      <w:r w:rsidRPr="00FD0AE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E2E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2</w:t>
            </w:r>
            <w:r w:rsidRPr="00FD0AE1">
              <w:t>.</w:t>
            </w:r>
            <w:r w:rsidRPr="00FD0AE1">
              <w:rPr>
                <w:rStyle w:val="SpecialBold"/>
              </w:rPr>
              <w:t>2</w:t>
            </w:r>
            <w:r w:rsidRPr="00FD0AE1">
              <w:t xml:space="preserve">) </w:t>
            </w:r>
          </w:p>
          <w:p w:rsidR="00000000" w:rsidP="00FD0AE1">
            <w:pPr>
              <w:pStyle w:val="BodyText"/>
              <w:rPr>
                <w:lang w:val="en-NZ"/>
              </w:rPr>
            </w:pPr>
            <w:r w:rsidRPr="00FD0AE1">
              <w:t>Participants are best equipped to achieve this u</w:t>
            </w:r>
            <w:r w:rsidRPr="00FD0AE1">
              <w:t>nit if they have reading, writing and numeracy skills indicated by the following scales. Description of each scale is given in Volume 2, Part 3 'Literacy and Numeracy'</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Reading</w:t>
            </w:r>
          </w:p>
        </w:tc>
        <w:tc>
          <w:tcPr>
            <w:tcW w:w="805"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4</w:t>
            </w:r>
          </w:p>
        </w:tc>
        <w:tc>
          <w:tcPr>
            <w:tcW w:w="1184"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Writing</w:t>
            </w:r>
          </w:p>
        </w:tc>
        <w:tc>
          <w:tcPr>
            <w:tcW w:w="805"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4</w:t>
            </w:r>
          </w:p>
        </w:tc>
        <w:tc>
          <w:tcPr>
            <w:tcW w:w="1172"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t>Numeracy</w:t>
            </w:r>
          </w:p>
        </w:tc>
        <w:tc>
          <w:tcPr>
            <w:tcW w:w="805"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4</w:t>
            </w:r>
          </w:p>
        </w:tc>
      </w:tr>
    </w:tbl>
    <w:p w:rsidR="00EE2E96" w:rsidP="00FD0AE1">
      <w:pPr>
        <w:pStyle w:val="BodyText"/>
      </w:pPr>
    </w:p>
    <w:p w:rsidR="00EE2E96" w:rsidP="00FD0AE1">
      <w:pPr>
        <w:pStyle w:val="BodyText"/>
      </w:pPr>
    </w:p>
    <w:p w:rsidR="00000000" w:rsidRPr="00FD0AE1" w:rsidP="00FD0AE1">
      <w:pPr>
        <w:pStyle w:val="Heading1"/>
      </w:pPr>
      <w:bookmarkStart w:id="14" w:name="O_229695"/>
      <w:bookmarkEnd w:id="14"/>
      <w:r w:rsidRPr="00FD0AE1">
        <w:t>Competency Field</w:t>
      </w:r>
    </w:p>
    <w:tbl>
      <w:tblPr>
        <w:tblW w:w="0" w:type="auto"/>
        <w:tblLayout w:type="fixed"/>
        <w:tblCellMar>
          <w:left w:w="62" w:type="dxa"/>
          <w:right w:w="62" w:type="dxa"/>
        </w:tblCellMar>
        <w:tblLook w:val="0000"/>
      </w:tblPr>
      <w:tblGrid>
        <w:gridCol w:w="2700"/>
        <w:gridCol w:w="5760"/>
      </w:tblGrid>
      <w:tr w:rsidTr="00EE2E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D0AE1">
            <w:pPr>
              <w:pStyle w:val="BodyText"/>
              <w:rPr>
                <w:lang w:val="en-NZ"/>
              </w:rPr>
            </w:pPr>
            <w:r w:rsidRPr="00FD0AE1">
              <w:rPr>
                <w:rStyle w:val="SpecialBold"/>
              </w:rPr>
              <w:t>4</w:t>
            </w:r>
            <w:r w:rsidRPr="00FD0AE1">
              <w:t>)</w:t>
            </w:r>
          </w:p>
        </w:tc>
      </w:tr>
      <w:tr w:rsidTr="00EE2E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0AE1" w:rsidP="00FD0AE1">
            <w:pPr>
              <w:pStyle w:val="BodyText"/>
            </w:pPr>
            <w:r w:rsidRPr="00FD0AE1">
              <w:t>LPG.</w:t>
            </w:r>
          </w:p>
        </w:tc>
      </w:tr>
    </w:tbl>
    <w:p w:rsidR="00EE2E96" w:rsidP="00FD0AE1">
      <w:pPr>
        <w:pStyle w:val="BodyText"/>
      </w:pPr>
    </w:p>
    <w:p w:rsidR="00EE2E96" w:rsidP="00FD0AE1">
      <w:pPr>
        <w:pStyle w:val="BodyText"/>
      </w:pPr>
    </w:p>
    <w:p w:rsidR="00000000" w:rsidRPr="00FD0AE1" w:rsidP="00FD0AE1"/>
    <w:sectPr w:rsidSect="00FD0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E96" w:rsidP="00EE2E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6" w:rsidP="00FD0A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E2E96" w:rsidP="00FD0A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E2E96" w:rsidP="00FD0A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E1" w:rsidRPr="00EE2E96" w:rsidP="00EE2E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96" w:rsidRPr="002D2AF8" w:rsidP="00FD0AE1">
    <w:pPr>
      <w:pStyle w:val="Header"/>
      <w:framePr w:wrap="around"/>
    </w:pPr>
    <w:r>
      <w:fldChar w:fldCharType="begin"/>
    </w:r>
    <w:r>
      <w:instrText xml:space="preserve"> TITLE   \* MERGEFORMAT </w:instrText>
    </w:r>
    <w:r>
      <w:fldChar w:fldCharType="separate"/>
    </w:r>
    <w:r>
      <w:t>UEGNSG612A Supervise technical operations for liquefied petroleum gas storage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E2E96" w:rsidP="00FD0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582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41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C2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AE1"/>
    <w:pPr>
      <w:spacing w:before="360" w:after="60"/>
      <w:outlineLvl w:val="0"/>
    </w:pPr>
    <w:rPr>
      <w:sz w:val="32"/>
    </w:rPr>
  </w:style>
  <w:style w:type="paragraph" w:styleId="Heading2">
    <w:name w:val="heading 2"/>
    <w:basedOn w:val="HeadingBase"/>
    <w:next w:val="BodyText"/>
    <w:link w:val="Heading2Char"/>
    <w:qFormat/>
    <w:rsid w:val="00FD0AE1"/>
    <w:pPr>
      <w:keepLines/>
      <w:spacing w:before="240" w:after="120"/>
      <w:outlineLvl w:val="1"/>
    </w:pPr>
    <w:rPr>
      <w:sz w:val="28"/>
      <w:szCs w:val="40"/>
    </w:rPr>
  </w:style>
  <w:style w:type="paragraph" w:styleId="Heading3">
    <w:name w:val="heading 3"/>
    <w:basedOn w:val="HeadingBase"/>
    <w:next w:val="BodyText"/>
    <w:link w:val="Heading3Char"/>
    <w:qFormat/>
    <w:rsid w:val="00FD0AE1"/>
    <w:pPr>
      <w:spacing w:before="180" w:after="120"/>
      <w:outlineLvl w:val="2"/>
    </w:pPr>
    <w:rPr>
      <w:spacing w:val="-10"/>
      <w:kern w:val="32"/>
    </w:rPr>
  </w:style>
  <w:style w:type="paragraph" w:styleId="Heading4">
    <w:name w:val="heading 4"/>
    <w:basedOn w:val="HeadingBase"/>
    <w:next w:val="BodyText"/>
    <w:link w:val="Heading4Char"/>
    <w:qFormat/>
    <w:rsid w:val="00FD0AE1"/>
    <w:pPr>
      <w:spacing w:before="160" w:after="120"/>
      <w:outlineLvl w:val="3"/>
    </w:pPr>
    <w:rPr>
      <w:sz w:val="22"/>
    </w:rPr>
  </w:style>
  <w:style w:type="paragraph" w:styleId="Heading5">
    <w:name w:val="heading 5"/>
    <w:basedOn w:val="HeadingBase"/>
    <w:next w:val="Normal"/>
    <w:link w:val="Heading5Char"/>
    <w:qFormat/>
    <w:rsid w:val="00FD0AE1"/>
    <w:pPr>
      <w:spacing w:before="80"/>
      <w:outlineLvl w:val="4"/>
    </w:pPr>
    <w:rPr>
      <w:color w:val="918585"/>
      <w:sz w:val="20"/>
    </w:rPr>
  </w:style>
  <w:style w:type="paragraph" w:styleId="Heading6">
    <w:name w:val="heading 6"/>
    <w:basedOn w:val="HeadingBase"/>
    <w:next w:val="Normal"/>
    <w:link w:val="Heading6Char"/>
    <w:qFormat/>
    <w:rsid w:val="00FD0AE1"/>
    <w:pPr>
      <w:spacing w:before="60"/>
      <w:outlineLvl w:val="5"/>
    </w:pPr>
    <w:rPr>
      <w:color w:val="918585"/>
      <w:sz w:val="20"/>
    </w:rPr>
  </w:style>
  <w:style w:type="paragraph" w:styleId="Heading7">
    <w:name w:val="heading 7"/>
    <w:basedOn w:val="Normal"/>
    <w:next w:val="Normal"/>
    <w:link w:val="Heading7Char"/>
    <w:qFormat/>
    <w:rsid w:val="00FD0AE1"/>
    <w:pPr>
      <w:ind w:left="720"/>
      <w:outlineLvl w:val="6"/>
    </w:pPr>
    <w:rPr>
      <w:i/>
    </w:rPr>
  </w:style>
  <w:style w:type="paragraph" w:styleId="Heading8">
    <w:name w:val="heading 8"/>
    <w:basedOn w:val="Normal"/>
    <w:next w:val="Normal"/>
    <w:link w:val="Heading8Char"/>
    <w:qFormat/>
    <w:rsid w:val="00FD0AE1"/>
    <w:pPr>
      <w:ind w:left="720"/>
      <w:outlineLvl w:val="7"/>
    </w:pPr>
    <w:rPr>
      <w:i/>
    </w:rPr>
  </w:style>
  <w:style w:type="paragraph" w:styleId="Heading9">
    <w:name w:val="heading 9"/>
    <w:basedOn w:val="Normal"/>
    <w:next w:val="Normal"/>
    <w:link w:val="Heading9Char"/>
    <w:qFormat/>
    <w:rsid w:val="00FD0AE1"/>
    <w:pPr>
      <w:ind w:left="720"/>
      <w:outlineLvl w:val="8"/>
    </w:pPr>
    <w:rPr>
      <w:i/>
    </w:rPr>
  </w:style>
  <w:style w:type="character" w:default="1" w:styleId="DefaultParagraphFont">
    <w:name w:val="Default Paragraph Font"/>
    <w:uiPriority w:val="1"/>
    <w:unhideWhenUsed/>
    <w:rsid w:val="00FD0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AE1"/>
  </w:style>
  <w:style w:type="character" w:customStyle="1" w:styleId="Heading1Char">
    <w:name w:val="Heading 1 Char"/>
    <w:basedOn w:val="DefaultParagraphFont"/>
    <w:link w:val="Heading1"/>
    <w:rsid w:val="00FD0AE1"/>
    <w:rPr>
      <w:rFonts w:ascii="Times New Roman" w:eastAsia="Times New Roman" w:hAnsi="Times New Roman" w:cs="Times New Roman"/>
      <w:b/>
      <w:sz w:val="32"/>
      <w:szCs w:val="20"/>
      <w:lang w:eastAsia="en-US"/>
    </w:rPr>
  </w:style>
  <w:style w:type="paragraph" w:styleId="BodyText">
    <w:name w:val="Body Text"/>
    <w:basedOn w:val="Normal"/>
    <w:link w:val="BodyTextChar"/>
    <w:rsid w:val="00FD0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AE1"/>
    <w:rPr>
      <w:rFonts w:ascii="Times New Roman" w:eastAsia="Times New Roman" w:hAnsi="Times New Roman" w:cs="Times New Roman"/>
      <w:sz w:val="24"/>
      <w:lang w:eastAsia="en-US"/>
    </w:rPr>
  </w:style>
  <w:style w:type="paragraph" w:styleId="Footer">
    <w:name w:val="footer"/>
    <w:basedOn w:val="Normal"/>
    <w:link w:val="FooterChar"/>
    <w:rsid w:val="00FD0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AE1"/>
    <w:rPr>
      <w:rFonts w:ascii="Times New Roman" w:eastAsia="Times New Roman" w:hAnsi="Times New Roman" w:cs="Times New Roman"/>
      <w:sz w:val="16"/>
      <w:lang w:eastAsia="en-US"/>
    </w:rPr>
  </w:style>
  <w:style w:type="paragraph" w:styleId="ListBullet">
    <w:name w:val="List Bullet"/>
    <w:basedOn w:val="List"/>
    <w:rsid w:val="00FD0AE1"/>
    <w:pPr>
      <w:numPr>
        <w:numId w:val="13"/>
      </w:numPr>
      <w:tabs>
        <w:tab w:val="clear" w:pos="340"/>
      </w:tabs>
      <w:spacing w:before="40" w:after="40"/>
    </w:pPr>
  </w:style>
  <w:style w:type="character" w:customStyle="1" w:styleId="SpecialBold">
    <w:name w:val="Special Bold"/>
    <w:basedOn w:val="DefaultParagraphFont"/>
    <w:rsid w:val="00FD0AE1"/>
    <w:rPr>
      <w:b/>
      <w:spacing w:val="0"/>
    </w:rPr>
  </w:style>
  <w:style w:type="paragraph" w:styleId="ListBullet2">
    <w:name w:val="List Bullet 2"/>
    <w:basedOn w:val="List2"/>
    <w:rsid w:val="00FD0AE1"/>
    <w:pPr>
      <w:numPr>
        <w:numId w:val="14"/>
      </w:numPr>
      <w:tabs>
        <w:tab w:val="clear" w:pos="680"/>
      </w:tabs>
    </w:pPr>
  </w:style>
  <w:style w:type="paragraph" w:customStyle="1" w:styleId="SuperHeading">
    <w:name w:val="SuperHeading"/>
    <w:basedOn w:val="Normal"/>
    <w:rsid w:val="00FD0AE1"/>
    <w:pPr>
      <w:spacing w:before="240" w:after="120"/>
      <w:outlineLvl w:val="0"/>
    </w:pPr>
    <w:rPr>
      <w:rFonts w:ascii="Times New Roman" w:hAnsi="Times New Roman"/>
      <w:b/>
      <w:sz w:val="28"/>
    </w:rPr>
  </w:style>
  <w:style w:type="paragraph" w:customStyle="1" w:styleId="AllowPageBreak">
    <w:name w:val="AllowPageBreak"/>
    <w:rsid w:val="00FD0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AE1"/>
    <w:rPr>
      <w:rFonts w:ascii="Courier New" w:eastAsia="Times New Roman" w:hAnsi="Courier New" w:cs="Times New Roman"/>
      <w:i/>
      <w:szCs w:val="20"/>
      <w:lang w:eastAsia="en-US"/>
    </w:rPr>
  </w:style>
  <w:style w:type="paragraph" w:customStyle="1" w:styleId="HeadingBase">
    <w:name w:val="Heading Base"/>
    <w:rsid w:val="00FD0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AE1"/>
    <w:pPr>
      <w:tabs>
        <w:tab w:val="right" w:leader="dot" w:pos="9072"/>
      </w:tabs>
      <w:ind w:left="567"/>
    </w:pPr>
    <w:rPr>
      <w:szCs w:val="22"/>
    </w:rPr>
  </w:style>
  <w:style w:type="paragraph" w:customStyle="1" w:styleId="TOCBase">
    <w:name w:val="TOC Base"/>
    <w:rsid w:val="00FD0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AE1"/>
    <w:pPr>
      <w:tabs>
        <w:tab w:val="right" w:leader="dot" w:pos="9072"/>
      </w:tabs>
      <w:spacing w:before="40" w:after="40"/>
      <w:ind w:left="284"/>
    </w:pPr>
    <w:rPr>
      <w:rFonts w:ascii="Times New Roman" w:hAnsi="Times New Roman"/>
    </w:rPr>
  </w:style>
  <w:style w:type="paragraph" w:styleId="TOC1">
    <w:name w:val="toc 1"/>
    <w:basedOn w:val="TOCBase"/>
    <w:next w:val="Normal"/>
    <w:rsid w:val="00FD0A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AE1"/>
    <w:pPr>
      <w:spacing w:before="5040"/>
      <w:jc w:val="center"/>
    </w:pPr>
    <w:rPr>
      <w:sz w:val="48"/>
      <w:szCs w:val="72"/>
      <w:lang w:val="en-US"/>
    </w:rPr>
  </w:style>
  <w:style w:type="character" w:customStyle="1" w:styleId="TitleChar">
    <w:name w:val="Title Char"/>
    <w:basedOn w:val="DefaultParagraphFont"/>
    <w:link w:val="Title"/>
    <w:rsid w:val="00FD0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AE1"/>
    <w:pPr>
      <w:tabs>
        <w:tab w:val="left" w:pos="3600"/>
        <w:tab w:val="left" w:pos="3958"/>
      </w:tabs>
    </w:pPr>
  </w:style>
  <w:style w:type="paragraph" w:styleId="List">
    <w:name w:val="List"/>
    <w:basedOn w:val="BodyText"/>
    <w:next w:val="BodyText"/>
    <w:rsid w:val="00FD0AE1"/>
    <w:pPr>
      <w:tabs>
        <w:tab w:val="left" w:pos="340"/>
      </w:tabs>
      <w:spacing w:before="60" w:after="60"/>
      <w:ind w:left="340" w:hanging="340"/>
    </w:pPr>
  </w:style>
  <w:style w:type="paragraph" w:customStyle="1" w:styleId="Note">
    <w:name w:val="Note"/>
    <w:basedOn w:val="BodyText"/>
    <w:rsid w:val="00FD0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AE1"/>
    <w:pPr>
      <w:framePr w:wrap="auto" w:hAnchor="text" w:y="6049"/>
    </w:pPr>
    <w:rPr>
      <w:color w:val="000000"/>
      <w:sz w:val="40"/>
    </w:rPr>
  </w:style>
  <w:style w:type="paragraph" w:customStyle="1" w:styleId="TOCTitle">
    <w:name w:val="TOCTitle"/>
    <w:basedOn w:val="Heading1"/>
    <w:rsid w:val="00FD0AE1"/>
    <w:pPr>
      <w:spacing w:after="240"/>
      <w:jc w:val="center"/>
      <w:outlineLvl w:val="9"/>
    </w:pPr>
    <w:rPr>
      <w:caps/>
    </w:rPr>
  </w:style>
  <w:style w:type="paragraph" w:customStyle="1" w:styleId="Version">
    <w:name w:val="Version"/>
    <w:rsid w:val="00FD0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AE1"/>
    <w:pPr>
      <w:keepNext w:val="0"/>
      <w:tabs>
        <w:tab w:val="right" w:pos="4176"/>
      </w:tabs>
      <w:ind w:left="198" w:hanging="198"/>
    </w:pPr>
    <w:rPr>
      <w:rFonts w:ascii="Garamond" w:hAnsi="Garamond"/>
    </w:rPr>
  </w:style>
  <w:style w:type="paragraph" w:styleId="IndexHeading">
    <w:name w:val="index heading"/>
    <w:basedOn w:val="Normal"/>
    <w:next w:val="Index1"/>
    <w:semiHidden/>
    <w:rsid w:val="00FD0AE1"/>
    <w:pPr>
      <w:spacing w:before="120" w:after="120"/>
    </w:pPr>
    <w:rPr>
      <w:rFonts w:ascii="Arial" w:hAnsi="Arial"/>
      <w:b/>
      <w:color w:val="918585"/>
      <w:sz w:val="24"/>
    </w:rPr>
  </w:style>
  <w:style w:type="paragraph" w:styleId="Header">
    <w:name w:val="header"/>
    <w:basedOn w:val="Normal"/>
    <w:link w:val="HeaderChar"/>
    <w:rsid w:val="00FD0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AE1"/>
    <w:rPr>
      <w:rFonts w:ascii="Times New Roman" w:eastAsia="Times New Roman" w:hAnsi="Times New Roman" w:cs="Times New Roman"/>
      <w:sz w:val="16"/>
      <w:szCs w:val="20"/>
      <w:lang w:val="en-GB" w:eastAsia="en-US"/>
    </w:rPr>
  </w:style>
  <w:style w:type="paragraph" w:customStyle="1" w:styleId="Chapter">
    <w:name w:val="Chapter"/>
    <w:basedOn w:val="Normal"/>
    <w:rsid w:val="00FD0AE1"/>
    <w:pPr>
      <w:spacing w:before="240"/>
    </w:pPr>
    <w:rPr>
      <w:rFonts w:ascii="Times New Roman" w:hAnsi="Times New Roman"/>
      <w:smallCaps/>
      <w:spacing w:val="80"/>
      <w:sz w:val="28"/>
    </w:rPr>
  </w:style>
  <w:style w:type="paragraph" w:customStyle="1" w:styleId="InChapter">
    <w:name w:val="InChapter"/>
    <w:basedOn w:val="Heading3"/>
    <w:rsid w:val="00FD0AE1"/>
    <w:pPr>
      <w:spacing w:after="240"/>
      <w:outlineLvl w:val="9"/>
    </w:pPr>
    <w:rPr>
      <w:noProof/>
    </w:rPr>
  </w:style>
  <w:style w:type="paragraph" w:styleId="Index2">
    <w:name w:val="index 2"/>
    <w:basedOn w:val="Normal"/>
    <w:next w:val="Normal"/>
    <w:semiHidden/>
    <w:rsid w:val="00FD0AE1"/>
    <w:pPr>
      <w:tabs>
        <w:tab w:val="right" w:pos="4176"/>
      </w:tabs>
      <w:ind w:left="568" w:hanging="284"/>
    </w:pPr>
    <w:rPr>
      <w:rFonts w:ascii="Garamond" w:hAnsi="Garamond"/>
    </w:rPr>
  </w:style>
  <w:style w:type="paragraph" w:customStyle="1" w:styleId="Byline">
    <w:name w:val="Byline"/>
    <w:rsid w:val="00FD0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AE1"/>
    <w:pPr>
      <w:tabs>
        <w:tab w:val="clear" w:pos="3600"/>
        <w:tab w:val="clear" w:pos="3958"/>
      </w:tabs>
      <w:jc w:val="right"/>
    </w:pPr>
  </w:style>
  <w:style w:type="character" w:styleId="Emphasis">
    <w:name w:val="Emphasis"/>
    <w:basedOn w:val="DefaultParagraphFont"/>
    <w:qFormat/>
    <w:rsid w:val="00FD0AE1"/>
    <w:rPr>
      <w:i/>
    </w:rPr>
  </w:style>
  <w:style w:type="paragraph" w:styleId="Caption">
    <w:name w:val="caption"/>
    <w:basedOn w:val="BodyText"/>
    <w:next w:val="Normal"/>
    <w:qFormat/>
    <w:rsid w:val="00FD0AE1"/>
    <w:pPr>
      <w:framePr w:w="2268" w:hSpace="181" w:vSpace="181" w:wrap="around" w:vAnchor="text" w:hAnchor="page" w:x="1135" w:y="285" w:anchorLock="1"/>
    </w:pPr>
    <w:rPr>
      <w:i/>
    </w:rPr>
  </w:style>
  <w:style w:type="paragraph" w:customStyle="1" w:styleId="MiniTOCTitle">
    <w:name w:val="MiniTOCTitle"/>
    <w:basedOn w:val="Heading4"/>
    <w:rsid w:val="00FD0AE1"/>
    <w:pPr>
      <w:spacing w:before="240"/>
      <w:outlineLvl w:val="9"/>
    </w:pPr>
    <w:rPr>
      <w:noProof/>
      <w:sz w:val="24"/>
    </w:rPr>
  </w:style>
  <w:style w:type="paragraph" w:customStyle="1" w:styleId="MiniTOCItem">
    <w:name w:val="MiniTOCItem"/>
    <w:basedOn w:val="ListBullet"/>
    <w:rsid w:val="00FD0AE1"/>
    <w:pPr>
      <w:numPr>
        <w:numId w:val="0"/>
      </w:numPr>
      <w:tabs>
        <w:tab w:val="right" w:leader="dot" w:pos="6521"/>
      </w:tabs>
      <w:spacing w:before="0" w:after="0"/>
    </w:pPr>
  </w:style>
  <w:style w:type="paragraph" w:customStyle="1" w:styleId="TOFTitle">
    <w:name w:val="TOFTitle"/>
    <w:basedOn w:val="TOCTitle"/>
    <w:rsid w:val="00FD0AE1"/>
  </w:style>
  <w:style w:type="paragraph" w:styleId="TableofFigures">
    <w:name w:val="table of figures"/>
    <w:basedOn w:val="Normal"/>
    <w:next w:val="Normal"/>
    <w:semiHidden/>
    <w:rsid w:val="00FD0AE1"/>
    <w:pPr>
      <w:tabs>
        <w:tab w:val="right" w:leader="dot" w:pos="9072"/>
      </w:tabs>
      <w:ind w:left="970" w:hanging="403"/>
    </w:pPr>
    <w:rPr>
      <w:rFonts w:ascii="Times New Roman" w:hAnsi="Times New Roman"/>
      <w:b/>
    </w:rPr>
  </w:style>
  <w:style w:type="paragraph" w:styleId="ListNumber">
    <w:name w:val="List Number"/>
    <w:basedOn w:val="List"/>
    <w:rsid w:val="00FD0AE1"/>
    <w:pPr>
      <w:numPr>
        <w:numId w:val="11"/>
      </w:numPr>
    </w:pPr>
  </w:style>
  <w:style w:type="character" w:customStyle="1" w:styleId="WingdingSymbols">
    <w:name w:val="Wingding Symbols"/>
    <w:rsid w:val="00FD0AE1"/>
    <w:rPr>
      <w:rFonts w:ascii="Wingdings" w:hAnsi="Wingdings"/>
    </w:rPr>
  </w:style>
  <w:style w:type="paragraph" w:customStyle="1" w:styleId="TableHeading">
    <w:name w:val="Table Heading"/>
    <w:basedOn w:val="HeadingBase"/>
    <w:rsid w:val="00FD0AE1"/>
    <w:pPr>
      <w:keepLines/>
      <w:pBdr>
        <w:bottom w:val="single" w:sz="6" w:space="1" w:color="918585"/>
      </w:pBdr>
      <w:spacing w:before="240"/>
    </w:pPr>
  </w:style>
  <w:style w:type="character" w:customStyle="1" w:styleId="HotSpot">
    <w:name w:val="HotSpot"/>
    <w:rsid w:val="00FD0AE1"/>
    <w:rPr>
      <w:color w:val="0033CC"/>
      <w:u w:val="none"/>
    </w:rPr>
  </w:style>
  <w:style w:type="paragraph" w:customStyle="1" w:styleId="BodyTextRight">
    <w:name w:val="Body Text Right"/>
    <w:basedOn w:val="BodyText"/>
    <w:rsid w:val="00FD0AE1"/>
    <w:pPr>
      <w:spacing w:before="0" w:after="0"/>
      <w:jc w:val="right"/>
    </w:pPr>
  </w:style>
  <w:style w:type="paragraph" w:styleId="Index3">
    <w:name w:val="index 3"/>
    <w:basedOn w:val="ListNumber2"/>
    <w:next w:val="Normal"/>
    <w:semiHidden/>
    <w:rsid w:val="00FD0AE1"/>
    <w:pPr>
      <w:numPr>
        <w:numId w:val="0"/>
      </w:numPr>
      <w:tabs>
        <w:tab w:val="right" w:leader="dot" w:pos="4176"/>
      </w:tabs>
    </w:pPr>
  </w:style>
  <w:style w:type="paragraph" w:styleId="ListNumber2">
    <w:name w:val="List Number 2"/>
    <w:basedOn w:val="List2"/>
    <w:rsid w:val="00FD0AE1"/>
    <w:pPr>
      <w:numPr>
        <w:numId w:val="10"/>
      </w:numPr>
      <w:tabs>
        <w:tab w:val="clear" w:pos="1060"/>
      </w:tabs>
    </w:pPr>
  </w:style>
  <w:style w:type="paragraph" w:customStyle="1" w:styleId="MarginNote">
    <w:name w:val="Margin Note"/>
    <w:basedOn w:val="BodyText"/>
    <w:rsid w:val="00FD0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AE1"/>
    <w:rPr>
      <w:sz w:val="32"/>
    </w:rPr>
  </w:style>
  <w:style w:type="paragraph" w:customStyle="1" w:styleId="HeadingProcedure">
    <w:name w:val="Heading Procedure"/>
    <w:basedOn w:val="HeadingBase"/>
    <w:next w:val="Normal"/>
    <w:rsid w:val="00FD0AE1"/>
    <w:pPr>
      <w:tabs>
        <w:tab w:val="left" w:pos="0"/>
      </w:tabs>
      <w:spacing w:before="120" w:after="60"/>
    </w:pPr>
    <w:rPr>
      <w:i/>
      <w:color w:val="918585"/>
      <w:sz w:val="22"/>
    </w:rPr>
  </w:style>
  <w:style w:type="paragraph" w:customStyle="1" w:styleId="TableBodyText">
    <w:name w:val="Table Body Text"/>
    <w:basedOn w:val="BodyText"/>
    <w:rsid w:val="00FD0AE1"/>
    <w:pPr>
      <w:spacing w:before="60" w:after="60"/>
    </w:pPr>
  </w:style>
  <w:style w:type="paragraph" w:styleId="ListContinue">
    <w:name w:val="List Continue"/>
    <w:basedOn w:val="List"/>
    <w:rsid w:val="00FD0AE1"/>
    <w:pPr>
      <w:ind w:firstLine="0"/>
    </w:pPr>
  </w:style>
  <w:style w:type="paragraph" w:customStyle="1" w:styleId="ListNote">
    <w:name w:val="List Note"/>
    <w:basedOn w:val="List"/>
    <w:rsid w:val="00FD0AE1"/>
    <w:pPr>
      <w:pBdr>
        <w:top w:val="single" w:sz="6" w:space="2" w:color="918585"/>
        <w:bottom w:val="single" w:sz="6" w:space="2" w:color="918585"/>
      </w:pBdr>
      <w:tabs>
        <w:tab w:val="left" w:pos="1021"/>
      </w:tabs>
      <w:ind w:firstLine="0"/>
    </w:pPr>
  </w:style>
  <w:style w:type="paragraph" w:customStyle="1" w:styleId="Warning">
    <w:name w:val="Warning"/>
    <w:basedOn w:val="BodyText"/>
    <w:rsid w:val="00FD0AE1"/>
    <w:pPr>
      <w:shd w:val="clear" w:color="auto" w:fill="D9D9D9"/>
      <w:tabs>
        <w:tab w:val="left" w:pos="992"/>
      </w:tabs>
      <w:ind w:left="119" w:right="119"/>
    </w:pPr>
    <w:rPr>
      <w:sz w:val="20"/>
    </w:rPr>
  </w:style>
  <w:style w:type="paragraph" w:customStyle="1" w:styleId="MarginIcons">
    <w:name w:val="Margin Icons"/>
    <w:basedOn w:val="BodyText"/>
    <w:rsid w:val="00FD0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AE1"/>
    <w:rPr>
      <w:rFonts w:ascii="Courier New" w:hAnsi="Courier New"/>
    </w:rPr>
  </w:style>
  <w:style w:type="paragraph" w:customStyle="1" w:styleId="NoteBullet">
    <w:name w:val="Note Bullet"/>
    <w:basedOn w:val="Note"/>
    <w:rsid w:val="00FD0AE1"/>
    <w:pPr>
      <w:tabs>
        <w:tab w:val="clear" w:pos="680"/>
      </w:tabs>
      <w:spacing w:before="60" w:after="60"/>
    </w:pPr>
  </w:style>
  <w:style w:type="paragraph" w:customStyle="1" w:styleId="SubHeading2">
    <w:name w:val="SubHeading2"/>
    <w:basedOn w:val="HeadingBase"/>
    <w:rsid w:val="00FD0AE1"/>
    <w:pPr>
      <w:spacing w:before="240" w:after="60"/>
    </w:pPr>
    <w:rPr>
      <w:sz w:val="20"/>
    </w:rPr>
  </w:style>
  <w:style w:type="paragraph" w:customStyle="1" w:styleId="SubHeading1">
    <w:name w:val="SubHeading1"/>
    <w:basedOn w:val="HeadingBase"/>
    <w:rsid w:val="00FD0AE1"/>
    <w:pPr>
      <w:spacing w:before="240" w:after="60"/>
    </w:pPr>
    <w:rPr>
      <w:color w:val="918585"/>
      <w:sz w:val="22"/>
    </w:rPr>
  </w:style>
  <w:style w:type="paragraph" w:customStyle="1" w:styleId="SideHeading">
    <w:name w:val="Side Heading"/>
    <w:basedOn w:val="HeadingBase"/>
    <w:rsid w:val="00FD0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AE1"/>
    <w:pPr>
      <w:numPr>
        <w:numId w:val="12"/>
      </w:numPr>
    </w:pPr>
  </w:style>
  <w:style w:type="paragraph" w:styleId="PlainText">
    <w:name w:val="Plain Text"/>
    <w:basedOn w:val="Normal"/>
    <w:link w:val="PlainTextChar"/>
    <w:rsid w:val="00FD0AE1"/>
    <w:rPr>
      <w:sz w:val="20"/>
    </w:rPr>
  </w:style>
  <w:style w:type="character" w:customStyle="1" w:styleId="PlainTextChar">
    <w:name w:val="Plain Text Char"/>
    <w:basedOn w:val="DefaultParagraphFont"/>
    <w:link w:val="PlainText"/>
    <w:rsid w:val="00FD0AE1"/>
    <w:rPr>
      <w:rFonts w:ascii="Courier New" w:eastAsia="Times New Roman" w:hAnsi="Courier New" w:cs="Times New Roman"/>
      <w:sz w:val="20"/>
      <w:szCs w:val="20"/>
      <w:lang w:eastAsia="en-US"/>
    </w:rPr>
  </w:style>
  <w:style w:type="character" w:customStyle="1" w:styleId="MenuOption">
    <w:name w:val="Menu Option"/>
    <w:basedOn w:val="DefaultParagraphFont"/>
    <w:rsid w:val="00FD0AE1"/>
    <w:rPr>
      <w:b/>
      <w:smallCaps/>
    </w:rPr>
  </w:style>
  <w:style w:type="paragraph" w:customStyle="1" w:styleId="TableListNumber">
    <w:name w:val="Table List Number"/>
    <w:basedOn w:val="ListNumber"/>
    <w:rsid w:val="00FD0AE1"/>
    <w:pPr>
      <w:numPr>
        <w:numId w:val="0"/>
      </w:numPr>
    </w:pPr>
  </w:style>
  <w:style w:type="paragraph" w:styleId="TOC4">
    <w:name w:val="toc 4"/>
    <w:basedOn w:val="TOCBase"/>
    <w:next w:val="Normal"/>
    <w:semiHidden/>
    <w:rsid w:val="00FD0AE1"/>
    <w:pPr>
      <w:tabs>
        <w:tab w:val="right" w:leader="dot" w:pos="9071"/>
      </w:tabs>
      <w:ind w:left="1701"/>
    </w:pPr>
  </w:style>
  <w:style w:type="paragraph" w:customStyle="1" w:styleId="ListAlpha">
    <w:name w:val="List Alpha"/>
    <w:basedOn w:val="List"/>
    <w:rsid w:val="00FD0AE1"/>
    <w:pPr>
      <w:numPr>
        <w:numId w:val="9"/>
      </w:numPr>
    </w:pPr>
  </w:style>
  <w:style w:type="paragraph" w:customStyle="1" w:styleId="ListAlpha2">
    <w:name w:val="List Alpha 2"/>
    <w:basedOn w:val="List2"/>
    <w:rsid w:val="00FD0AE1"/>
    <w:pPr>
      <w:numPr>
        <w:numId w:val="8"/>
      </w:numPr>
    </w:pPr>
  </w:style>
  <w:style w:type="paragraph" w:styleId="List2">
    <w:name w:val="List 2"/>
    <w:basedOn w:val="BodyText"/>
    <w:rsid w:val="00FD0AE1"/>
    <w:pPr>
      <w:tabs>
        <w:tab w:val="left" w:pos="680"/>
      </w:tabs>
      <w:spacing w:before="60" w:after="60"/>
      <w:ind w:left="680" w:hanging="340"/>
    </w:pPr>
  </w:style>
  <w:style w:type="paragraph" w:styleId="List3">
    <w:name w:val="List 3"/>
    <w:basedOn w:val="BodyText"/>
    <w:rsid w:val="00FD0AE1"/>
    <w:pPr>
      <w:tabs>
        <w:tab w:val="left" w:pos="1021"/>
      </w:tabs>
      <w:spacing w:before="60" w:after="60"/>
      <w:ind w:left="1020" w:hanging="340"/>
    </w:pPr>
  </w:style>
  <w:style w:type="paragraph" w:styleId="List4">
    <w:name w:val="List 4"/>
    <w:basedOn w:val="BodyText"/>
    <w:rsid w:val="00FD0AE1"/>
    <w:pPr>
      <w:tabs>
        <w:tab w:val="left" w:pos="1361"/>
      </w:tabs>
      <w:spacing w:before="60" w:after="60"/>
      <w:ind w:left="1361" w:hanging="340"/>
    </w:pPr>
  </w:style>
  <w:style w:type="paragraph" w:styleId="List5">
    <w:name w:val="List 5"/>
    <w:basedOn w:val="BodyText"/>
    <w:rsid w:val="00FD0AE1"/>
    <w:pPr>
      <w:tabs>
        <w:tab w:val="left" w:pos="1701"/>
      </w:tabs>
      <w:spacing w:before="60" w:after="60"/>
      <w:ind w:left="1701" w:hanging="340"/>
    </w:pPr>
  </w:style>
  <w:style w:type="paragraph" w:styleId="ListBullet3">
    <w:name w:val="List Bullet 3"/>
    <w:basedOn w:val="List3"/>
    <w:rsid w:val="00FD0AE1"/>
    <w:pPr>
      <w:numPr>
        <w:numId w:val="15"/>
      </w:numPr>
      <w:tabs>
        <w:tab w:val="clear" w:pos="1021"/>
      </w:tabs>
      <w:ind w:left="1037" w:hanging="357"/>
    </w:pPr>
  </w:style>
  <w:style w:type="paragraph" w:styleId="ListBullet4">
    <w:name w:val="List Bullet 4"/>
    <w:basedOn w:val="List4"/>
    <w:rsid w:val="00FD0AE1"/>
    <w:pPr>
      <w:numPr>
        <w:numId w:val="3"/>
      </w:numPr>
    </w:pPr>
  </w:style>
  <w:style w:type="paragraph" w:styleId="ListBullet5">
    <w:name w:val="List Bullet 5"/>
    <w:basedOn w:val="List5"/>
    <w:rsid w:val="00FD0AE1"/>
    <w:pPr>
      <w:numPr>
        <w:numId w:val="4"/>
      </w:numPr>
    </w:pPr>
  </w:style>
  <w:style w:type="paragraph" w:styleId="ListContinue2">
    <w:name w:val="List Continue 2"/>
    <w:basedOn w:val="List2"/>
    <w:rsid w:val="00FD0AE1"/>
    <w:pPr>
      <w:ind w:firstLine="0"/>
    </w:pPr>
  </w:style>
  <w:style w:type="paragraph" w:styleId="ListContinue3">
    <w:name w:val="List Continue 3"/>
    <w:basedOn w:val="List3"/>
    <w:rsid w:val="00FD0AE1"/>
    <w:pPr>
      <w:ind w:left="1021" w:firstLine="0"/>
    </w:pPr>
  </w:style>
  <w:style w:type="paragraph" w:styleId="ListContinue4">
    <w:name w:val="List Continue 4"/>
    <w:basedOn w:val="List4"/>
    <w:rsid w:val="00FD0AE1"/>
    <w:pPr>
      <w:ind w:firstLine="0"/>
    </w:pPr>
  </w:style>
  <w:style w:type="paragraph" w:styleId="ListContinue5">
    <w:name w:val="List Continue 5"/>
    <w:basedOn w:val="List5"/>
    <w:rsid w:val="00FD0AE1"/>
    <w:pPr>
      <w:ind w:firstLine="0"/>
    </w:pPr>
  </w:style>
  <w:style w:type="paragraph" w:styleId="ListNumber3">
    <w:name w:val="List Number 3"/>
    <w:basedOn w:val="List3"/>
    <w:rsid w:val="00FD0AE1"/>
    <w:pPr>
      <w:numPr>
        <w:numId w:val="5"/>
      </w:numPr>
    </w:pPr>
  </w:style>
  <w:style w:type="paragraph" w:styleId="ListNumber4">
    <w:name w:val="List Number 4"/>
    <w:basedOn w:val="List4"/>
    <w:rsid w:val="00FD0AE1"/>
    <w:pPr>
      <w:numPr>
        <w:numId w:val="6"/>
      </w:numPr>
    </w:pPr>
  </w:style>
  <w:style w:type="paragraph" w:styleId="ListNumber5">
    <w:name w:val="List Number 5"/>
    <w:basedOn w:val="List5"/>
    <w:rsid w:val="00FD0AE1"/>
    <w:pPr>
      <w:numPr>
        <w:numId w:val="7"/>
      </w:numPr>
    </w:pPr>
  </w:style>
  <w:style w:type="paragraph" w:styleId="BlockText">
    <w:name w:val="Block Text"/>
    <w:basedOn w:val="Normal"/>
    <w:rsid w:val="00FD0AE1"/>
    <w:pPr>
      <w:spacing w:after="120"/>
      <w:ind w:left="1440" w:right="1440"/>
    </w:pPr>
  </w:style>
  <w:style w:type="character" w:customStyle="1" w:styleId="Subscript">
    <w:name w:val="Subscript"/>
    <w:basedOn w:val="DefaultParagraphFont"/>
    <w:rsid w:val="00FD0AE1"/>
    <w:rPr>
      <w:sz w:val="16"/>
      <w:vertAlign w:val="subscript"/>
    </w:rPr>
  </w:style>
  <w:style w:type="character" w:customStyle="1" w:styleId="Superscript">
    <w:name w:val="Superscript"/>
    <w:basedOn w:val="DefaultParagraphFont"/>
    <w:rsid w:val="00FD0AE1"/>
    <w:rPr>
      <w:sz w:val="16"/>
      <w:vertAlign w:val="superscript"/>
    </w:rPr>
  </w:style>
  <w:style w:type="character" w:customStyle="1" w:styleId="Symbols">
    <w:name w:val="Symbols"/>
    <w:basedOn w:val="DefaultParagraphFont"/>
    <w:rsid w:val="00FD0AE1"/>
    <w:rPr>
      <w:rFonts w:ascii="Symbol" w:hAnsi="Symbol"/>
    </w:rPr>
  </w:style>
  <w:style w:type="character" w:customStyle="1" w:styleId="MenuOptions">
    <w:name w:val="Menu Options"/>
    <w:basedOn w:val="DefaultParagraphFont"/>
    <w:rsid w:val="00FD0AE1"/>
    <w:rPr>
      <w:rFonts w:ascii="Arial Narrow" w:hAnsi="Arial Narrow"/>
      <w:smallCaps/>
    </w:rPr>
  </w:style>
  <w:style w:type="character" w:customStyle="1" w:styleId="Buttons">
    <w:name w:val="Buttons"/>
    <w:basedOn w:val="DefaultParagraphFont"/>
    <w:rsid w:val="00FD0AE1"/>
    <w:rPr>
      <w:b/>
    </w:rPr>
  </w:style>
  <w:style w:type="character" w:customStyle="1" w:styleId="Underlined">
    <w:name w:val="Underlined"/>
    <w:basedOn w:val="DefaultParagraphFont"/>
    <w:rsid w:val="00FD0AE1"/>
    <w:rPr>
      <w:u w:val="single"/>
    </w:rPr>
  </w:style>
  <w:style w:type="paragraph" w:customStyle="1" w:styleId="TableBodyTextRight">
    <w:name w:val="Table Body Text Right"/>
    <w:basedOn w:val="TableBodyText"/>
    <w:rsid w:val="00FD0AE1"/>
    <w:pPr>
      <w:widowControl w:val="0"/>
      <w:autoSpaceDE w:val="0"/>
      <w:autoSpaceDN w:val="0"/>
      <w:adjustRightInd w:val="0"/>
      <w:jc w:val="right"/>
    </w:pPr>
    <w:rPr>
      <w:rFonts w:cs="Arial"/>
      <w:szCs w:val="18"/>
    </w:rPr>
  </w:style>
  <w:style w:type="paragraph" w:customStyle="1" w:styleId="CopyrightText">
    <w:name w:val="Copyright Text"/>
    <w:basedOn w:val="BodyText"/>
    <w:rsid w:val="00FD0AE1"/>
    <w:rPr>
      <w:sz w:val="18"/>
    </w:rPr>
  </w:style>
  <w:style w:type="paragraph" w:customStyle="1" w:styleId="BodySmallRight">
    <w:name w:val="Body Small Right"/>
    <w:basedOn w:val="BodyTextRight"/>
    <w:rsid w:val="00FD0AE1"/>
    <w:rPr>
      <w:sz w:val="18"/>
      <w:szCs w:val="18"/>
    </w:rPr>
  </w:style>
  <w:style w:type="paragraph" w:customStyle="1" w:styleId="MarginEdition">
    <w:name w:val="Margin Edition"/>
    <w:basedOn w:val="MarginNote"/>
    <w:rsid w:val="00FD0AE1"/>
    <w:pPr>
      <w:spacing w:before="0" w:after="0"/>
    </w:pPr>
    <w:rPr>
      <w:rFonts w:ascii="Times New Roman" w:hAnsi="Times New Roman"/>
      <w:color w:val="999999"/>
    </w:rPr>
  </w:style>
  <w:style w:type="paragraph" w:customStyle="1" w:styleId="Spacer">
    <w:name w:val="Spacer"/>
    <w:basedOn w:val="Normal"/>
    <w:rsid w:val="00FD0AE1"/>
    <w:rPr>
      <w:sz w:val="2"/>
      <w:szCs w:val="2"/>
    </w:rPr>
  </w:style>
  <w:style w:type="character" w:customStyle="1" w:styleId="Small">
    <w:name w:val="Small"/>
    <w:basedOn w:val="DefaultParagraphFont"/>
    <w:rsid w:val="00FD0AE1"/>
    <w:rPr>
      <w:sz w:val="16"/>
    </w:rPr>
  </w:style>
  <w:style w:type="paragraph" w:customStyle="1" w:styleId="WideTable">
    <w:name w:val="Wide Table"/>
    <w:basedOn w:val="Normal"/>
    <w:rsid w:val="00FD0AE1"/>
    <w:pPr>
      <w:ind w:left="-1418"/>
    </w:pPr>
    <w:rPr>
      <w:sz w:val="2"/>
      <w:szCs w:val="2"/>
    </w:rPr>
  </w:style>
  <w:style w:type="character" w:styleId="PageNumber">
    <w:name w:val="page number"/>
    <w:basedOn w:val="DefaultParagraphFont"/>
    <w:rsid w:val="00FD0AE1"/>
  </w:style>
  <w:style w:type="paragraph" w:styleId="Quote">
    <w:name w:val="Quote"/>
    <w:basedOn w:val="Heading1"/>
    <w:link w:val="QuoteChar"/>
    <w:qFormat/>
    <w:rsid w:val="00FD0AE1"/>
    <w:rPr>
      <w:b w:val="0"/>
      <w:sz w:val="72"/>
      <w:szCs w:val="72"/>
      <w:lang w:val="en-NZ"/>
    </w:rPr>
  </w:style>
  <w:style w:type="character" w:customStyle="1" w:styleId="QuoteChar">
    <w:name w:val="Quote Char"/>
    <w:basedOn w:val="DefaultParagraphFont"/>
    <w:link w:val="Quote"/>
    <w:rsid w:val="00FD0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AE1"/>
    <w:pPr>
      <w:pageBreakBefore/>
    </w:pPr>
  </w:style>
  <w:style w:type="paragraph" w:customStyle="1" w:styleId="Border">
    <w:name w:val="Border"/>
    <w:basedOn w:val="Normal"/>
    <w:qFormat/>
    <w:rsid w:val="00FD0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AE1"/>
    <w:rPr>
      <w:b/>
      <w:bCs/>
      <w:i/>
      <w:iCs/>
      <w:color w:val="auto"/>
    </w:rPr>
  </w:style>
  <w:style w:type="paragraph" w:styleId="IntenseQuote">
    <w:name w:val="Intense Quote"/>
    <w:basedOn w:val="Normal"/>
    <w:next w:val="Normal"/>
    <w:link w:val="IntenseQuoteChar"/>
    <w:uiPriority w:val="30"/>
    <w:qFormat/>
    <w:rsid w:val="00FD0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AE1"/>
    <w:rPr>
      <w:smallCaps/>
      <w:color w:val="auto"/>
      <w:u w:val="single"/>
    </w:rPr>
  </w:style>
  <w:style w:type="character" w:styleId="IntenseReference">
    <w:name w:val="Intense Reference"/>
    <w:basedOn w:val="DefaultParagraphFont"/>
    <w:uiPriority w:val="32"/>
    <w:qFormat/>
    <w:rsid w:val="00FD0AE1"/>
    <w:rPr>
      <w:b/>
      <w:bCs/>
      <w:smallCaps/>
      <w:color w:val="auto"/>
      <w:spacing w:val="5"/>
      <w:u w:val="single"/>
    </w:rPr>
  </w:style>
  <w:style w:type="paragraph" w:customStyle="1" w:styleId="2ColumnHeading">
    <w:name w:val="2Column Heading"/>
    <w:basedOn w:val="BodyText"/>
    <w:qFormat/>
    <w:rsid w:val="00FD0AE1"/>
    <w:pPr>
      <w:spacing w:after="60"/>
      <w:ind w:left="-2268"/>
    </w:pPr>
    <w:rPr>
      <w:b/>
    </w:rPr>
  </w:style>
  <w:style w:type="paragraph" w:customStyle="1" w:styleId="Heading1TOC">
    <w:name w:val="Heading1 TOC"/>
    <w:basedOn w:val="Normal"/>
    <w:qFormat/>
    <w:rsid w:val="00FD0AE1"/>
    <w:pPr>
      <w:spacing w:before="240" w:after="120"/>
    </w:pPr>
    <w:rPr>
      <w:rFonts w:ascii="Times New Roman" w:hAnsi="Times New Roman"/>
      <w:b/>
      <w:sz w:val="32"/>
    </w:rPr>
  </w:style>
  <w:style w:type="paragraph" w:customStyle="1" w:styleId="Heading2TOC">
    <w:name w:val="Heading2 TOC"/>
    <w:basedOn w:val="Normal"/>
    <w:qFormat/>
    <w:rsid w:val="00FD0AE1"/>
    <w:pPr>
      <w:spacing w:before="240" w:after="60"/>
    </w:pPr>
    <w:rPr>
      <w:rFonts w:ascii="Times New Roman" w:hAnsi="Times New Roman"/>
      <w:b/>
      <w:sz w:val="28"/>
    </w:rPr>
  </w:style>
  <w:style w:type="character" w:customStyle="1" w:styleId="Underline">
    <w:name w:val="Underline"/>
    <w:basedOn w:val="DefaultParagraphFont"/>
    <w:qFormat/>
    <w:rsid w:val="00FD0AE1"/>
    <w:rPr>
      <w:u w:val="single"/>
    </w:rPr>
  </w:style>
  <w:style w:type="character" w:customStyle="1" w:styleId="BoldandItalics">
    <w:name w:val="Bold and Italics"/>
    <w:qFormat/>
    <w:rsid w:val="00FD0AE1"/>
    <w:rPr>
      <w:b/>
      <w:i/>
      <w:u w:val="none"/>
    </w:rPr>
  </w:style>
  <w:style w:type="paragraph" w:styleId="BalloonText">
    <w:name w:val="Balloon Text"/>
    <w:basedOn w:val="Normal"/>
    <w:link w:val="BalloonTextChar"/>
    <w:rsid w:val="00FD0AE1"/>
    <w:rPr>
      <w:rFonts w:ascii="Tahoma" w:hAnsi="Tahoma" w:cs="Tahoma"/>
      <w:sz w:val="16"/>
      <w:szCs w:val="16"/>
    </w:rPr>
  </w:style>
  <w:style w:type="character" w:customStyle="1" w:styleId="BalloonTextChar">
    <w:name w:val="Balloon Text Char"/>
    <w:basedOn w:val="DefaultParagraphFont"/>
    <w:link w:val="BalloonText"/>
    <w:rsid w:val="00FD0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AE1"/>
    <w:rPr>
      <w:b/>
      <w:color w:val="660033"/>
      <w:spacing w:val="0"/>
    </w:rPr>
  </w:style>
  <w:style w:type="paragraph" w:customStyle="1" w:styleId="Nameditemlist">
    <w:name w:val="Named item list"/>
    <w:basedOn w:val="BodyText"/>
    <w:qFormat/>
    <w:rsid w:val="00FD0A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2556</Words>
  <Characters>15486</Characters>
  <Application>Microsoft Office Word</Application>
  <DocSecurity>0</DocSecurity>
  <Lines>757</Lines>
  <Paragraphs>308</Paragraphs>
  <ScaleCrop>false</ScaleCrop>
  <Company>Author-it Software Corporation Ltd.</Company>
  <LinksUpToDate>false</LinksUpToDate>
  <CharactersWithSpaces>17774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UEGNSG612A Supervise technical operations for liquefied petroleum gas storage and processing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2012-10-11T17:45:00Z</dcterms:created>
  <dcterms:modified xsi:type="dcterms:W3CDTF">2012-10-11T17:45:00Z</dcterms:modified>
</cp:coreProperties>
</file>