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5F0" w:rsidP="00B415F0">
      <w:pPr>
        <w:pStyle w:val="Title"/>
      </w:pPr>
      <w:r>
        <w:fldChar w:fldCharType="begin"/>
      </w:r>
      <w:r>
        <w:instrText xml:space="preserve"> TITLE   \* MERGEFORMAT </w:instrText>
      </w:r>
      <w:r>
        <w:fldChar w:fldCharType="separate"/>
      </w:r>
      <w:r>
        <w:t>UEGNSG610A Control storage of LPG in terminal</w:t>
      </w:r>
      <w:r>
        <w:fldChar w:fldCharType="end"/>
      </w:r>
    </w:p>
    <w:p w:rsidR="00B415F0" w:rsidP="00B415F0">
      <w:pPr>
        <w:pStyle w:val="Version"/>
        <w:sectPr w:rsidSect="00C30F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F7D" w:rsidP="00C30F7D">
      <w:pPr>
        <w:pStyle w:val="SuperHeading"/>
      </w:pPr>
      <w:r w:rsidRPr="00C30F7D">
        <w:t>UEGNSG610A Control storage of LPG in terminal</w:t>
      </w:r>
    </w:p>
    <w:p w:rsidR="00000000" w:rsidRPr="00C30F7D" w:rsidP="00C30F7D">
      <w:pPr>
        <w:pStyle w:val="Heading1"/>
      </w:pPr>
      <w:bookmarkStart w:id="1" w:name="O_275143"/>
      <w:bookmarkEnd w:id="1"/>
      <w:r w:rsidRPr="00C30F7D">
        <w:t>Modification History</w:t>
      </w:r>
    </w:p>
    <w:p w:rsidR="00000000" w:rsidRPr="00C30F7D" w:rsidP="00C30F7D">
      <w:pPr>
        <w:pStyle w:val="BodyText"/>
      </w:pPr>
      <w:r w:rsidRPr="00C30F7D">
        <w:t>Not Applicable</w:t>
      </w:r>
    </w:p>
    <w:p w:rsidR="00000000" w:rsidRPr="00C30F7D" w:rsidP="00C30F7D">
      <w:pPr>
        <w:pStyle w:val="AllowPageBreak"/>
      </w:pPr>
    </w:p>
    <w:p w:rsidR="00000000" w:rsidRPr="00C30F7D" w:rsidP="00C30F7D">
      <w:pPr>
        <w:pStyle w:val="Heading1"/>
      </w:pPr>
      <w:bookmarkStart w:id="2" w:name="O_229679"/>
      <w:bookmarkEnd w:id="2"/>
      <w:r w:rsidRPr="00C30F7D">
        <w:t>Unit Descriptor</w:t>
      </w:r>
    </w:p>
    <w:tbl>
      <w:tblPr>
        <w:tblW w:w="0" w:type="auto"/>
        <w:tblLayout w:type="fixed"/>
        <w:tblCellMar>
          <w:left w:w="62" w:type="dxa"/>
          <w:right w:w="62" w:type="dxa"/>
        </w:tblCellMar>
        <w:tblLook w:val="0000"/>
      </w:tblPr>
      <w:tblGrid>
        <w:gridCol w:w="2700"/>
        <w:gridCol w:w="5760"/>
      </w:tblGrid>
      <w:tr w:rsidTr="00B415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1</w:t>
            </w:r>
            <w:r w:rsidRPr="00C30F7D">
              <w:t xml:space="preserve">) </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t>This Competency Standard Unit covers the controlling of the storage of LPG in terminals. The competency standard refers to appropriate persons; the transfer of LPG; use of relevant equipment; application against relevant legislative requirements; monitorin</w:t>
            </w:r>
            <w:r w:rsidRPr="00C30F7D">
              <w:t>g and storage of facilities; relevant emergency response; relevant recording of documentation.</w:t>
            </w:r>
          </w:p>
        </w:tc>
      </w:tr>
    </w:tbl>
    <w:p w:rsidR="00B415F0" w:rsidP="00C30F7D">
      <w:pPr>
        <w:pStyle w:val="BodyText"/>
      </w:pPr>
    </w:p>
    <w:p w:rsidR="00B415F0" w:rsidP="00C30F7D">
      <w:pPr>
        <w:pStyle w:val="BodyText"/>
      </w:pPr>
    </w:p>
    <w:p w:rsidR="00000000" w:rsidRPr="00C30F7D" w:rsidP="00C30F7D">
      <w:pPr>
        <w:pStyle w:val="Heading1"/>
      </w:pPr>
      <w:bookmarkStart w:id="3" w:name="O_275868"/>
      <w:bookmarkEnd w:id="3"/>
      <w:r w:rsidRPr="00C30F7D">
        <w:t>Application of the Unit</w:t>
      </w:r>
    </w:p>
    <w:p w:rsidR="00000000" w:rsidRPr="00C30F7D" w:rsidP="00C30F7D">
      <w:pPr>
        <w:pStyle w:val="BodyText"/>
      </w:pPr>
      <w:r w:rsidRPr="00C30F7D">
        <w:t>Not Applicable</w:t>
      </w:r>
    </w:p>
    <w:p w:rsidR="00000000" w:rsidRPr="00C30F7D" w:rsidP="00C30F7D">
      <w:pPr>
        <w:pStyle w:val="AllowPageBreak"/>
      </w:pPr>
    </w:p>
    <w:p w:rsidR="00000000" w:rsidRPr="00C30F7D" w:rsidP="00C30F7D">
      <w:pPr>
        <w:pStyle w:val="Heading1"/>
      </w:pPr>
      <w:bookmarkStart w:id="4" w:name="O_229682"/>
      <w:bookmarkEnd w:id="4"/>
      <w:r w:rsidRPr="00C30F7D">
        <w:t>Licensing/Regulatory Information</w:t>
      </w:r>
    </w:p>
    <w:tbl>
      <w:tblPr>
        <w:tblW w:w="0" w:type="auto"/>
        <w:tblLayout w:type="fixed"/>
        <w:tblCellMar>
          <w:left w:w="62" w:type="dxa"/>
          <w:right w:w="62" w:type="dxa"/>
        </w:tblCellMar>
        <w:tblLook w:val="0000"/>
      </w:tblPr>
      <w:tblGrid>
        <w:gridCol w:w="2700"/>
        <w:gridCol w:w="5760"/>
      </w:tblGrid>
      <w:tr w:rsidTr="00B415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3</w:t>
            </w:r>
            <w:r w:rsidRPr="00C30F7D">
              <w:t>.</w:t>
            </w:r>
            <w:r w:rsidRPr="00C30F7D">
              <w:rPr>
                <w:rStyle w:val="SpecialBold"/>
              </w:rPr>
              <w:t>1</w:t>
            </w:r>
            <w:r w:rsidRPr="00C30F7D">
              <w:t>)</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t>The skills and knowledge described in this unit are not subject to licence regulation other than those directly related to Occupational Health and Safety, gas/electricity/water industry safety and compliance, industrial relations, environmental protection,</w:t>
            </w:r>
            <w:r w:rsidRPr="00C30F7D">
              <w:t xml:space="preserve"> telecommunications, anti discrimination and training. Commonwealth, State/Territory or Local Government legislation and regulations may exist that limits the age of operating certain equipment.</w:t>
            </w:r>
          </w:p>
        </w:tc>
      </w:tr>
    </w:tbl>
    <w:p w:rsidR="00B415F0" w:rsidP="00C30F7D">
      <w:pPr>
        <w:pStyle w:val="BodyText"/>
      </w:pPr>
    </w:p>
    <w:p w:rsidR="00B415F0" w:rsidP="00C30F7D">
      <w:pPr>
        <w:pStyle w:val="BodyText"/>
      </w:pPr>
    </w:p>
    <w:p w:rsidR="00000000" w:rsidRPr="00C30F7D" w:rsidP="00C30F7D">
      <w:pPr>
        <w:pStyle w:val="Heading1"/>
      </w:pPr>
      <w:bookmarkStart w:id="5" w:name="O_229680"/>
      <w:bookmarkEnd w:id="5"/>
      <w:r w:rsidRPr="00C30F7D">
        <w:t>Pre-Requisites</w:t>
      </w:r>
    </w:p>
    <w:tbl>
      <w:tblPr>
        <w:tblW w:w="0" w:type="auto"/>
        <w:tblLayout w:type="fixed"/>
        <w:tblCellMar>
          <w:left w:w="62" w:type="dxa"/>
          <w:right w:w="62" w:type="dxa"/>
        </w:tblCellMar>
        <w:tblLook w:val="0000"/>
      </w:tblPr>
      <w:tblGrid>
        <w:gridCol w:w="2700"/>
        <w:gridCol w:w="1800"/>
        <w:gridCol w:w="3960"/>
      </w:tblGrid>
      <w:tr w:rsidTr="00B415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Prerequisite Unit</w:t>
            </w:r>
            <w:r w:rsidRPr="00C30F7D">
              <w:t>(</w:t>
            </w:r>
            <w:r w:rsidRPr="00C30F7D">
              <w:rPr>
                <w:rStyle w:val="SpecialBold"/>
              </w:rPr>
              <w:t>s</w:t>
            </w:r>
            <w:r w:rsidRPr="00C30F7D">
              <w:t>)</w:t>
            </w:r>
          </w:p>
        </w:tc>
        <w:tc>
          <w:tcPr>
            <w:tcW w:w="5760" w:type="dxa"/>
            <w:gridSpan w:val="2"/>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2</w:t>
            </w:r>
            <w:r w:rsidRPr="00C30F7D">
              <w:t xml:space="preserve">) </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2</w:t>
            </w:r>
            <w:r w:rsidRPr="00C30F7D">
              <w:t>.</w:t>
            </w:r>
            <w:r w:rsidRPr="00C30F7D">
              <w:rPr>
                <w:rStyle w:val="SpecialBold"/>
              </w:rPr>
              <w:t>1</w:t>
            </w:r>
            <w:r w:rsidRPr="00C30F7D">
              <w:t xml:space="preserve">) </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Granting of competency in this unit shall be made only after competency in the following unit(s) has/have been confirmed:</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Nil</w:t>
            </w:r>
          </w:p>
        </w:tc>
        <w:tc>
          <w:tcPr>
            <w:tcW w:w="3960" w:type="dxa"/>
            <w:tcBorders>
              <w:top w:val="nil"/>
              <w:left w:val="nil"/>
              <w:bottom w:val="nil"/>
              <w:right w:val="nil"/>
            </w:tcBorders>
            <w:tcMar>
              <w:top w:w="0" w:type="dxa"/>
              <w:left w:w="62" w:type="dxa"/>
              <w:bottom w:w="0" w:type="dxa"/>
              <w:right w:w="62" w:type="dxa"/>
            </w:tcMar>
          </w:tcPr>
          <w:p w:rsidR="00000000" w:rsidRPr="00C30F7D" w:rsidP="00C30F7D">
            <w:pPr>
              <w:pStyle w:val="BodyText"/>
            </w:pPr>
          </w:p>
        </w:tc>
      </w:tr>
    </w:tbl>
    <w:p w:rsidR="00B415F0" w:rsidP="00C30F7D">
      <w:pPr>
        <w:pStyle w:val="BodyText"/>
      </w:pPr>
    </w:p>
    <w:p w:rsidR="00B415F0" w:rsidP="00C30F7D">
      <w:pPr>
        <w:pStyle w:val="BodyText"/>
      </w:pPr>
    </w:p>
    <w:p w:rsidR="00000000" w:rsidRPr="00C30F7D" w:rsidP="00C30F7D">
      <w:pPr>
        <w:pStyle w:val="Heading1"/>
      </w:pPr>
      <w:bookmarkStart w:id="6" w:name="O_285392"/>
      <w:bookmarkEnd w:id="6"/>
      <w:r w:rsidRPr="00C30F7D">
        <w:t>Employability Skills Information</w:t>
      </w:r>
    </w:p>
    <w:p w:rsidR="00000000" w:rsidRPr="00C30F7D" w:rsidP="00C30F7D">
      <w:pPr>
        <w:pStyle w:val="BodyText"/>
      </w:pPr>
      <w:r w:rsidRPr="00C30F7D">
        <w:t>Refer to the Evidence Guide</w:t>
      </w:r>
    </w:p>
    <w:p w:rsidR="00000000" w:rsidRPr="00C30F7D" w:rsidP="00C30F7D">
      <w:pPr>
        <w:pStyle w:val="AllowPageBreak"/>
      </w:pPr>
    </w:p>
    <w:p w:rsidR="00000000" w:rsidRPr="00C30F7D" w:rsidP="00C30F7D">
      <w:pPr>
        <w:pStyle w:val="Heading1"/>
      </w:pPr>
      <w:bookmarkStart w:id="7" w:name="O_293189"/>
      <w:bookmarkEnd w:id="7"/>
      <w:r w:rsidRPr="00C30F7D">
        <w:t>Elements and Performance Criteria Pre-Content</w:t>
      </w:r>
    </w:p>
    <w:tbl>
      <w:tblPr>
        <w:tblW w:w="0" w:type="auto"/>
        <w:tblLayout w:type="fixed"/>
        <w:tblCellMar>
          <w:left w:w="62" w:type="dxa"/>
          <w:right w:w="62" w:type="dxa"/>
        </w:tblCellMar>
        <w:tblLook w:val="0000"/>
      </w:tblPr>
      <w:tblGrid>
        <w:gridCol w:w="2700"/>
        <w:gridCol w:w="5760"/>
      </w:tblGrid>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5</w:t>
            </w:r>
            <w:r w:rsidRPr="00C30F7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t>Performance Criteria descr</w:t>
            </w:r>
            <w:r w:rsidRPr="00C30F7D">
              <w:t>ibe the required performance needed to demonstrate achievement of the element. Assessment of performance is to be consistent with the Evidence Guide.</w:t>
            </w:r>
          </w:p>
        </w:tc>
      </w:tr>
    </w:tbl>
    <w:p w:rsidR="00000000" w:rsidRPr="00C30F7D" w:rsidP="00C30F7D">
      <w:pPr>
        <w:pStyle w:val="BodyText"/>
      </w:pPr>
    </w:p>
    <w:p w:rsidR="00000000" w:rsidRPr="00C30F7D" w:rsidP="00C30F7D">
      <w:pPr>
        <w:pStyle w:val="AllowPageBreak"/>
      </w:pPr>
    </w:p>
    <w:p w:rsidR="00000000" w:rsidRPr="00C30F7D" w:rsidP="00C30F7D">
      <w:pPr>
        <w:pStyle w:val="Heading1"/>
      </w:pPr>
      <w:bookmarkStart w:id="8" w:name="O_239857"/>
      <w:bookmarkEnd w:id="8"/>
      <w:r w:rsidRPr="00C30F7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415F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PERFORMANCE CRITERIA</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1</w:t>
            </w:r>
          </w:p>
        </w:tc>
        <w:tc>
          <w:tcPr>
            <w:tcW w:w="2296" w:type="dxa"/>
            <w:vMerge w:val="restart"/>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Prepare for the sto</w:t>
            </w:r>
            <w:r w:rsidRPr="00C30F7D">
              <w:t>rage of LPG</w:t>
            </w: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1.1</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Appropriate persons are consulted to ensure the work is coordinated effectively with others involved on the work site and the availability of equipment is determined</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1.2</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 xml:space="preserve">Equipment is checked in accordance with standard operating procedures and relevant requirements </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1.3</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 xml:space="preserve">OHS, environmental and sustainable energy policies and procedures related to requirements and established procedures for control storage of </w:t>
            </w:r>
            <w:r w:rsidRPr="00C30F7D">
              <w:t>LPG in termi</w:t>
            </w:r>
            <w:r w:rsidRPr="00C30F7D">
              <w:t xml:space="preserve">nal are obtained and confirmed for the purposes of the work performed and communicated </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1.4</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Work is prioritised and sequenced following consultation with others for completion within acceptable timeframes and in accordance with established procedures</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1.5</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Risk control measures for identified hazards are prioritised, implemented and monitored against the work schedule</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1.6</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Relevant work permits are obtained to access, isolate/de-energise systems and perform work according to requirements and/or establ</w:t>
            </w:r>
            <w:r w:rsidRPr="00C30F7D">
              <w:t>ished procedures</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1.7</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Appropriate valves are operated and other resources including appropriately persons, equipment, tools and personal protective equipment required for the job are identified, scheduled and obtained and confirmed in working order</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1.8</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Relevant persons at worksite are confirmed to be current in in First Aid and other related work procedures according to requirements</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1.9</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 xml:space="preserve">Liaison and communication issues with authorised persons, authorities, clients and land owners are resolved and </w:t>
            </w:r>
            <w:r w:rsidRPr="00C30F7D">
              <w:t>activities coordinated to carry out work</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1.10</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Site is prepared according to the work schedule and to minimise risk and damage to property, commerce and individuals in accordance with established procedures</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1.11</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Persons</w:t>
            </w:r>
            <w:r w:rsidRPr="00C30F7D">
              <w:t xml:space="preserve"> participating in the work, including plant operators and contractors are fully briefed and respective responsibilities confirmed where applicable in accordance with established procedures </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2</w:t>
            </w:r>
          </w:p>
        </w:tc>
        <w:tc>
          <w:tcPr>
            <w:tcW w:w="2296"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Control Storage of LPG</w:t>
            </w: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2.1</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LPG is stored in a safe and efficien</w:t>
            </w:r>
            <w:r w:rsidRPr="00C30F7D">
              <w:t>t manner in accordance with standard operating procedures and the condition of LPG is controlled within specifications and in accordance with legislative requirements</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2.2</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Lifting, climbing, working in confined spaces or aloft, and use of power tools, te</w:t>
            </w:r>
            <w:r w:rsidRPr="00C30F7D">
              <w:t>chniques and practices are safely followed and currency according to requirements confirmed</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2.3</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 xml:space="preserve">Apply Essential Knowledge and Associated Skills for the control storage of LPG in terminal to ensure completion in an agreed timeframe and </w:t>
            </w:r>
            <w:r w:rsidRPr="00C30F7D">
              <w:t>to quality standards with a minimum of waste according to requirements</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2.4</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 xml:space="preserve">Controlling the storage of LPG in terminal is carried out in accordance with the work schedule and to established procedures </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2.5</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Emergency response procedures and potential h</w:t>
            </w:r>
            <w:r w:rsidRPr="00C30F7D">
              <w:t xml:space="preserve">azards, safety risks and control measures are monitored and preventative action taken and referred to appropriate authorities in accordance with requirements and established procedures </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2.6</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Abnormalities are reported and unplanned events in contro</w:t>
            </w:r>
            <w:r w:rsidRPr="00C30F7D">
              <w:t xml:space="preserve">l storage of LPG in terminal are undertaken with the scope of established procedures </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2.7</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 xml:space="preserve">Fault-finding and troubleshooting techniques are applied to operational systems and equipment in order to identify any repairs or maintenance which may need to be </w:t>
            </w:r>
            <w:r w:rsidRPr="00C30F7D">
              <w:t>undertaken</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2.8</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Ongoing checks of quality of the work are undertaken in accordance with given instructions and established procedures</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3</w:t>
            </w:r>
          </w:p>
        </w:tc>
        <w:tc>
          <w:tcPr>
            <w:tcW w:w="2296"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 xml:space="preserve">Record/report storage activities </w:t>
            </w: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3.1</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Work undertaken is checked against works schedule for conformance with requirements, anomalies are reported in accordance with established procedures</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3.2</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 xml:space="preserve">Accidents and injuries are reported in </w:t>
            </w:r>
            <w:r w:rsidRPr="00C30F7D">
              <w:t>accordance with requirements and established procedures wher</w:t>
            </w:r>
            <w:r w:rsidRPr="00C30F7D">
              <w:t>e applicable</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3.3</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Work site is rehabilitated, cleaned up and made safe in accordance with given instructions and established procedures</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3.4</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 xml:space="preserve">Tools, equipment and any surplus resources and materials are, where appropriate, cleaned, checked and returned </w:t>
            </w:r>
            <w:r w:rsidRPr="00C30F7D">
              <w:t>to storage in accordance with established procedures</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3.5</w:t>
            </w:r>
          </w:p>
        </w:tc>
        <w:tc>
          <w:tcPr>
            <w:tcW w:w="48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Relevant work permit(s) are signed off and equipment is returned to service in accordance with requirements</w:t>
            </w:r>
          </w:p>
        </w:tc>
      </w:tr>
      <w:tr w:rsidTr="00B415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3.6</w:t>
            </w:r>
          </w:p>
        </w:tc>
        <w:tc>
          <w:tcPr>
            <w:tcW w:w="486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t>Work completion records, reports as installed and modified, drawings and documentation and information are finalised and processed and appropriate persons notified</w:t>
            </w:r>
          </w:p>
        </w:tc>
      </w:tr>
    </w:tbl>
    <w:p w:rsidR="00B415F0" w:rsidP="00C30F7D">
      <w:pPr>
        <w:pStyle w:val="BodyText"/>
      </w:pPr>
    </w:p>
    <w:p w:rsidR="00B415F0" w:rsidP="00C30F7D">
      <w:pPr>
        <w:pStyle w:val="BodyText"/>
      </w:pPr>
    </w:p>
    <w:p w:rsidR="00000000" w:rsidRPr="00C30F7D" w:rsidP="00C30F7D">
      <w:pPr>
        <w:pStyle w:val="Heading1"/>
      </w:pPr>
      <w:bookmarkStart w:id="9" w:name="O_263648"/>
      <w:bookmarkEnd w:id="9"/>
      <w:r w:rsidRPr="00C30F7D">
        <w:t>Required Skills and Knowledge</w:t>
      </w:r>
    </w:p>
    <w:tbl>
      <w:tblPr>
        <w:tblW w:w="0" w:type="auto"/>
        <w:tblLayout w:type="fixed"/>
        <w:tblCellMar>
          <w:left w:w="62" w:type="dxa"/>
          <w:right w:w="62" w:type="dxa"/>
        </w:tblCellMar>
        <w:tblLook w:val="0000"/>
      </w:tblPr>
      <w:tblGrid>
        <w:gridCol w:w="2700"/>
        <w:gridCol w:w="1080"/>
        <w:gridCol w:w="4680"/>
      </w:tblGrid>
      <w:tr w:rsidTr="00B415F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REQUIRED SKILLS AND KNOWLEDGE</w:t>
            </w:r>
          </w:p>
        </w:tc>
      </w:tr>
      <w:tr w:rsidTr="00B415F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6</w:t>
            </w:r>
            <w:r w:rsidRPr="00C30F7D">
              <w:t>) This describes the essential skills and knowledge and their level, required for this unit.</w:t>
            </w:r>
          </w:p>
        </w:tc>
      </w:tr>
      <w:tr w:rsidTr="00B415F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Evidence shall show that knowledge has been acquired of safe working practices for the controlling the storage of LPG in a terminal. The extent of the essential</w:t>
            </w:r>
            <w:r w:rsidRPr="00C30F7D">
              <w:t xml:space="preserve"> knowledge and associated skills (EKAS) required is given in Volume 2 - Part 2.2 EKAS.  It forms an integral part of this unit.</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G 3.6.1</w:t>
            </w:r>
          </w:p>
        </w:tc>
        <w:tc>
          <w:tcPr>
            <w:tcW w:w="468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Working safely in an LPG environment</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G 3.6.2</w:t>
            </w:r>
          </w:p>
        </w:tc>
        <w:tc>
          <w:tcPr>
            <w:tcW w:w="468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Understan</w:t>
            </w:r>
            <w:r w:rsidRPr="00C30F7D">
              <w:t>ding the correct use of plant and equipment in an LPG environment</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G 3.6.4</w:t>
            </w:r>
          </w:p>
        </w:tc>
        <w:tc>
          <w:tcPr>
            <w:tcW w:w="468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LPG communication including the recording of LPG information</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G 3.6.5</w:t>
            </w:r>
          </w:p>
        </w:tc>
        <w:tc>
          <w:tcPr>
            <w:tcW w:w="468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The LPG production process</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G 3.6.6</w:t>
            </w:r>
          </w:p>
        </w:tc>
        <w:tc>
          <w:tcPr>
            <w:tcW w:w="468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t>Technical drawings</w:t>
            </w:r>
          </w:p>
        </w:tc>
      </w:tr>
    </w:tbl>
    <w:p w:rsidR="00B415F0" w:rsidP="00C30F7D">
      <w:pPr>
        <w:pStyle w:val="BodyText"/>
      </w:pPr>
    </w:p>
    <w:p w:rsidR="00B415F0" w:rsidP="00C30F7D">
      <w:pPr>
        <w:pStyle w:val="BodyText"/>
      </w:pPr>
    </w:p>
    <w:p w:rsidR="00000000" w:rsidRPr="00C30F7D" w:rsidP="00C30F7D">
      <w:pPr>
        <w:pStyle w:val="Heading1"/>
      </w:pPr>
      <w:bookmarkStart w:id="10" w:name="O_247840"/>
      <w:bookmarkEnd w:id="10"/>
      <w:r w:rsidRPr="00C30F7D">
        <w:t>Evidence Guide</w:t>
      </w:r>
    </w:p>
    <w:tbl>
      <w:tblPr>
        <w:tblW w:w="0" w:type="auto"/>
        <w:tblLayout w:type="fixed"/>
        <w:tblCellMar>
          <w:left w:w="62" w:type="dxa"/>
          <w:right w:w="62" w:type="dxa"/>
        </w:tblCellMar>
        <w:tblLook w:val="0000"/>
      </w:tblPr>
      <w:tblGrid>
        <w:gridCol w:w="2160"/>
        <w:gridCol w:w="540"/>
        <w:gridCol w:w="900"/>
        <w:gridCol w:w="1980"/>
        <w:gridCol w:w="2880"/>
      </w:tblGrid>
      <w:tr w:rsidTr="00B415F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EVIDENCE GUIDE</w:t>
            </w:r>
          </w:p>
        </w:tc>
      </w:tr>
      <w:tr w:rsidTr="00B415F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8</w:t>
            </w:r>
            <w:r w:rsidRPr="00C30F7D">
              <w:t>) The Evidence Guide forms an integral part of this Competency Standard Unit and shall be used in conjunction with all components parts of this unit and performed in accordance with the Assessment Guidelines of this Training Package.</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Overview of As</w:t>
            </w:r>
            <w:r w:rsidRPr="00C30F7D">
              <w:rPr>
                <w:rStyle w:val="SpecialBold"/>
              </w:rPr>
              <w:t>sessment</w:t>
            </w:r>
          </w:p>
        </w:tc>
        <w:tc>
          <w:tcPr>
            <w:tcW w:w="6300" w:type="dxa"/>
            <w:gridSpan w:val="4"/>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8</w:t>
            </w:r>
            <w:r w:rsidRPr="00C30F7D">
              <w:t>.</w:t>
            </w:r>
            <w:r w:rsidRPr="00C30F7D">
              <w:rPr>
                <w:rStyle w:val="SpecialBold"/>
              </w:rPr>
              <w:t>1</w:t>
            </w:r>
            <w:r w:rsidRPr="00C30F7D">
              <w:t xml:space="preserve">) </w:t>
            </w:r>
          </w:p>
          <w:p w:rsidR="00000000" w:rsidRPr="00C30F7D" w:rsidP="00C30F7D">
            <w:pPr>
              <w:pStyle w:val="BodyText"/>
            </w:pPr>
            <w:r w:rsidRPr="00C30F7D">
              <w:t>Longitudinal competency development approaches to assessment, such as Profiling, require data to be reliably gathered in a form that can be consistently interpreted over time. This approach is best utilised in Apprenticeship programs and red</w:t>
            </w:r>
            <w:r w:rsidRPr="00C30F7D">
              <w:t>uces assessment intervention. It is the Industry's preferred model for apprenticeships. However, where summative (or final) assessment is used it is to include the application of the competency in the normal work environment or, at a minimum, the applicati</w:t>
            </w:r>
            <w:r w:rsidRPr="00C30F7D">
              <w:t>on of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C30F7D" w:rsidP="00C30F7D">
            <w:pPr>
              <w:pStyle w:val="BodyText"/>
            </w:pPr>
            <w:r w:rsidRPr="00C30F7D">
              <w:t>Methods chosen for a particular assessment will be influenced by various factors. These include the extent of the assessment, the most effective locations for the assessment activities to take place, access to physical resources, additional safety measures</w:t>
            </w:r>
            <w:r w:rsidRPr="00C30F7D">
              <w:t xml:space="preserve"> that may be required and the critical nature of the competencies being assessed.</w:t>
            </w:r>
          </w:p>
          <w:p w:rsidR="00000000" w:rsidRPr="00C30F7D" w:rsidP="00C30F7D">
            <w:pPr>
              <w:pStyle w:val="BodyText"/>
            </w:pPr>
            <w:r w:rsidRPr="00C30F7D">
              <w:t>The critical safety nature of working with electricity, electrical equipment, gas or any other hazardous substance/material carries risk in deeming a person competent. Hence,</w:t>
            </w:r>
            <w:r w:rsidRPr="00C30F7D">
              <w:t xml:space="preserve"> sources of evidence need to be 'rich' in nature so as to minimise error in judgment.</w:t>
            </w:r>
          </w:p>
          <w:p w:rsidR="00000000" w:rsidP="00C30F7D">
            <w:pPr>
              <w:pStyle w:val="BodyText"/>
              <w:rPr>
                <w:lang w:val="en-NZ"/>
              </w:rPr>
            </w:pPr>
            <w:r w:rsidRPr="00C30F7D">
              <w:t xml:space="preserve">Activities associated with normal every day work have a bearing on the decision as to how much and how detailed the data gathered will contribute to its 'richness'. Some </w:t>
            </w:r>
            <w:r w:rsidRPr="00C30F7D">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C30F7D">
              <w:t>Sample assessment instruments are included for Assessors in the Assessment Guidelines of this Training Package.</w:t>
            </w:r>
          </w:p>
        </w:tc>
      </w:tr>
      <w:tr w:rsidTr="00B415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8</w:t>
            </w:r>
            <w:r w:rsidRPr="00C30F7D">
              <w:t>.</w:t>
            </w:r>
            <w:r w:rsidRPr="00C30F7D">
              <w:rPr>
                <w:rStyle w:val="SpecialBold"/>
              </w:rPr>
              <w:t>2</w:t>
            </w:r>
            <w:r w:rsidRPr="00C30F7D">
              <w:t xml:space="preserve">) </w:t>
            </w:r>
          </w:p>
          <w:p w:rsidR="00000000" w:rsidP="00C30F7D">
            <w:pPr>
              <w:pStyle w:val="BodyText"/>
              <w:rPr>
                <w:lang w:val="en-NZ"/>
              </w:rPr>
            </w:pPr>
            <w:r w:rsidRPr="00C30F7D">
              <w:t>Before the critical aspects of evidence are considered all prerequisites shall be met.</w:t>
            </w:r>
          </w:p>
        </w:tc>
      </w:tr>
      <w:tr w:rsidTr="00B415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t>Evidence for competence in this unit shall be considered holistically. Each element and associated Performance Criteria shall be demonstrated on at least two occasi</w:t>
            </w:r>
            <w:r w:rsidRPr="00C30F7D">
              <w:t>ons in accordance with the 'Assessment Guidelines   UEG06'. Evidence shall also comprise:</w:t>
            </w:r>
          </w:p>
          <w:p w:rsidR="00000000" w:rsidP="00C30F7D">
            <w:pPr>
              <w:pStyle w:val="ListBullet"/>
              <w:rPr>
                <w:lang w:val="en-NZ"/>
              </w:rPr>
            </w:pPr>
            <w:r w:rsidRPr="00C30F7D">
              <w:t>A representative body of Performance Criteria demonstrated within the timeframes typically expected of the discipline, work function and industrial environment. In p</w:t>
            </w:r>
            <w:r w:rsidRPr="00C30F7D">
              <w:t>articular this shall incorporate evidence that shows a candidate is able to:</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30F7D" w:rsidP="00C30F7D">
            <w:pPr>
              <w:pStyle w:val="ListBullet2"/>
            </w:pPr>
            <w:r w:rsidRPr="00C30F7D">
              <w:t>Implement Occupational Health and Safety workplace procedures and practices including the use of risk control measures as specified in the Performance Criteria and range</w:t>
            </w:r>
          </w:p>
          <w:p w:rsidR="00000000" w:rsidRPr="00C30F7D" w:rsidP="00C30F7D">
            <w:pPr>
              <w:pStyle w:val="ListBullet2"/>
            </w:pPr>
            <w:r w:rsidRPr="00C30F7D">
              <w:t>Apply sustainable energy principles and practices as specified in the Performance Criteria and range</w:t>
            </w:r>
          </w:p>
          <w:p w:rsidR="00000000" w:rsidRPr="00C30F7D" w:rsidP="00C30F7D">
            <w:pPr>
              <w:pStyle w:val="ListBullet2"/>
            </w:pPr>
            <w:r w:rsidRPr="00C30F7D">
              <w:t>Demonstrate an understanding of the essential knowledge and associated skills as described in this unit to such an extent that the learner's performance ou</w:t>
            </w:r>
            <w:r w:rsidRPr="00C30F7D">
              <w:t>tcome is reported in accordance with the preferred approach; namely a percentile graded result, where required by the regulated environment</w:t>
            </w:r>
          </w:p>
          <w:p w:rsidR="00000000" w:rsidRPr="00C30F7D" w:rsidP="00C30F7D">
            <w:pPr>
              <w:pStyle w:val="ListBullet2"/>
            </w:pPr>
            <w:r w:rsidRPr="00C30F7D">
              <w:t>Demonstrate an appropriate level of skills enabling employment</w:t>
            </w:r>
          </w:p>
          <w:p w:rsidR="00000000" w:rsidP="00C30F7D">
            <w:pPr>
              <w:pStyle w:val="ListBullet2"/>
              <w:rPr>
                <w:lang w:val="en-NZ"/>
              </w:rPr>
            </w:pPr>
            <w:r w:rsidRPr="00C30F7D">
              <w:t>Conduct work observing the relevant Anti discriminati</w:t>
            </w:r>
            <w:r w:rsidRPr="00C30F7D">
              <w:t>on legislation, regulations, polices and workplace procedures</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30F7D">
            <w:pPr>
              <w:pStyle w:val="ListBullet2"/>
              <w:rPr>
                <w:lang w:val="en-NZ"/>
              </w:rPr>
            </w:pPr>
            <w:r w:rsidRPr="00C30F7D">
              <w:t>Demonstrate performance across a representative range of contexts from the prescribed items below.</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C30F7D">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rPr>
                <w:rStyle w:val="SpecialBold"/>
              </w:rPr>
              <w:t>Range of tools</w:t>
            </w:r>
            <w:r w:rsidRPr="00C30F7D">
              <w:t>/</w:t>
            </w:r>
            <w:r w:rsidRPr="00C30F7D">
              <w:rPr>
                <w:rStyle w:val="SpecialBold"/>
              </w:rPr>
              <w:t>equipment</w:t>
            </w:r>
            <w:r w:rsidRPr="00C30F7D">
              <w:t>/</w:t>
            </w:r>
            <w:r w:rsidRPr="00C30F7D">
              <w:rPr>
                <w:rStyle w:val="SpecialBold"/>
              </w:rPr>
              <w:t>materials</w:t>
            </w:r>
            <w:r w:rsidRPr="00C30F7D">
              <w:t>/</w:t>
            </w:r>
            <w:r w:rsidRPr="00C30F7D">
              <w:rPr>
                <w:rStyle w:val="SpecialBold"/>
              </w:rPr>
              <w:t>procedures</w:t>
            </w:r>
            <w:r w:rsidRPr="00C30F7D">
              <w:t>/</w:t>
            </w:r>
            <w:r w:rsidRPr="00C30F7D">
              <w:br/>
            </w:r>
            <w:r w:rsidRPr="00C30F7D">
              <w:rPr>
                <w:rStyle w:val="SpecialBold"/>
              </w:rPr>
              <w:t>workplaces</w:t>
            </w:r>
            <w:r w:rsidRPr="00C30F7D">
              <w:t>/</w:t>
            </w:r>
            <w:r w:rsidRPr="00C30F7D">
              <w:rPr>
                <w:rStyle w:val="SpecialBold"/>
              </w:rPr>
              <w:t>other variables</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C30F7D">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r w:rsidRPr="00C30F7D">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r w:rsidRPr="00C30F7D">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rPr>
                <w:rStyle w:val="SpecialBold"/>
              </w:rPr>
              <w:t>Item List</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r w:rsidRPr="00C30F7D">
              <w:t>Pumps and compressors</w:t>
            </w:r>
          </w:p>
          <w:p w:rsidR="00000000" w:rsidRPr="00C30F7D" w:rsidP="00C30F7D">
            <w:pPr>
              <w:pStyle w:val="BodyText"/>
            </w:pPr>
            <w:r w:rsidRPr="00C30F7D">
              <w:t>Valves</w:t>
            </w:r>
          </w:p>
          <w:p w:rsidR="00000000" w:rsidRPr="00C30F7D" w:rsidP="00C30F7D">
            <w:pPr>
              <w:pStyle w:val="BodyText"/>
            </w:pPr>
            <w:r w:rsidRPr="00C30F7D">
              <w:t>Vessels</w:t>
            </w:r>
          </w:p>
          <w:p w:rsidR="00000000" w:rsidRPr="00C30F7D" w:rsidP="00C30F7D">
            <w:pPr>
              <w:pStyle w:val="BodyText"/>
            </w:pPr>
            <w:r w:rsidRPr="00C30F7D">
              <w:t>Control and monitoring equipment</w:t>
            </w:r>
          </w:p>
          <w:p w:rsidR="00000000" w:rsidRPr="00C30F7D" w:rsidP="00C30F7D">
            <w:pPr>
              <w:pStyle w:val="BodyText"/>
            </w:pPr>
            <w:r w:rsidRPr="00C30F7D">
              <w:t>Mixing equipment</w:t>
            </w:r>
          </w:p>
          <w:p w:rsidR="00000000" w:rsidP="00C30F7D">
            <w:pPr>
              <w:pStyle w:val="BodyText"/>
              <w:rPr>
                <w:lang w:val="en-NZ"/>
              </w:rPr>
            </w:pPr>
            <w:r w:rsidRPr="00C30F7D">
              <w:t>Sampling equipment</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AS1596 or its replacement</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C</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At least 5</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r w:rsidRPr="00C30F7D">
              <w:t>Monitoring of storage facilities includes:</w:t>
            </w:r>
          </w:p>
          <w:p w:rsidR="00000000" w:rsidRPr="00C30F7D" w:rsidP="00C30F7D">
            <w:pPr>
              <w:pStyle w:val="BodyText"/>
            </w:pPr>
            <w:r w:rsidRPr="00C30F7D">
              <w:t>Pressure</w:t>
            </w:r>
          </w:p>
          <w:p w:rsidR="00000000" w:rsidRPr="00C30F7D" w:rsidP="00C30F7D">
            <w:pPr>
              <w:pStyle w:val="BodyText"/>
            </w:pPr>
            <w:r w:rsidRPr="00C30F7D">
              <w:t>Temperature</w:t>
            </w:r>
          </w:p>
          <w:p w:rsidR="00000000" w:rsidRPr="00C30F7D" w:rsidP="00C30F7D">
            <w:pPr>
              <w:pStyle w:val="BodyText"/>
            </w:pPr>
            <w:r w:rsidRPr="00C30F7D">
              <w:t>Levels</w:t>
            </w:r>
          </w:p>
          <w:p w:rsidR="00000000" w:rsidRPr="00C30F7D" w:rsidP="00C30F7D">
            <w:pPr>
              <w:pStyle w:val="BodyText"/>
            </w:pPr>
            <w:r w:rsidRPr="00C30F7D">
              <w:t>Corrosion</w:t>
            </w:r>
          </w:p>
          <w:p w:rsidR="00000000" w:rsidRPr="00C30F7D" w:rsidP="00C30F7D">
            <w:pPr>
              <w:pStyle w:val="BodyText"/>
            </w:pPr>
            <w:r w:rsidRPr="00C30F7D">
              <w:t>Gas leaks</w:t>
            </w:r>
          </w:p>
          <w:p w:rsidR="00000000" w:rsidRPr="00C30F7D" w:rsidP="00C30F7D">
            <w:pPr>
              <w:pStyle w:val="BodyText"/>
            </w:pPr>
            <w:r w:rsidRPr="00C30F7D">
              <w:t>Stock levels</w:t>
            </w:r>
          </w:p>
          <w:p w:rsidR="00000000" w:rsidRPr="00C30F7D" w:rsidP="00C30F7D">
            <w:pPr>
              <w:pStyle w:val="BodyText"/>
            </w:pPr>
            <w:r w:rsidRPr="00C30F7D">
              <w:t>Security</w:t>
            </w:r>
          </w:p>
          <w:p w:rsidR="00000000" w:rsidRPr="00C30F7D" w:rsidP="00C30F7D">
            <w:pPr>
              <w:pStyle w:val="BodyText"/>
            </w:pPr>
            <w:r w:rsidRPr="00C30F7D">
              <w:t>Water sprays</w:t>
            </w:r>
          </w:p>
          <w:p w:rsidR="00000000" w:rsidP="00C30F7D">
            <w:pPr>
              <w:pStyle w:val="BodyText"/>
              <w:rPr>
                <w:lang w:val="en-NZ"/>
              </w:rPr>
            </w:pPr>
            <w:r w:rsidRPr="00C30F7D">
              <w:t>Shutdown systems</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D</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r w:rsidRPr="00C30F7D">
              <w:t>Emergency Responses include:</w:t>
            </w:r>
          </w:p>
          <w:p w:rsidR="00000000" w:rsidRPr="00C30F7D" w:rsidP="00C30F7D">
            <w:pPr>
              <w:pStyle w:val="BodyText"/>
            </w:pPr>
            <w:r w:rsidRPr="00C30F7D">
              <w:t>Gas leaks and fire</w:t>
            </w:r>
          </w:p>
          <w:p w:rsidR="00000000" w:rsidRPr="00C30F7D" w:rsidP="00C30F7D">
            <w:pPr>
              <w:pStyle w:val="BodyText"/>
            </w:pPr>
            <w:r w:rsidRPr="00C30F7D">
              <w:t>Equipment failure</w:t>
            </w:r>
          </w:p>
          <w:p w:rsidR="00000000" w:rsidRPr="00C30F7D" w:rsidP="00C30F7D">
            <w:pPr>
              <w:pStyle w:val="BodyText"/>
            </w:pPr>
            <w:r w:rsidRPr="00C30F7D">
              <w:t>Hazards and incidents</w:t>
            </w:r>
          </w:p>
        </w:tc>
      </w:tr>
    </w:tbl>
    <w:p w:rsidR="00000000" w:rsidRPr="00C30F7D" w:rsidP="00C30F7D">
      <w:pPr>
        <w:pStyle w:val="BodyText"/>
      </w:pPr>
    </w:p>
    <w:tbl>
      <w:tblPr>
        <w:tblW w:w="0" w:type="auto"/>
        <w:tblLayout w:type="fixed"/>
        <w:tblCellMar>
          <w:left w:w="62" w:type="dxa"/>
          <w:right w:w="62" w:type="dxa"/>
        </w:tblCellMar>
        <w:tblLook w:val="0000"/>
      </w:tblPr>
      <w:tblGrid>
        <w:gridCol w:w="2160"/>
        <w:gridCol w:w="540"/>
        <w:gridCol w:w="900"/>
        <w:gridCol w:w="1980"/>
        <w:gridCol w:w="2880"/>
      </w:tblGrid>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r w:rsidRPr="00C30F7D">
              <w:t>Documentation includes:</w:t>
            </w:r>
          </w:p>
          <w:p w:rsidR="00000000" w:rsidRPr="00C30F7D" w:rsidP="00C30F7D">
            <w:pPr>
              <w:pStyle w:val="BodyText"/>
            </w:pPr>
            <w:r w:rsidRPr="00C30F7D">
              <w:t>Maintenance records</w:t>
            </w:r>
          </w:p>
          <w:p w:rsidR="00000000" w:rsidRPr="00C30F7D" w:rsidP="00C30F7D">
            <w:pPr>
              <w:pStyle w:val="BodyText"/>
            </w:pPr>
            <w:r w:rsidRPr="00C30F7D">
              <w:t>ADG Code</w:t>
            </w:r>
          </w:p>
          <w:p w:rsidR="00000000" w:rsidP="00C30F7D">
            <w:pPr>
              <w:pStyle w:val="BodyText"/>
              <w:rPr>
                <w:lang w:val="en-NZ"/>
              </w:rPr>
            </w:pPr>
            <w:r w:rsidRPr="00C30F7D">
              <w:t>OHS, environmental and associated legislative requirements</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F</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Deal with an unplanned event by drawing on essential knowledge and associated skills to provide appropriate solutions</w:t>
            </w:r>
            <w:r w:rsidRPr="00C30F7D">
              <w:t xml:space="preserve"> incorporated in the holistic assessment with the above listed items </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8</w:t>
            </w:r>
            <w:r w:rsidRPr="00C30F7D">
              <w:t>.</w:t>
            </w:r>
            <w:r w:rsidRPr="00C30F7D">
              <w:rPr>
                <w:rStyle w:val="SpecialBold"/>
              </w:rPr>
              <w:t>3</w:t>
            </w:r>
            <w:r w:rsidRPr="00C30F7D">
              <w:t xml:space="preserve">) </w:t>
            </w:r>
          </w:p>
          <w:p w:rsidR="00000000" w:rsidRPr="00C30F7D" w:rsidP="00C30F7D">
            <w:pPr>
              <w:pStyle w:val="BodyText"/>
            </w:pPr>
            <w:r w:rsidRPr="00C30F7D">
              <w:t>This unit should be assessed as it relates to normal work practice using procedures, information and resources typical of a workpl</w:t>
            </w:r>
            <w:r w:rsidRPr="00C30F7D">
              <w:t>ace. This should include:</w:t>
            </w:r>
          </w:p>
          <w:p w:rsidR="00000000" w:rsidRPr="00C30F7D" w:rsidP="00C30F7D">
            <w:pPr>
              <w:pStyle w:val="ListBullet"/>
            </w:pPr>
            <w:r w:rsidRPr="00C30F7D">
              <w:t>OHS policy and work procedures and instructions.</w:t>
            </w:r>
          </w:p>
          <w:p w:rsidR="00000000" w:rsidRPr="00C30F7D" w:rsidP="00C30F7D">
            <w:pPr>
              <w:pStyle w:val="ListBullet"/>
            </w:pPr>
            <w:r w:rsidRPr="00C30F7D">
              <w:t>Suitable work environment, facilities, equipment and materials to undertake actual work as prescribed by this Competency Standard Unit.</w:t>
            </w:r>
          </w:p>
          <w:p w:rsidR="00000000" w:rsidRPr="00C30F7D" w:rsidP="00C30F7D">
            <w:pPr>
              <w:pStyle w:val="ListBullet"/>
            </w:pPr>
            <w:r w:rsidRPr="00C30F7D">
              <w:t>Appropriate environmental regulation and work practices.</w:t>
            </w:r>
          </w:p>
          <w:p w:rsidR="00000000" w:rsidRPr="00C30F7D" w:rsidP="00C30F7D">
            <w:pPr>
              <w:pStyle w:val="ListBullet"/>
            </w:pPr>
            <w:r w:rsidRPr="00C30F7D">
              <w:t>Appropriate organisational requirements.</w:t>
            </w:r>
          </w:p>
          <w:p w:rsidR="00000000" w:rsidP="00C30F7D">
            <w:pPr>
              <w:pStyle w:val="ListBullet"/>
              <w:rPr>
                <w:lang w:val="en-NZ"/>
              </w:rPr>
            </w:pPr>
            <w:r w:rsidRPr="00C30F7D">
              <w:t>Appropriate work environment, equipment and tools.</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In addition to the resources listed above, in Context of and specific resources for assessment, eviden</w:t>
            </w:r>
            <w:r w:rsidRPr="00C30F7D">
              <w:t>ce should show demonstrated competency in controlling storage of LPG in terminal.</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 xml:space="preserve">Assessment of this competency must also be undertaken in either an actual workplace or under a simulated work environment. Assessment must </w:t>
            </w:r>
            <w:r w:rsidRPr="00C30F7D">
              <w:t>also integrate the Key Competencies.</w:t>
            </w:r>
          </w:p>
        </w:tc>
      </w:tr>
      <w:tr w:rsidTr="00B415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8</w:t>
            </w:r>
            <w:r w:rsidRPr="00C30F7D">
              <w:t>.</w:t>
            </w:r>
            <w:r w:rsidRPr="00C30F7D">
              <w:rPr>
                <w:rStyle w:val="SpecialBold"/>
              </w:rPr>
              <w:t>4</w:t>
            </w:r>
            <w:r w:rsidRPr="00C30F7D">
              <w:t xml:space="preserve">) </w:t>
            </w:r>
          </w:p>
          <w:p w:rsidR="00000000" w:rsidRPr="00C30F7D" w:rsidP="00C30F7D">
            <w:pPr>
              <w:pStyle w:val="BodyText"/>
            </w:pPr>
            <w:r w:rsidRPr="00C30F7D">
              <w:t>This Competency Standard Unit shall be assessed by methods given in Volume 1, Part 3 'Assessment Guidelines'.</w:t>
            </w:r>
          </w:p>
          <w:p w:rsidR="00000000" w:rsidRPr="00C30F7D" w:rsidP="00C30F7D">
            <w:pPr>
              <w:pStyle w:val="BodyText"/>
            </w:pPr>
            <w:r w:rsidRPr="00C30F7D">
              <w:t>Note:</w:t>
            </w:r>
            <w:r w:rsidRPr="00C30F7D">
              <w:br/>
              <w:t>Competent performance with inherent safe working practices is expected i</w:t>
            </w:r>
            <w:r w:rsidRPr="00C30F7D">
              <w:t>n the Industry to which this Competency Standard Unit applies. This requires that the specified Essential Knowledge and Associated Skills are assessed in a structured environment which is primarily intended for learning/assessment and incorporates all nece</w:t>
            </w:r>
            <w:r w:rsidRPr="00C30F7D">
              <w:t>ssary equipment and facilities for learners to develop and demonstrate the essential knowledge and associated skills described in this unit.</w:t>
            </w:r>
          </w:p>
        </w:tc>
      </w:tr>
    </w:tbl>
    <w:p w:rsidR="00000000" w:rsidRPr="00C30F7D" w:rsidP="00C30F7D">
      <w:pPr>
        <w:pStyle w:val="BodyText"/>
      </w:pPr>
    </w:p>
    <w:p w:rsidR="00000000" w:rsidRPr="00C30F7D" w:rsidP="00C30F7D">
      <w:pPr>
        <w:pStyle w:val="BodyText"/>
      </w:pPr>
    </w:p>
    <w:tbl>
      <w:tblPr>
        <w:tblW w:w="0" w:type="auto"/>
        <w:tblLayout w:type="fixed"/>
        <w:tblCellMar>
          <w:left w:w="62" w:type="dxa"/>
          <w:right w:w="62" w:type="dxa"/>
        </w:tblCellMar>
        <w:tblLook w:val="0000"/>
      </w:tblPr>
      <w:tblGrid>
        <w:gridCol w:w="326"/>
        <w:gridCol w:w="1834"/>
        <w:gridCol w:w="1800"/>
        <w:gridCol w:w="2937"/>
        <w:gridCol w:w="1563"/>
      </w:tblGrid>
      <w:tr w:rsidTr="00B415F0">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 xml:space="preserve">Concurrent assessment </w:t>
            </w:r>
            <w:r w:rsidRPr="00C30F7D">
              <w:rPr>
                <w:rStyle w:val="SpecialBold"/>
              </w:rPr>
              <w:t>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8</w:t>
            </w:r>
            <w:r w:rsidRPr="00C30F7D">
              <w:t>.</w:t>
            </w:r>
            <w:r w:rsidRPr="00C30F7D">
              <w:rPr>
                <w:rStyle w:val="SpecialBold"/>
              </w:rPr>
              <w:t>5</w:t>
            </w:r>
            <w:r w:rsidRPr="00C30F7D">
              <w:t xml:space="preserve">) </w:t>
            </w:r>
          </w:p>
        </w:tc>
      </w:tr>
      <w:tr w:rsidTr="00B415F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There are no recommended concurrent assessments with this unit, however in some cases efficiencies may be gained in terms of learning and assessment effort being concurrently managed with allied Competency Standard Units where listed.</w:t>
            </w:r>
          </w:p>
        </w:tc>
      </w:tr>
      <w:tr w:rsidTr="00B415F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UEGNSG102A</w:t>
            </w:r>
          </w:p>
        </w:tc>
        <w:tc>
          <w:tcPr>
            <w:tcW w:w="4500" w:type="dxa"/>
            <w:gridSpan w:val="2"/>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Carry</w:t>
            </w:r>
            <w:r w:rsidRPr="00C30F7D">
              <w:t xml:space="preserve"> out work activities in a utilities industry work environment</w:t>
            </w:r>
          </w:p>
        </w:tc>
      </w:tr>
      <w:tr w:rsidTr="00B415F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UEGNSG103A</w:t>
            </w:r>
          </w:p>
        </w:tc>
        <w:tc>
          <w:tcPr>
            <w:tcW w:w="4500" w:type="dxa"/>
            <w:gridSpan w:val="2"/>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Comply with workplace OHS procedures and practices</w:t>
            </w:r>
          </w:p>
        </w:tc>
      </w:tr>
      <w:tr w:rsidTr="00B415F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UEGNSG104A</w:t>
            </w:r>
          </w:p>
        </w:tc>
        <w:tc>
          <w:tcPr>
            <w:tcW w:w="4500" w:type="dxa"/>
            <w:gridSpan w:val="2"/>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Comply with environmental policies and procedures</w:t>
            </w:r>
          </w:p>
        </w:tc>
      </w:tr>
      <w:tr w:rsidTr="00B415F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UEGNSG105A</w:t>
            </w:r>
          </w:p>
        </w:tc>
        <w:tc>
          <w:tcPr>
            <w:tcW w:w="4500" w:type="dxa"/>
            <w:gridSpan w:val="2"/>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Establish the work site</w:t>
            </w:r>
          </w:p>
        </w:tc>
      </w:tr>
      <w:tr w:rsidTr="00B415F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BSBCMN302A</w:t>
            </w:r>
          </w:p>
        </w:tc>
        <w:tc>
          <w:tcPr>
            <w:tcW w:w="4500" w:type="dxa"/>
            <w:gridSpan w:val="2"/>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Organise personal work priorities and professional development</w:t>
            </w:r>
          </w:p>
        </w:tc>
      </w:tr>
      <w:tr w:rsidTr="00B415F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BSBFLM312A</w:t>
            </w:r>
          </w:p>
        </w:tc>
        <w:tc>
          <w:tcPr>
            <w:tcW w:w="4500" w:type="dxa"/>
            <w:gridSpan w:val="2"/>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Contribute to team effectiveness</w:t>
            </w:r>
          </w:p>
        </w:tc>
      </w:tr>
      <w:tr w:rsidTr="00B415F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BSBFLM303A</w:t>
            </w:r>
          </w:p>
        </w:tc>
        <w:tc>
          <w:tcPr>
            <w:tcW w:w="4500" w:type="dxa"/>
            <w:gridSpan w:val="2"/>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Contribute to effective workplace relationships</w:t>
            </w:r>
          </w:p>
        </w:tc>
      </w:tr>
      <w:tr w:rsidTr="00B415F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BSBCMN311A</w:t>
            </w:r>
          </w:p>
        </w:tc>
        <w:tc>
          <w:tcPr>
            <w:tcW w:w="4500" w:type="dxa"/>
            <w:gridSpan w:val="2"/>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Maintain workplace safety</w:t>
            </w:r>
          </w:p>
        </w:tc>
      </w:tr>
      <w:tr w:rsidTr="00B415F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30F7D" w:rsidP="00C30F7D">
            <w:pPr>
              <w:pStyle w:val="BodyText"/>
            </w:pPr>
            <w:r w:rsidRPr="00C30F7D">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8</w:t>
            </w:r>
            <w:r w:rsidRPr="00C30F7D">
              <w:t>.</w:t>
            </w:r>
            <w:r w:rsidRPr="00C30F7D">
              <w:rPr>
                <w:rStyle w:val="SpecialBold"/>
              </w:rPr>
              <w:t>6</w:t>
            </w:r>
            <w:r w:rsidRPr="00C30F7D">
              <w:t xml:space="preserve">) </w:t>
            </w:r>
          </w:p>
          <w:p w:rsidR="00000000" w:rsidP="00C30F7D">
            <w:pPr>
              <w:pStyle w:val="BodyText"/>
              <w:rPr>
                <w:lang w:val="en-NZ"/>
              </w:rPr>
            </w:pPr>
            <w:r w:rsidRPr="00C30F7D">
              <w:t>Evidence that particular Key Competencies have been achieved within this Competency Standard Unit is in the context of the following Performance Criteria of evidence. See Volume 2, Part 4 for an explanation of Key Competencies and levels of this Training P</w:t>
            </w:r>
            <w:r w:rsidRPr="00C30F7D">
              <w:t>ackage.</w:t>
            </w:r>
          </w:p>
        </w:tc>
      </w:tr>
      <w:tr w:rsidTr="00B415F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r w:rsidRPr="00C30F7D">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r w:rsidRPr="00C30F7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rPr>
                <w:rStyle w:val="SpecialBold"/>
              </w:rPr>
              <w:t>Performance Level</w:t>
            </w:r>
          </w:p>
        </w:tc>
      </w:tr>
      <w:tr w:rsidTr="00B415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p>
          <w:p w:rsidR="00000000" w:rsidP="00C30F7D">
            <w:pPr>
              <w:pStyle w:val="BodyText"/>
              <w:rPr>
                <w:lang w:val="en-NZ"/>
              </w:rPr>
            </w:pPr>
            <w:r w:rsidRPr="00C30F7D">
              <w:t>3</w:t>
            </w:r>
          </w:p>
        </w:tc>
      </w:tr>
      <w:tr w:rsidTr="00B415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p>
        </w:tc>
      </w:tr>
      <w:tr w:rsidTr="00B415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p>
          <w:p w:rsidR="00000000" w:rsidP="00C30F7D">
            <w:pPr>
              <w:pStyle w:val="BodyText"/>
              <w:rPr>
                <w:lang w:val="en-NZ"/>
              </w:rPr>
            </w:pPr>
            <w:r w:rsidRPr="00C30F7D">
              <w:t>2</w:t>
            </w:r>
          </w:p>
        </w:tc>
      </w:tr>
      <w:tr w:rsidTr="00B415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p>
        </w:tc>
      </w:tr>
      <w:tr w:rsidTr="00B415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Refer to the following Per</w:t>
            </w:r>
            <w:r w:rsidRPr="00C30F7D">
              <w:t>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p>
          <w:p w:rsidR="00000000" w:rsidP="00C30F7D">
            <w:pPr>
              <w:pStyle w:val="BodyText"/>
              <w:rPr>
                <w:lang w:val="en-NZ"/>
              </w:rPr>
            </w:pPr>
            <w:r w:rsidRPr="00C30F7D">
              <w:t>2</w:t>
            </w:r>
          </w:p>
        </w:tc>
      </w:tr>
      <w:tr w:rsidTr="00B415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p>
        </w:tc>
      </w:tr>
      <w:tr w:rsidTr="00B415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p>
          <w:p w:rsidR="00000000" w:rsidP="00C30F7D">
            <w:pPr>
              <w:pStyle w:val="BodyText"/>
              <w:rPr>
                <w:lang w:val="en-NZ"/>
              </w:rPr>
            </w:pPr>
            <w:r w:rsidRPr="00C30F7D">
              <w:t>1</w:t>
            </w:r>
          </w:p>
        </w:tc>
      </w:tr>
      <w:tr w:rsidTr="00B415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p>
        </w:tc>
      </w:tr>
      <w:tr w:rsidTr="00B415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p>
          <w:p w:rsidR="00000000" w:rsidP="00C30F7D">
            <w:pPr>
              <w:pStyle w:val="BodyText"/>
              <w:rPr>
                <w:lang w:val="en-NZ"/>
              </w:rPr>
            </w:pPr>
            <w:r w:rsidRPr="00C30F7D">
              <w:t>N/A</w:t>
            </w:r>
          </w:p>
        </w:tc>
      </w:tr>
      <w:tr w:rsidTr="00B415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p>
        </w:tc>
      </w:tr>
      <w:tr w:rsidTr="00B415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p>
          <w:p w:rsidR="00000000" w:rsidP="00C30F7D">
            <w:pPr>
              <w:pStyle w:val="BodyText"/>
              <w:rPr>
                <w:lang w:val="en-NZ"/>
              </w:rPr>
            </w:pPr>
            <w:r w:rsidRPr="00C30F7D">
              <w:t>2</w:t>
            </w:r>
          </w:p>
        </w:tc>
      </w:tr>
      <w:tr w:rsidTr="00B415F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p>
        </w:tc>
      </w:tr>
      <w:tr w:rsidTr="00B415F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w:t>
            </w:r>
            <w:r w:rsidRPr="00C30F7D">
              <w:t>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p>
          <w:p w:rsidR="00000000" w:rsidP="00C30F7D">
            <w:pPr>
              <w:pStyle w:val="BodyText"/>
              <w:rPr>
                <w:lang w:val="en-NZ"/>
              </w:rPr>
            </w:pPr>
            <w:r w:rsidRPr="00C30F7D">
              <w:t>2</w:t>
            </w:r>
          </w:p>
        </w:tc>
      </w:tr>
      <w:tr w:rsidTr="00B415F0">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3.4</w:t>
            </w:r>
          </w:p>
        </w:tc>
      </w:tr>
      <w:tr w:rsidTr="00B415F0">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415F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30F7D" w:rsidP="00C30F7D">
            <w:pPr>
              <w:pStyle w:val="BodyText"/>
            </w:pPr>
            <w:r w:rsidRPr="00C30F7D">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C30F7D" w:rsidP="00C30F7D">
            <w:pPr>
              <w:pStyle w:val="BodyText"/>
            </w:pPr>
            <w:r w:rsidRPr="00C30F7D">
              <w:rPr>
                <w:rStyle w:val="SpecialBold"/>
              </w:rPr>
              <w:t>8</w:t>
            </w:r>
            <w:r w:rsidRPr="00C30F7D">
              <w:t>.</w:t>
            </w:r>
            <w:r w:rsidRPr="00C30F7D">
              <w:rPr>
                <w:rStyle w:val="SpecialBold"/>
              </w:rPr>
              <w:t>7</w:t>
            </w:r>
            <w:r w:rsidRPr="00C30F7D">
              <w:t xml:space="preserve">) </w:t>
            </w:r>
          </w:p>
          <w:p w:rsidR="00000000" w:rsidP="00C30F7D">
            <w:pPr>
              <w:pStyle w:val="BodyText"/>
              <w:rPr>
                <w:lang w:val="en-NZ"/>
              </w:rPr>
            </w:pPr>
            <w:r w:rsidRPr="00C30F7D">
              <w:t xml:space="preserve">Evidence that competency in this unit incorporates skills enabling employment is in the context of the following performance. See Volume 2, Part 5 for definitions and an explanation of skills enabling employment. </w:t>
            </w:r>
          </w:p>
        </w:tc>
      </w:tr>
      <w:tr w:rsidTr="00B415F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r w:rsidRPr="00C30F7D">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rPr>
                <w:rStyle w:val="SpecialBold"/>
              </w:rPr>
              <w:t>Example of Appli</w:t>
            </w:r>
            <w:r w:rsidRPr="00C30F7D">
              <w:rPr>
                <w:rStyle w:val="SpecialBold"/>
              </w:rPr>
              <w:t>cation</w:t>
            </w:r>
          </w:p>
        </w:tc>
      </w:tr>
      <w:tr w:rsidTr="00B415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Refer to the following Performance Criteria for examples of application:</w:t>
            </w:r>
          </w:p>
        </w:tc>
      </w:tr>
      <w:tr w:rsidTr="00B415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All</w:t>
            </w:r>
          </w:p>
        </w:tc>
      </w:tr>
      <w:tr w:rsidTr="00B415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Refer to the following Performance Criteria for examples of application:</w:t>
            </w:r>
          </w:p>
        </w:tc>
      </w:tr>
      <w:tr w:rsidTr="00B415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2.6; 2.7</w:t>
            </w:r>
          </w:p>
        </w:tc>
      </w:tr>
      <w:tr w:rsidTr="00B415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Refer to the following Performance Criteria for examples of application:</w:t>
            </w:r>
          </w:p>
        </w:tc>
      </w:tr>
      <w:tr w:rsidTr="00B415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3.4; 3.6</w:t>
            </w:r>
          </w:p>
        </w:tc>
      </w:tr>
      <w:tr w:rsidTr="00B415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Refer to the following Performance Criteria for examples of application:</w:t>
            </w:r>
          </w:p>
        </w:tc>
      </w:tr>
      <w:tr w:rsidTr="00B415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1.4; 1.9; 3.6</w:t>
            </w:r>
          </w:p>
        </w:tc>
      </w:tr>
      <w:tr w:rsidTr="00B415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Refer to the following Performance Criteria for examples of application:</w:t>
            </w:r>
          </w:p>
        </w:tc>
      </w:tr>
      <w:tr w:rsidTr="00B415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1.4; 1.5; 1.7; 1.9</w:t>
            </w:r>
          </w:p>
        </w:tc>
      </w:tr>
      <w:tr w:rsidTr="00B415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F7D">
            <w:pPr>
              <w:pStyle w:val="BodyText"/>
              <w:rPr>
                <w:lang w:val="en-NZ"/>
              </w:rPr>
            </w:pPr>
            <w:r w:rsidRPr="00C30F7D">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F7D">
            <w:pPr>
              <w:pStyle w:val="BodyText"/>
              <w:rPr>
                <w:lang w:val="en-NZ"/>
              </w:rPr>
            </w:pPr>
            <w:r w:rsidRPr="00C30F7D">
              <w:t>Refer to the following Performance Criteria for examples of application:</w:t>
            </w:r>
          </w:p>
        </w:tc>
      </w:tr>
      <w:tr w:rsidTr="00B415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30F7D" w:rsidP="00C30F7D">
            <w:pPr>
              <w:pStyle w:val="BodyText"/>
            </w:pPr>
            <w:r w:rsidRPr="00C30F7D">
              <w:t>2.6</w:t>
            </w:r>
          </w:p>
        </w:tc>
      </w:tr>
    </w:tbl>
    <w:p w:rsidR="00B415F0" w:rsidP="00C30F7D">
      <w:pPr>
        <w:pStyle w:val="BodyText"/>
      </w:pPr>
    </w:p>
    <w:p w:rsidR="00B415F0" w:rsidP="00C30F7D">
      <w:pPr>
        <w:pStyle w:val="BodyText"/>
      </w:pPr>
    </w:p>
    <w:p w:rsidR="00000000" w:rsidRPr="00C30F7D" w:rsidP="00C30F7D">
      <w:pPr>
        <w:pStyle w:val="Heading1"/>
      </w:pPr>
      <w:bookmarkStart w:id="11" w:name="O_255824"/>
      <w:bookmarkEnd w:id="11"/>
      <w:r w:rsidRPr="00C30F7D">
        <w:t>Range Statement</w:t>
      </w:r>
    </w:p>
    <w:tbl>
      <w:tblPr>
        <w:tblW w:w="0" w:type="auto"/>
        <w:tblLayout w:type="fixed"/>
        <w:tblCellMar>
          <w:left w:w="62" w:type="dxa"/>
          <w:right w:w="62" w:type="dxa"/>
        </w:tblCellMar>
        <w:tblLook w:val="0000"/>
      </w:tblPr>
      <w:tblGrid>
        <w:gridCol w:w="8460"/>
      </w:tblGrid>
      <w:tr w:rsidTr="00B415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RANGE STATEMENT</w:t>
            </w:r>
          </w:p>
        </w:tc>
      </w:tr>
      <w:tr w:rsidTr="00B415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7</w:t>
            </w:r>
            <w:r w:rsidRPr="00C30F7D">
              <w:t xml:space="preserve">) This relates to the competency standard unit as a whole providing the range of contexts and conditions </w:t>
            </w:r>
            <w:r w:rsidRPr="00C30F7D">
              <w:t>to which the Performance Criteria apply. It allows for different work environments and situations that will affect performance.</w:t>
            </w:r>
          </w:p>
        </w:tc>
      </w:tr>
      <w:tr w:rsidTr="00B415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t>This Competency Standard Unit shall/may be demonstrated in relation to controlling storage of LPG in terminal.</w:t>
            </w:r>
          </w:p>
          <w:p w:rsidR="00000000" w:rsidRPr="00C30F7D" w:rsidP="00C30F7D">
            <w:pPr>
              <w:pStyle w:val="BodyText"/>
            </w:pPr>
            <w:r w:rsidRPr="00C30F7D">
              <w:t>The following co</w:t>
            </w:r>
            <w:r w:rsidRPr="00C30F7D">
              <w:t>nstants and variables included in the element/Performance Criteria in this unit are fully described in the Definitions Section of this volume and form an integral part of the Range Statement of this unit:</w:t>
            </w:r>
          </w:p>
          <w:p w:rsidR="00000000" w:rsidRPr="00C30F7D" w:rsidP="00C30F7D">
            <w:pPr>
              <w:pStyle w:val="BodyText"/>
            </w:pPr>
            <w:r w:rsidRPr="00C30F7D">
              <w:t>Appropriate persons (3)</w:t>
            </w:r>
          </w:p>
          <w:p w:rsidR="00000000" w:rsidRPr="00C30F7D" w:rsidP="00C30F7D">
            <w:pPr>
              <w:pStyle w:val="BodyText"/>
            </w:pPr>
            <w:r w:rsidRPr="00C30F7D">
              <w:t xml:space="preserve">LPG transfer </w:t>
            </w:r>
          </w:p>
          <w:p w:rsidR="00000000" w:rsidRPr="00C30F7D" w:rsidP="00C30F7D">
            <w:pPr>
              <w:pStyle w:val="BodyText"/>
            </w:pPr>
            <w:r w:rsidRPr="00C30F7D">
              <w:t>Equipment (3)</w:t>
            </w:r>
          </w:p>
          <w:p w:rsidR="00000000" w:rsidRPr="00C30F7D" w:rsidP="00C30F7D">
            <w:pPr>
              <w:pStyle w:val="BodyText"/>
            </w:pPr>
            <w:r w:rsidRPr="00C30F7D">
              <w:t>Legislative requirements (3)</w:t>
            </w:r>
          </w:p>
          <w:p w:rsidR="00000000" w:rsidRPr="00C30F7D" w:rsidP="00C30F7D">
            <w:pPr>
              <w:pStyle w:val="BodyText"/>
            </w:pPr>
            <w:r w:rsidRPr="00C30F7D">
              <w:t>Monitoring of storage facilities (3)</w:t>
            </w:r>
          </w:p>
          <w:p w:rsidR="00000000" w:rsidRPr="00C30F7D" w:rsidP="00C30F7D">
            <w:pPr>
              <w:pStyle w:val="BodyText"/>
            </w:pPr>
            <w:r w:rsidRPr="00C30F7D">
              <w:t xml:space="preserve">Emergency responses </w:t>
            </w:r>
          </w:p>
          <w:p w:rsidR="00000000" w:rsidRPr="00C30F7D" w:rsidP="00C30F7D">
            <w:pPr>
              <w:pStyle w:val="BodyText"/>
            </w:pPr>
            <w:r w:rsidRPr="00C30F7D">
              <w:t xml:space="preserve">Documents </w:t>
            </w:r>
          </w:p>
          <w:p w:rsidR="00000000" w:rsidRPr="00C30F7D" w:rsidP="00C30F7D">
            <w:pPr>
              <w:pStyle w:val="BodyText"/>
            </w:pPr>
            <w:r w:rsidRPr="00C30F7D">
              <w:t>Documentation (3)</w:t>
            </w:r>
          </w:p>
        </w:tc>
      </w:tr>
    </w:tbl>
    <w:p w:rsidR="00B415F0" w:rsidP="00C30F7D">
      <w:pPr>
        <w:pStyle w:val="BodyText"/>
      </w:pPr>
    </w:p>
    <w:p w:rsidR="00B415F0" w:rsidP="00C30F7D">
      <w:pPr>
        <w:pStyle w:val="BodyText"/>
      </w:pPr>
    </w:p>
    <w:p w:rsidR="00000000" w:rsidRPr="00C30F7D" w:rsidP="00C30F7D">
      <w:pPr>
        <w:pStyle w:val="Heading1"/>
      </w:pPr>
      <w:bookmarkStart w:id="12" w:name="O_296837"/>
      <w:bookmarkEnd w:id="12"/>
      <w:r w:rsidRPr="00C30F7D">
        <w:t>Unit Sector(s)</w:t>
      </w:r>
    </w:p>
    <w:p w:rsidR="00000000" w:rsidRPr="00C30F7D" w:rsidP="00C30F7D">
      <w:pPr>
        <w:pStyle w:val="BodyText"/>
      </w:pPr>
      <w:r w:rsidRPr="00C30F7D">
        <w:t>Not Applicable</w:t>
      </w:r>
    </w:p>
    <w:p w:rsidR="00000000" w:rsidRPr="00C30F7D" w:rsidP="00C30F7D">
      <w:pPr>
        <w:pStyle w:val="AllowPageBreak"/>
      </w:pPr>
    </w:p>
    <w:p w:rsidR="00000000" w:rsidRPr="00C30F7D" w:rsidP="00C30F7D">
      <w:pPr>
        <w:pStyle w:val="Heading1"/>
      </w:pPr>
      <w:bookmarkStart w:id="13" w:name="O_229681"/>
      <w:bookmarkEnd w:id="13"/>
      <w:r w:rsidRPr="00C30F7D">
        <w:t>Competency Field</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415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2</w:t>
            </w:r>
            <w:r w:rsidRPr="00C30F7D">
              <w:t>.</w:t>
            </w:r>
            <w:r w:rsidRPr="00C30F7D">
              <w:rPr>
                <w:rStyle w:val="SpecialBold"/>
              </w:rPr>
              <w:t>2</w:t>
            </w:r>
            <w:r w:rsidRPr="00C30F7D">
              <w:t xml:space="preserve">) </w:t>
            </w:r>
          </w:p>
          <w:p w:rsidR="00000000" w:rsidP="00C30F7D">
            <w:pPr>
              <w:pStyle w:val="BodyText"/>
              <w:rPr>
                <w:lang w:val="en-NZ"/>
              </w:rPr>
            </w:pPr>
            <w:r w:rsidRPr="00C30F7D">
              <w:t>Participants are best equipped to achieve this unit if they have reading, writing and numeracy skills indicated by the following scales. Description of each scale is given in Volume 2, Part 3 'Literacy and Numeracy'</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Reading</w:t>
            </w:r>
          </w:p>
        </w:tc>
        <w:tc>
          <w:tcPr>
            <w:tcW w:w="805"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3</w:t>
            </w:r>
          </w:p>
        </w:tc>
        <w:tc>
          <w:tcPr>
            <w:tcW w:w="1184"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Writing</w:t>
            </w:r>
          </w:p>
        </w:tc>
        <w:tc>
          <w:tcPr>
            <w:tcW w:w="805"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3</w:t>
            </w:r>
          </w:p>
        </w:tc>
        <w:tc>
          <w:tcPr>
            <w:tcW w:w="1172"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Numeracy</w:t>
            </w:r>
          </w:p>
        </w:tc>
        <w:tc>
          <w:tcPr>
            <w:tcW w:w="805"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t>3</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Application of the Unit</w:t>
            </w:r>
          </w:p>
        </w:tc>
        <w:tc>
          <w:tcPr>
            <w:tcW w:w="5760" w:type="dxa"/>
            <w:gridSpan w:val="6"/>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3</w:t>
            </w:r>
            <w:r w:rsidRPr="00C30F7D">
              <w:t>)</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t>This competency standard shall apply to work sites where LPG is transported.</w:t>
            </w:r>
          </w:p>
        </w:tc>
      </w:tr>
    </w:tbl>
    <w:p w:rsidR="00B415F0" w:rsidP="00C30F7D">
      <w:pPr>
        <w:pStyle w:val="BodyText"/>
      </w:pPr>
    </w:p>
    <w:p w:rsidR="00B415F0" w:rsidP="00C30F7D">
      <w:pPr>
        <w:pStyle w:val="BodyText"/>
      </w:pPr>
    </w:p>
    <w:p w:rsidR="00000000" w:rsidRPr="00C30F7D" w:rsidP="00C30F7D">
      <w:pPr>
        <w:pStyle w:val="Heading1"/>
      </w:pPr>
      <w:bookmarkStart w:id="14" w:name="O_229683"/>
      <w:bookmarkEnd w:id="14"/>
      <w:r w:rsidRPr="00C30F7D">
        <w:t>Custom Content Section</w:t>
      </w:r>
    </w:p>
    <w:tbl>
      <w:tblPr>
        <w:tblW w:w="0" w:type="auto"/>
        <w:tblLayout w:type="fixed"/>
        <w:tblCellMar>
          <w:left w:w="62" w:type="dxa"/>
          <w:right w:w="62" w:type="dxa"/>
        </w:tblCellMar>
        <w:tblLook w:val="0000"/>
      </w:tblPr>
      <w:tblGrid>
        <w:gridCol w:w="2700"/>
        <w:gridCol w:w="5760"/>
      </w:tblGrid>
      <w:tr w:rsidTr="00B415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30F7D">
            <w:pPr>
              <w:pStyle w:val="BodyText"/>
              <w:rPr>
                <w:lang w:val="en-NZ"/>
              </w:rPr>
            </w:pPr>
            <w:r w:rsidRPr="00C30F7D">
              <w:rPr>
                <w:rStyle w:val="SpecialBold"/>
              </w:rPr>
              <w:t>4</w:t>
            </w:r>
            <w:r w:rsidRPr="00C30F7D">
              <w:t>)</w:t>
            </w:r>
          </w:p>
        </w:tc>
      </w:tr>
      <w:tr w:rsidTr="00B415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0F7D" w:rsidP="00C30F7D">
            <w:pPr>
              <w:pStyle w:val="BodyText"/>
            </w:pPr>
            <w:r w:rsidRPr="00C30F7D">
              <w:t>LPG</w:t>
            </w:r>
          </w:p>
        </w:tc>
      </w:tr>
    </w:tbl>
    <w:p w:rsidR="00B415F0" w:rsidP="00C30F7D">
      <w:pPr>
        <w:pStyle w:val="BodyText"/>
      </w:pPr>
    </w:p>
    <w:p w:rsidR="00B415F0" w:rsidP="00C30F7D">
      <w:pPr>
        <w:pStyle w:val="BodyText"/>
      </w:pPr>
    </w:p>
    <w:p w:rsidR="00000000" w:rsidRPr="00C30F7D" w:rsidP="00C30F7D"/>
    <w:sectPr w:rsidSect="00C30F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5F0" w:rsidP="00B415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F0" w:rsidP="00C30F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415F0" w:rsidP="00C30F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415F0" w:rsidP="00C30F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5F0" w:rsidP="00B415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F0" w:rsidP="00C30F7D">
    <w:pPr>
      <w:pStyle w:val="Header"/>
      <w:framePr w:wrap="around"/>
    </w:pPr>
    <w:r>
      <w:fldChar w:fldCharType="begin"/>
    </w:r>
    <w:r>
      <w:instrText xml:space="preserve"> TITLE   \* MERGEFORMAT </w:instrText>
    </w:r>
    <w:r>
      <w:fldChar w:fldCharType="separate"/>
    </w:r>
    <w:r>
      <w:t>UEGNSG610A Control storage of LPG in terminal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15F0" w:rsidP="00C30F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20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F4B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E0F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F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0F7D"/>
    <w:pPr>
      <w:spacing w:before="360" w:after="60"/>
      <w:outlineLvl w:val="0"/>
    </w:pPr>
    <w:rPr>
      <w:sz w:val="32"/>
    </w:rPr>
  </w:style>
  <w:style w:type="paragraph" w:styleId="Heading2">
    <w:name w:val="heading 2"/>
    <w:basedOn w:val="HeadingBase"/>
    <w:next w:val="BodyText"/>
    <w:link w:val="Heading2Char"/>
    <w:qFormat/>
    <w:rsid w:val="00C30F7D"/>
    <w:pPr>
      <w:keepLines/>
      <w:spacing w:before="240" w:after="120"/>
      <w:outlineLvl w:val="1"/>
    </w:pPr>
    <w:rPr>
      <w:sz w:val="28"/>
      <w:szCs w:val="40"/>
    </w:rPr>
  </w:style>
  <w:style w:type="paragraph" w:styleId="Heading3">
    <w:name w:val="heading 3"/>
    <w:basedOn w:val="HeadingBase"/>
    <w:next w:val="BodyText"/>
    <w:link w:val="Heading3Char"/>
    <w:qFormat/>
    <w:rsid w:val="00C30F7D"/>
    <w:pPr>
      <w:spacing w:before="180" w:after="120"/>
      <w:outlineLvl w:val="2"/>
    </w:pPr>
    <w:rPr>
      <w:spacing w:val="-10"/>
      <w:kern w:val="32"/>
    </w:rPr>
  </w:style>
  <w:style w:type="paragraph" w:styleId="Heading4">
    <w:name w:val="heading 4"/>
    <w:basedOn w:val="HeadingBase"/>
    <w:next w:val="BodyText"/>
    <w:link w:val="Heading4Char"/>
    <w:qFormat/>
    <w:rsid w:val="00C30F7D"/>
    <w:pPr>
      <w:spacing w:before="160" w:after="120"/>
      <w:outlineLvl w:val="3"/>
    </w:pPr>
    <w:rPr>
      <w:sz w:val="22"/>
    </w:rPr>
  </w:style>
  <w:style w:type="paragraph" w:styleId="Heading5">
    <w:name w:val="heading 5"/>
    <w:basedOn w:val="HeadingBase"/>
    <w:next w:val="Normal"/>
    <w:link w:val="Heading5Char"/>
    <w:qFormat/>
    <w:rsid w:val="00C30F7D"/>
    <w:pPr>
      <w:spacing w:before="80"/>
      <w:outlineLvl w:val="4"/>
    </w:pPr>
    <w:rPr>
      <w:color w:val="918585"/>
      <w:sz w:val="20"/>
    </w:rPr>
  </w:style>
  <w:style w:type="paragraph" w:styleId="Heading6">
    <w:name w:val="heading 6"/>
    <w:basedOn w:val="HeadingBase"/>
    <w:next w:val="Normal"/>
    <w:link w:val="Heading6Char"/>
    <w:qFormat/>
    <w:rsid w:val="00C30F7D"/>
    <w:pPr>
      <w:spacing w:before="60"/>
      <w:outlineLvl w:val="5"/>
    </w:pPr>
    <w:rPr>
      <w:color w:val="918585"/>
      <w:sz w:val="20"/>
    </w:rPr>
  </w:style>
  <w:style w:type="paragraph" w:styleId="Heading7">
    <w:name w:val="heading 7"/>
    <w:basedOn w:val="Normal"/>
    <w:next w:val="Normal"/>
    <w:link w:val="Heading7Char"/>
    <w:qFormat/>
    <w:rsid w:val="00C30F7D"/>
    <w:pPr>
      <w:ind w:left="720"/>
      <w:outlineLvl w:val="6"/>
    </w:pPr>
    <w:rPr>
      <w:i/>
    </w:rPr>
  </w:style>
  <w:style w:type="paragraph" w:styleId="Heading8">
    <w:name w:val="heading 8"/>
    <w:basedOn w:val="Normal"/>
    <w:next w:val="Normal"/>
    <w:link w:val="Heading8Char"/>
    <w:qFormat/>
    <w:rsid w:val="00C30F7D"/>
    <w:pPr>
      <w:ind w:left="720"/>
      <w:outlineLvl w:val="7"/>
    </w:pPr>
    <w:rPr>
      <w:i/>
    </w:rPr>
  </w:style>
  <w:style w:type="paragraph" w:styleId="Heading9">
    <w:name w:val="heading 9"/>
    <w:basedOn w:val="Normal"/>
    <w:next w:val="Normal"/>
    <w:link w:val="Heading9Char"/>
    <w:qFormat/>
    <w:rsid w:val="00C30F7D"/>
    <w:pPr>
      <w:ind w:left="720"/>
      <w:outlineLvl w:val="8"/>
    </w:pPr>
    <w:rPr>
      <w:i/>
    </w:rPr>
  </w:style>
  <w:style w:type="character" w:default="1" w:styleId="DefaultParagraphFont">
    <w:name w:val="Default Paragraph Font"/>
    <w:uiPriority w:val="1"/>
    <w:unhideWhenUsed/>
    <w:rsid w:val="00C30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F7D"/>
  </w:style>
  <w:style w:type="character" w:customStyle="1" w:styleId="Heading1Char">
    <w:name w:val="Heading 1 Char"/>
    <w:basedOn w:val="DefaultParagraphFont"/>
    <w:link w:val="Heading1"/>
    <w:rsid w:val="00C30F7D"/>
    <w:rPr>
      <w:rFonts w:ascii="Times New Roman" w:eastAsia="Times New Roman" w:hAnsi="Times New Roman" w:cs="Times New Roman"/>
      <w:b/>
      <w:sz w:val="32"/>
      <w:szCs w:val="20"/>
      <w:lang w:eastAsia="en-US"/>
    </w:rPr>
  </w:style>
  <w:style w:type="paragraph" w:styleId="BodyText">
    <w:name w:val="Body Text"/>
    <w:basedOn w:val="Normal"/>
    <w:link w:val="BodyTextChar"/>
    <w:rsid w:val="00C30F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0F7D"/>
    <w:rPr>
      <w:rFonts w:ascii="Times New Roman" w:eastAsia="Times New Roman" w:hAnsi="Times New Roman" w:cs="Times New Roman"/>
      <w:sz w:val="24"/>
      <w:lang w:val="en-US" w:eastAsia="en-US"/>
    </w:rPr>
  </w:style>
  <w:style w:type="paragraph" w:styleId="Footer">
    <w:name w:val="footer"/>
    <w:basedOn w:val="Normal"/>
    <w:link w:val="FooterChar"/>
    <w:rsid w:val="00C30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F7D"/>
    <w:rPr>
      <w:rFonts w:ascii="Times New Roman" w:eastAsia="Times New Roman" w:hAnsi="Times New Roman" w:cs="Times New Roman"/>
      <w:sz w:val="16"/>
      <w:lang w:val="en-US" w:eastAsia="en-US"/>
    </w:rPr>
  </w:style>
  <w:style w:type="paragraph" w:styleId="ListBullet">
    <w:name w:val="List Bullet"/>
    <w:basedOn w:val="List"/>
    <w:rsid w:val="00C30F7D"/>
    <w:pPr>
      <w:numPr>
        <w:numId w:val="13"/>
      </w:numPr>
      <w:tabs>
        <w:tab w:val="clear" w:pos="340"/>
      </w:tabs>
      <w:spacing w:before="40" w:after="40"/>
    </w:pPr>
  </w:style>
  <w:style w:type="character" w:customStyle="1" w:styleId="SpecialBold">
    <w:name w:val="Special Bold"/>
    <w:basedOn w:val="DefaultParagraphFont"/>
    <w:rsid w:val="00C30F7D"/>
    <w:rPr>
      <w:b/>
      <w:spacing w:val="0"/>
    </w:rPr>
  </w:style>
  <w:style w:type="paragraph" w:styleId="ListBullet2">
    <w:name w:val="List Bullet 2"/>
    <w:basedOn w:val="List2"/>
    <w:rsid w:val="00C30F7D"/>
    <w:pPr>
      <w:numPr>
        <w:numId w:val="14"/>
      </w:numPr>
      <w:tabs>
        <w:tab w:val="clear" w:pos="680"/>
      </w:tabs>
    </w:pPr>
  </w:style>
  <w:style w:type="paragraph" w:styleId="Header">
    <w:name w:val="header"/>
    <w:basedOn w:val="Normal"/>
    <w:link w:val="HeaderChar"/>
    <w:rsid w:val="00C30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F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0F7D"/>
    <w:pPr>
      <w:spacing w:before="240" w:after="120"/>
      <w:outlineLvl w:val="0"/>
    </w:pPr>
    <w:rPr>
      <w:rFonts w:ascii="Times New Roman" w:hAnsi="Times New Roman"/>
      <w:b/>
      <w:sz w:val="28"/>
    </w:rPr>
  </w:style>
  <w:style w:type="paragraph" w:customStyle="1" w:styleId="AllowPageBreak">
    <w:name w:val="AllowPageBreak"/>
    <w:rsid w:val="00C30F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0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F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F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F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0F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0F7D"/>
    <w:rPr>
      <w:rFonts w:ascii="Courier New" w:eastAsia="Times New Roman" w:hAnsi="Courier New" w:cs="Times New Roman"/>
      <w:i/>
      <w:szCs w:val="20"/>
      <w:lang w:val="en-US" w:eastAsia="en-US"/>
    </w:rPr>
  </w:style>
  <w:style w:type="paragraph" w:customStyle="1" w:styleId="HeadingBase">
    <w:name w:val="Heading Base"/>
    <w:rsid w:val="00C30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F7D"/>
    <w:pPr>
      <w:tabs>
        <w:tab w:val="right" w:leader="dot" w:pos="9072"/>
      </w:tabs>
      <w:ind w:left="567"/>
    </w:pPr>
    <w:rPr>
      <w:szCs w:val="22"/>
    </w:rPr>
  </w:style>
  <w:style w:type="paragraph" w:customStyle="1" w:styleId="TOCBase">
    <w:name w:val="TOC Base"/>
    <w:rsid w:val="00C30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F7D"/>
    <w:pPr>
      <w:tabs>
        <w:tab w:val="right" w:leader="dot" w:pos="9072"/>
      </w:tabs>
      <w:spacing w:before="40" w:after="40"/>
      <w:ind w:left="284"/>
    </w:pPr>
    <w:rPr>
      <w:rFonts w:ascii="Times New Roman" w:hAnsi="Times New Roman"/>
    </w:rPr>
  </w:style>
  <w:style w:type="paragraph" w:styleId="TOC1">
    <w:name w:val="toc 1"/>
    <w:basedOn w:val="TOCBase"/>
    <w:next w:val="Normal"/>
    <w:rsid w:val="00C30F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0F7D"/>
    <w:pPr>
      <w:spacing w:before="5040"/>
      <w:jc w:val="center"/>
    </w:pPr>
    <w:rPr>
      <w:sz w:val="48"/>
      <w:szCs w:val="72"/>
      <w:lang w:val="en-US"/>
    </w:rPr>
  </w:style>
  <w:style w:type="character" w:customStyle="1" w:styleId="TitleChar">
    <w:name w:val="Title Char"/>
    <w:basedOn w:val="DefaultParagraphFont"/>
    <w:link w:val="Title"/>
    <w:rsid w:val="00C30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F7D"/>
    <w:pPr>
      <w:tabs>
        <w:tab w:val="left" w:pos="3600"/>
        <w:tab w:val="left" w:pos="3958"/>
      </w:tabs>
    </w:pPr>
  </w:style>
  <w:style w:type="paragraph" w:styleId="List">
    <w:name w:val="List"/>
    <w:basedOn w:val="BodyText"/>
    <w:next w:val="BodyText"/>
    <w:rsid w:val="00C30F7D"/>
    <w:pPr>
      <w:tabs>
        <w:tab w:val="left" w:pos="340"/>
      </w:tabs>
      <w:spacing w:before="60" w:after="60"/>
      <w:ind w:left="340" w:hanging="340"/>
    </w:pPr>
  </w:style>
  <w:style w:type="paragraph" w:customStyle="1" w:styleId="Note">
    <w:name w:val="Note"/>
    <w:basedOn w:val="BodyText"/>
    <w:rsid w:val="00C30F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F7D"/>
    <w:pPr>
      <w:framePr w:wrap="auto" w:hAnchor="text" w:y="6049"/>
    </w:pPr>
    <w:rPr>
      <w:color w:val="000000"/>
      <w:sz w:val="40"/>
    </w:rPr>
  </w:style>
  <w:style w:type="paragraph" w:customStyle="1" w:styleId="TOCTitle">
    <w:name w:val="TOCTitle"/>
    <w:basedOn w:val="Heading1"/>
    <w:rsid w:val="00C30F7D"/>
    <w:pPr>
      <w:spacing w:after="240"/>
      <w:jc w:val="center"/>
      <w:outlineLvl w:val="9"/>
    </w:pPr>
    <w:rPr>
      <w:caps/>
    </w:rPr>
  </w:style>
  <w:style w:type="paragraph" w:customStyle="1" w:styleId="Version">
    <w:name w:val="Version"/>
    <w:rsid w:val="00C30F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F7D"/>
    <w:pPr>
      <w:keepNext w:val="0"/>
      <w:tabs>
        <w:tab w:val="right" w:pos="4176"/>
      </w:tabs>
      <w:ind w:left="198" w:hanging="198"/>
    </w:pPr>
    <w:rPr>
      <w:rFonts w:ascii="Garamond" w:hAnsi="Garamond"/>
    </w:rPr>
  </w:style>
  <w:style w:type="paragraph" w:styleId="IndexHeading">
    <w:name w:val="index heading"/>
    <w:basedOn w:val="Normal"/>
    <w:next w:val="Index1"/>
    <w:semiHidden/>
    <w:rsid w:val="00C30F7D"/>
    <w:pPr>
      <w:spacing w:before="120" w:after="120"/>
    </w:pPr>
    <w:rPr>
      <w:rFonts w:ascii="Arial" w:hAnsi="Arial"/>
      <w:b/>
      <w:color w:val="918585"/>
      <w:sz w:val="24"/>
    </w:rPr>
  </w:style>
  <w:style w:type="paragraph" w:customStyle="1" w:styleId="Chapter">
    <w:name w:val="Chapter"/>
    <w:basedOn w:val="Normal"/>
    <w:rsid w:val="00C30F7D"/>
    <w:pPr>
      <w:spacing w:before="240"/>
    </w:pPr>
    <w:rPr>
      <w:rFonts w:ascii="Times New Roman" w:hAnsi="Times New Roman"/>
      <w:smallCaps/>
      <w:spacing w:val="80"/>
      <w:sz w:val="28"/>
    </w:rPr>
  </w:style>
  <w:style w:type="paragraph" w:customStyle="1" w:styleId="InChapter">
    <w:name w:val="InChapter"/>
    <w:basedOn w:val="Heading3"/>
    <w:rsid w:val="00C30F7D"/>
    <w:pPr>
      <w:spacing w:after="240"/>
      <w:outlineLvl w:val="9"/>
    </w:pPr>
    <w:rPr>
      <w:noProof/>
    </w:rPr>
  </w:style>
  <w:style w:type="paragraph" w:styleId="Index2">
    <w:name w:val="index 2"/>
    <w:basedOn w:val="Normal"/>
    <w:next w:val="Normal"/>
    <w:semiHidden/>
    <w:rsid w:val="00C30F7D"/>
    <w:pPr>
      <w:tabs>
        <w:tab w:val="right" w:pos="4176"/>
      </w:tabs>
      <w:ind w:left="568" w:hanging="284"/>
    </w:pPr>
    <w:rPr>
      <w:rFonts w:ascii="Garamond" w:hAnsi="Garamond"/>
    </w:rPr>
  </w:style>
  <w:style w:type="paragraph" w:customStyle="1" w:styleId="Byline">
    <w:name w:val="Byline"/>
    <w:rsid w:val="00C30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F7D"/>
    <w:pPr>
      <w:tabs>
        <w:tab w:val="clear" w:pos="3600"/>
        <w:tab w:val="clear" w:pos="3958"/>
      </w:tabs>
      <w:jc w:val="right"/>
    </w:pPr>
  </w:style>
  <w:style w:type="character" w:styleId="Emphasis">
    <w:name w:val="Emphasis"/>
    <w:basedOn w:val="DefaultParagraphFont"/>
    <w:qFormat/>
    <w:rsid w:val="00C30F7D"/>
    <w:rPr>
      <w:i/>
    </w:rPr>
  </w:style>
  <w:style w:type="paragraph" w:styleId="Caption">
    <w:name w:val="caption"/>
    <w:basedOn w:val="BodyText"/>
    <w:next w:val="Normal"/>
    <w:qFormat/>
    <w:rsid w:val="00C30F7D"/>
    <w:pPr>
      <w:framePr w:w="2268" w:hSpace="181" w:vSpace="181" w:wrap="around" w:vAnchor="text" w:hAnchor="page" w:x="1135" w:y="285" w:anchorLock="1"/>
    </w:pPr>
    <w:rPr>
      <w:i/>
    </w:rPr>
  </w:style>
  <w:style w:type="paragraph" w:customStyle="1" w:styleId="MiniTOCTitle">
    <w:name w:val="MiniTOCTitle"/>
    <w:basedOn w:val="Heading4"/>
    <w:rsid w:val="00C30F7D"/>
    <w:pPr>
      <w:spacing w:before="240"/>
      <w:outlineLvl w:val="9"/>
    </w:pPr>
    <w:rPr>
      <w:noProof/>
      <w:sz w:val="24"/>
    </w:rPr>
  </w:style>
  <w:style w:type="paragraph" w:customStyle="1" w:styleId="MiniTOCItem">
    <w:name w:val="MiniTOCItem"/>
    <w:basedOn w:val="ListBullet"/>
    <w:rsid w:val="00C30F7D"/>
    <w:pPr>
      <w:numPr>
        <w:numId w:val="0"/>
      </w:numPr>
      <w:tabs>
        <w:tab w:val="right" w:leader="dot" w:pos="6521"/>
      </w:tabs>
      <w:spacing w:before="0" w:after="0"/>
    </w:pPr>
  </w:style>
  <w:style w:type="paragraph" w:customStyle="1" w:styleId="TOFTitle">
    <w:name w:val="TOFTitle"/>
    <w:basedOn w:val="TOCTitle"/>
    <w:rsid w:val="00C30F7D"/>
  </w:style>
  <w:style w:type="paragraph" w:styleId="TableofFigures">
    <w:name w:val="table of figures"/>
    <w:basedOn w:val="Normal"/>
    <w:next w:val="Normal"/>
    <w:semiHidden/>
    <w:rsid w:val="00C30F7D"/>
    <w:pPr>
      <w:tabs>
        <w:tab w:val="right" w:leader="dot" w:pos="9072"/>
      </w:tabs>
      <w:ind w:left="970" w:hanging="403"/>
    </w:pPr>
    <w:rPr>
      <w:rFonts w:ascii="Times New Roman" w:hAnsi="Times New Roman"/>
      <w:b/>
    </w:rPr>
  </w:style>
  <w:style w:type="paragraph" w:styleId="ListNumber">
    <w:name w:val="List Number"/>
    <w:basedOn w:val="List"/>
    <w:rsid w:val="00C30F7D"/>
    <w:pPr>
      <w:numPr>
        <w:numId w:val="11"/>
      </w:numPr>
    </w:pPr>
  </w:style>
  <w:style w:type="character" w:customStyle="1" w:styleId="WingdingSymbols">
    <w:name w:val="Wingding Symbols"/>
    <w:rsid w:val="00C30F7D"/>
    <w:rPr>
      <w:rFonts w:ascii="Wingdings" w:hAnsi="Wingdings"/>
    </w:rPr>
  </w:style>
  <w:style w:type="paragraph" w:customStyle="1" w:styleId="TableHeading">
    <w:name w:val="Table Heading"/>
    <w:basedOn w:val="HeadingBase"/>
    <w:rsid w:val="00C30F7D"/>
    <w:pPr>
      <w:keepLines/>
      <w:pBdr>
        <w:bottom w:val="single" w:sz="6" w:space="1" w:color="918585"/>
      </w:pBdr>
      <w:spacing w:before="240"/>
    </w:pPr>
  </w:style>
  <w:style w:type="character" w:customStyle="1" w:styleId="HotSpot">
    <w:name w:val="HotSpot"/>
    <w:rsid w:val="00C30F7D"/>
    <w:rPr>
      <w:color w:val="0033CC"/>
      <w:u w:val="none"/>
    </w:rPr>
  </w:style>
  <w:style w:type="paragraph" w:customStyle="1" w:styleId="BodyTextRight">
    <w:name w:val="Body Text Right"/>
    <w:basedOn w:val="BodyText"/>
    <w:rsid w:val="00C30F7D"/>
    <w:pPr>
      <w:spacing w:before="0" w:after="0"/>
      <w:jc w:val="right"/>
    </w:pPr>
  </w:style>
  <w:style w:type="paragraph" w:styleId="Index3">
    <w:name w:val="index 3"/>
    <w:basedOn w:val="ListNumber2"/>
    <w:next w:val="Normal"/>
    <w:semiHidden/>
    <w:rsid w:val="00C30F7D"/>
    <w:pPr>
      <w:numPr>
        <w:numId w:val="0"/>
      </w:numPr>
      <w:tabs>
        <w:tab w:val="right" w:leader="dot" w:pos="4176"/>
      </w:tabs>
    </w:pPr>
  </w:style>
  <w:style w:type="paragraph" w:styleId="ListNumber2">
    <w:name w:val="List Number 2"/>
    <w:basedOn w:val="List2"/>
    <w:rsid w:val="00C30F7D"/>
    <w:pPr>
      <w:numPr>
        <w:numId w:val="10"/>
      </w:numPr>
      <w:tabs>
        <w:tab w:val="clear" w:pos="1060"/>
      </w:tabs>
    </w:pPr>
  </w:style>
  <w:style w:type="paragraph" w:customStyle="1" w:styleId="MarginNote">
    <w:name w:val="Margin Note"/>
    <w:basedOn w:val="BodyText"/>
    <w:rsid w:val="00C30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F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0F7D"/>
    <w:rPr>
      <w:sz w:val="32"/>
    </w:rPr>
  </w:style>
  <w:style w:type="paragraph" w:customStyle="1" w:styleId="HeadingProcedure">
    <w:name w:val="Heading Procedure"/>
    <w:basedOn w:val="HeadingBase"/>
    <w:next w:val="Normal"/>
    <w:rsid w:val="00C30F7D"/>
    <w:pPr>
      <w:tabs>
        <w:tab w:val="left" w:pos="0"/>
      </w:tabs>
      <w:spacing w:before="120" w:after="60"/>
    </w:pPr>
    <w:rPr>
      <w:i/>
      <w:color w:val="918585"/>
      <w:sz w:val="22"/>
    </w:rPr>
  </w:style>
  <w:style w:type="paragraph" w:customStyle="1" w:styleId="TableBodyText">
    <w:name w:val="Table Body Text"/>
    <w:basedOn w:val="BodyText"/>
    <w:rsid w:val="00C30F7D"/>
    <w:pPr>
      <w:spacing w:before="60" w:after="60"/>
    </w:pPr>
  </w:style>
  <w:style w:type="paragraph" w:styleId="ListContinue">
    <w:name w:val="List Continue"/>
    <w:basedOn w:val="List"/>
    <w:rsid w:val="00C30F7D"/>
    <w:pPr>
      <w:ind w:firstLine="0"/>
    </w:pPr>
  </w:style>
  <w:style w:type="paragraph" w:customStyle="1" w:styleId="ListNote">
    <w:name w:val="List Note"/>
    <w:basedOn w:val="List"/>
    <w:rsid w:val="00C30F7D"/>
    <w:pPr>
      <w:pBdr>
        <w:top w:val="single" w:sz="6" w:space="2" w:color="918585"/>
        <w:bottom w:val="single" w:sz="6" w:space="2" w:color="918585"/>
      </w:pBdr>
      <w:tabs>
        <w:tab w:val="left" w:pos="1021"/>
      </w:tabs>
      <w:ind w:firstLine="0"/>
    </w:pPr>
  </w:style>
  <w:style w:type="paragraph" w:customStyle="1" w:styleId="Warning">
    <w:name w:val="Warning"/>
    <w:basedOn w:val="BodyText"/>
    <w:rsid w:val="00C30F7D"/>
    <w:pPr>
      <w:shd w:val="clear" w:color="auto" w:fill="D9D9D9"/>
      <w:tabs>
        <w:tab w:val="left" w:pos="992"/>
      </w:tabs>
      <w:ind w:left="119" w:right="119"/>
    </w:pPr>
    <w:rPr>
      <w:sz w:val="20"/>
    </w:rPr>
  </w:style>
  <w:style w:type="paragraph" w:customStyle="1" w:styleId="MarginIcons">
    <w:name w:val="Margin Icons"/>
    <w:basedOn w:val="BodyText"/>
    <w:rsid w:val="00C30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F7D"/>
    <w:rPr>
      <w:rFonts w:ascii="Courier New" w:hAnsi="Courier New"/>
    </w:rPr>
  </w:style>
  <w:style w:type="paragraph" w:customStyle="1" w:styleId="NoteBullet">
    <w:name w:val="Note Bullet"/>
    <w:basedOn w:val="Note"/>
    <w:rsid w:val="00C30F7D"/>
    <w:pPr>
      <w:tabs>
        <w:tab w:val="clear" w:pos="680"/>
      </w:tabs>
      <w:spacing w:before="60" w:after="60"/>
    </w:pPr>
  </w:style>
  <w:style w:type="paragraph" w:customStyle="1" w:styleId="SubHeading2">
    <w:name w:val="SubHeading2"/>
    <w:basedOn w:val="HeadingBase"/>
    <w:rsid w:val="00C30F7D"/>
    <w:pPr>
      <w:spacing w:before="240" w:after="60"/>
    </w:pPr>
    <w:rPr>
      <w:sz w:val="20"/>
    </w:rPr>
  </w:style>
  <w:style w:type="paragraph" w:customStyle="1" w:styleId="SubHeading1">
    <w:name w:val="SubHeading1"/>
    <w:basedOn w:val="HeadingBase"/>
    <w:rsid w:val="00C30F7D"/>
    <w:pPr>
      <w:spacing w:before="240" w:after="60"/>
    </w:pPr>
    <w:rPr>
      <w:color w:val="918585"/>
      <w:sz w:val="22"/>
    </w:rPr>
  </w:style>
  <w:style w:type="paragraph" w:customStyle="1" w:styleId="SideHeading">
    <w:name w:val="Side Heading"/>
    <w:basedOn w:val="HeadingBase"/>
    <w:rsid w:val="00C30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F7D"/>
    <w:pPr>
      <w:numPr>
        <w:numId w:val="12"/>
      </w:numPr>
    </w:pPr>
  </w:style>
  <w:style w:type="paragraph" w:styleId="PlainText">
    <w:name w:val="Plain Text"/>
    <w:basedOn w:val="Normal"/>
    <w:link w:val="PlainTextChar"/>
    <w:rsid w:val="00C30F7D"/>
    <w:rPr>
      <w:sz w:val="20"/>
    </w:rPr>
  </w:style>
  <w:style w:type="character" w:customStyle="1" w:styleId="PlainTextChar">
    <w:name w:val="Plain Text Char"/>
    <w:basedOn w:val="DefaultParagraphFont"/>
    <w:link w:val="PlainText"/>
    <w:rsid w:val="00C30F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0F7D"/>
    <w:rPr>
      <w:b/>
      <w:smallCaps/>
    </w:rPr>
  </w:style>
  <w:style w:type="paragraph" w:customStyle="1" w:styleId="TableListNumber">
    <w:name w:val="Table List Number"/>
    <w:basedOn w:val="ListNumber"/>
    <w:rsid w:val="00C30F7D"/>
    <w:pPr>
      <w:numPr>
        <w:numId w:val="0"/>
      </w:numPr>
    </w:pPr>
  </w:style>
  <w:style w:type="paragraph" w:styleId="TOC4">
    <w:name w:val="toc 4"/>
    <w:basedOn w:val="TOCBase"/>
    <w:next w:val="Normal"/>
    <w:semiHidden/>
    <w:rsid w:val="00C30F7D"/>
    <w:pPr>
      <w:tabs>
        <w:tab w:val="right" w:leader="dot" w:pos="9071"/>
      </w:tabs>
      <w:ind w:left="1701"/>
    </w:pPr>
  </w:style>
  <w:style w:type="paragraph" w:customStyle="1" w:styleId="ListAlpha">
    <w:name w:val="List Alpha"/>
    <w:basedOn w:val="List"/>
    <w:rsid w:val="00C30F7D"/>
    <w:pPr>
      <w:numPr>
        <w:numId w:val="9"/>
      </w:numPr>
    </w:pPr>
  </w:style>
  <w:style w:type="paragraph" w:customStyle="1" w:styleId="ListAlpha2">
    <w:name w:val="List Alpha 2"/>
    <w:basedOn w:val="List2"/>
    <w:rsid w:val="00C30F7D"/>
    <w:pPr>
      <w:numPr>
        <w:numId w:val="8"/>
      </w:numPr>
    </w:pPr>
  </w:style>
  <w:style w:type="paragraph" w:styleId="List2">
    <w:name w:val="List 2"/>
    <w:basedOn w:val="BodyText"/>
    <w:rsid w:val="00C30F7D"/>
    <w:pPr>
      <w:tabs>
        <w:tab w:val="left" w:pos="680"/>
      </w:tabs>
      <w:spacing w:before="60" w:after="60"/>
      <w:ind w:left="680" w:hanging="340"/>
    </w:pPr>
  </w:style>
  <w:style w:type="paragraph" w:styleId="List3">
    <w:name w:val="List 3"/>
    <w:basedOn w:val="BodyText"/>
    <w:rsid w:val="00C30F7D"/>
    <w:pPr>
      <w:tabs>
        <w:tab w:val="left" w:pos="1021"/>
      </w:tabs>
      <w:spacing w:before="60" w:after="60"/>
      <w:ind w:left="1020" w:hanging="340"/>
    </w:pPr>
  </w:style>
  <w:style w:type="paragraph" w:styleId="List4">
    <w:name w:val="List 4"/>
    <w:basedOn w:val="BodyText"/>
    <w:rsid w:val="00C30F7D"/>
    <w:pPr>
      <w:tabs>
        <w:tab w:val="left" w:pos="1361"/>
      </w:tabs>
      <w:spacing w:before="60" w:after="60"/>
      <w:ind w:left="1361" w:hanging="340"/>
    </w:pPr>
  </w:style>
  <w:style w:type="paragraph" w:styleId="List5">
    <w:name w:val="List 5"/>
    <w:basedOn w:val="BodyText"/>
    <w:rsid w:val="00C30F7D"/>
    <w:pPr>
      <w:tabs>
        <w:tab w:val="left" w:pos="1701"/>
      </w:tabs>
      <w:spacing w:before="60" w:after="60"/>
      <w:ind w:left="1701" w:hanging="340"/>
    </w:pPr>
  </w:style>
  <w:style w:type="paragraph" w:styleId="ListBullet3">
    <w:name w:val="List Bullet 3"/>
    <w:basedOn w:val="List3"/>
    <w:rsid w:val="00C30F7D"/>
    <w:pPr>
      <w:numPr>
        <w:numId w:val="15"/>
      </w:numPr>
      <w:tabs>
        <w:tab w:val="clear" w:pos="1021"/>
      </w:tabs>
      <w:ind w:left="1037" w:hanging="357"/>
    </w:pPr>
  </w:style>
  <w:style w:type="paragraph" w:styleId="ListBullet4">
    <w:name w:val="List Bullet 4"/>
    <w:basedOn w:val="List4"/>
    <w:rsid w:val="00C30F7D"/>
    <w:pPr>
      <w:numPr>
        <w:numId w:val="3"/>
      </w:numPr>
    </w:pPr>
  </w:style>
  <w:style w:type="paragraph" w:styleId="ListBullet5">
    <w:name w:val="List Bullet 5"/>
    <w:basedOn w:val="List5"/>
    <w:rsid w:val="00C30F7D"/>
    <w:pPr>
      <w:numPr>
        <w:numId w:val="4"/>
      </w:numPr>
    </w:pPr>
  </w:style>
  <w:style w:type="paragraph" w:styleId="ListContinue2">
    <w:name w:val="List Continue 2"/>
    <w:basedOn w:val="List2"/>
    <w:rsid w:val="00C30F7D"/>
    <w:pPr>
      <w:ind w:firstLine="0"/>
    </w:pPr>
  </w:style>
  <w:style w:type="paragraph" w:styleId="ListContinue3">
    <w:name w:val="List Continue 3"/>
    <w:basedOn w:val="List3"/>
    <w:rsid w:val="00C30F7D"/>
    <w:pPr>
      <w:ind w:left="1021" w:firstLine="0"/>
    </w:pPr>
  </w:style>
  <w:style w:type="paragraph" w:styleId="ListContinue4">
    <w:name w:val="List Continue 4"/>
    <w:basedOn w:val="List4"/>
    <w:rsid w:val="00C30F7D"/>
    <w:pPr>
      <w:ind w:firstLine="0"/>
    </w:pPr>
  </w:style>
  <w:style w:type="paragraph" w:styleId="ListContinue5">
    <w:name w:val="List Continue 5"/>
    <w:basedOn w:val="List5"/>
    <w:rsid w:val="00C30F7D"/>
    <w:pPr>
      <w:ind w:firstLine="0"/>
    </w:pPr>
  </w:style>
  <w:style w:type="paragraph" w:styleId="ListNumber3">
    <w:name w:val="List Number 3"/>
    <w:basedOn w:val="List3"/>
    <w:rsid w:val="00C30F7D"/>
    <w:pPr>
      <w:numPr>
        <w:numId w:val="5"/>
      </w:numPr>
    </w:pPr>
  </w:style>
  <w:style w:type="paragraph" w:styleId="ListNumber4">
    <w:name w:val="List Number 4"/>
    <w:basedOn w:val="List4"/>
    <w:rsid w:val="00C30F7D"/>
    <w:pPr>
      <w:numPr>
        <w:numId w:val="6"/>
      </w:numPr>
    </w:pPr>
  </w:style>
  <w:style w:type="paragraph" w:styleId="ListNumber5">
    <w:name w:val="List Number 5"/>
    <w:basedOn w:val="List5"/>
    <w:rsid w:val="00C30F7D"/>
    <w:pPr>
      <w:numPr>
        <w:numId w:val="7"/>
      </w:numPr>
    </w:pPr>
  </w:style>
  <w:style w:type="paragraph" w:styleId="BlockText">
    <w:name w:val="Block Text"/>
    <w:basedOn w:val="Normal"/>
    <w:rsid w:val="00C30F7D"/>
    <w:pPr>
      <w:spacing w:after="120"/>
      <w:ind w:left="1440" w:right="1440"/>
    </w:pPr>
  </w:style>
  <w:style w:type="character" w:customStyle="1" w:styleId="Subscript">
    <w:name w:val="Subscript"/>
    <w:basedOn w:val="DefaultParagraphFont"/>
    <w:rsid w:val="00C30F7D"/>
    <w:rPr>
      <w:sz w:val="16"/>
      <w:vertAlign w:val="subscript"/>
    </w:rPr>
  </w:style>
  <w:style w:type="character" w:customStyle="1" w:styleId="Superscript">
    <w:name w:val="Superscript"/>
    <w:basedOn w:val="DefaultParagraphFont"/>
    <w:rsid w:val="00C30F7D"/>
    <w:rPr>
      <w:sz w:val="16"/>
      <w:vertAlign w:val="superscript"/>
    </w:rPr>
  </w:style>
  <w:style w:type="character" w:customStyle="1" w:styleId="Symbols">
    <w:name w:val="Symbols"/>
    <w:basedOn w:val="DefaultParagraphFont"/>
    <w:rsid w:val="00C30F7D"/>
    <w:rPr>
      <w:rFonts w:ascii="Symbol" w:hAnsi="Symbol"/>
    </w:rPr>
  </w:style>
  <w:style w:type="character" w:customStyle="1" w:styleId="MenuOptions">
    <w:name w:val="Menu Options"/>
    <w:basedOn w:val="DefaultParagraphFont"/>
    <w:rsid w:val="00C30F7D"/>
    <w:rPr>
      <w:rFonts w:ascii="Arial Narrow" w:hAnsi="Arial Narrow"/>
      <w:smallCaps/>
    </w:rPr>
  </w:style>
  <w:style w:type="character" w:customStyle="1" w:styleId="Buttons">
    <w:name w:val="Buttons"/>
    <w:basedOn w:val="DefaultParagraphFont"/>
    <w:rsid w:val="00C30F7D"/>
    <w:rPr>
      <w:b/>
    </w:rPr>
  </w:style>
  <w:style w:type="character" w:customStyle="1" w:styleId="Underlined">
    <w:name w:val="Underlined"/>
    <w:basedOn w:val="DefaultParagraphFont"/>
    <w:rsid w:val="00C30F7D"/>
    <w:rPr>
      <w:u w:val="single"/>
    </w:rPr>
  </w:style>
  <w:style w:type="paragraph" w:customStyle="1" w:styleId="TableBodyTextRight">
    <w:name w:val="Table Body Text Right"/>
    <w:basedOn w:val="TableBodyText"/>
    <w:rsid w:val="00C30F7D"/>
    <w:pPr>
      <w:widowControl w:val="0"/>
      <w:autoSpaceDE w:val="0"/>
      <w:autoSpaceDN w:val="0"/>
      <w:adjustRightInd w:val="0"/>
      <w:jc w:val="right"/>
    </w:pPr>
    <w:rPr>
      <w:rFonts w:cs="Arial"/>
      <w:szCs w:val="18"/>
    </w:rPr>
  </w:style>
  <w:style w:type="paragraph" w:customStyle="1" w:styleId="CopyrightText">
    <w:name w:val="Copyright Text"/>
    <w:basedOn w:val="BodyText"/>
    <w:rsid w:val="00C30F7D"/>
    <w:rPr>
      <w:sz w:val="18"/>
    </w:rPr>
  </w:style>
  <w:style w:type="paragraph" w:customStyle="1" w:styleId="BodySmallRight">
    <w:name w:val="Body Small Right"/>
    <w:basedOn w:val="BodyTextRight"/>
    <w:rsid w:val="00C30F7D"/>
    <w:rPr>
      <w:sz w:val="18"/>
      <w:szCs w:val="18"/>
    </w:rPr>
  </w:style>
  <w:style w:type="paragraph" w:customStyle="1" w:styleId="MarginEdition">
    <w:name w:val="Margin Edition"/>
    <w:basedOn w:val="MarginNote"/>
    <w:rsid w:val="00C30F7D"/>
    <w:pPr>
      <w:spacing w:before="0" w:after="0"/>
    </w:pPr>
    <w:rPr>
      <w:rFonts w:ascii="Times New Roman" w:hAnsi="Times New Roman"/>
      <w:color w:val="999999"/>
    </w:rPr>
  </w:style>
  <w:style w:type="paragraph" w:customStyle="1" w:styleId="Spacer">
    <w:name w:val="Spacer"/>
    <w:basedOn w:val="Normal"/>
    <w:rsid w:val="00C30F7D"/>
    <w:rPr>
      <w:sz w:val="2"/>
      <w:szCs w:val="2"/>
    </w:rPr>
  </w:style>
  <w:style w:type="character" w:customStyle="1" w:styleId="Small">
    <w:name w:val="Small"/>
    <w:basedOn w:val="DefaultParagraphFont"/>
    <w:rsid w:val="00C30F7D"/>
    <w:rPr>
      <w:sz w:val="16"/>
    </w:rPr>
  </w:style>
  <w:style w:type="paragraph" w:customStyle="1" w:styleId="WideTable">
    <w:name w:val="Wide Table"/>
    <w:basedOn w:val="Normal"/>
    <w:rsid w:val="00C30F7D"/>
    <w:pPr>
      <w:ind w:left="-1418"/>
    </w:pPr>
    <w:rPr>
      <w:sz w:val="2"/>
      <w:szCs w:val="2"/>
    </w:rPr>
  </w:style>
  <w:style w:type="character" w:styleId="PageNumber">
    <w:name w:val="page number"/>
    <w:basedOn w:val="DefaultParagraphFont"/>
    <w:rsid w:val="00C30F7D"/>
  </w:style>
  <w:style w:type="paragraph" w:styleId="Quote">
    <w:name w:val="Quote"/>
    <w:basedOn w:val="Heading1"/>
    <w:link w:val="QuoteChar"/>
    <w:qFormat/>
    <w:rsid w:val="00C30F7D"/>
    <w:rPr>
      <w:b w:val="0"/>
      <w:sz w:val="72"/>
      <w:szCs w:val="72"/>
      <w:lang w:val="en-NZ"/>
    </w:rPr>
  </w:style>
  <w:style w:type="character" w:customStyle="1" w:styleId="QuoteChar">
    <w:name w:val="Quote Char"/>
    <w:basedOn w:val="DefaultParagraphFont"/>
    <w:link w:val="Quote"/>
    <w:rsid w:val="00C30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F7D"/>
    <w:pPr>
      <w:pageBreakBefore/>
    </w:pPr>
  </w:style>
  <w:style w:type="paragraph" w:customStyle="1" w:styleId="Border">
    <w:name w:val="Border"/>
    <w:basedOn w:val="Normal"/>
    <w:qFormat/>
    <w:rsid w:val="00C30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F7D"/>
    <w:rPr>
      <w:b/>
      <w:bCs/>
      <w:i/>
      <w:iCs/>
      <w:color w:val="auto"/>
    </w:rPr>
  </w:style>
  <w:style w:type="paragraph" w:styleId="IntenseQuote">
    <w:name w:val="Intense Quote"/>
    <w:basedOn w:val="Normal"/>
    <w:next w:val="Normal"/>
    <w:link w:val="IntenseQuoteChar"/>
    <w:uiPriority w:val="30"/>
    <w:qFormat/>
    <w:rsid w:val="00C30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F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0F7D"/>
    <w:rPr>
      <w:smallCaps/>
      <w:color w:val="auto"/>
      <w:u w:val="single"/>
    </w:rPr>
  </w:style>
  <w:style w:type="character" w:styleId="IntenseReference">
    <w:name w:val="Intense Reference"/>
    <w:basedOn w:val="DefaultParagraphFont"/>
    <w:uiPriority w:val="32"/>
    <w:qFormat/>
    <w:rsid w:val="00C30F7D"/>
    <w:rPr>
      <w:b/>
      <w:bCs/>
      <w:smallCaps/>
      <w:color w:val="auto"/>
      <w:spacing w:val="5"/>
      <w:u w:val="single"/>
    </w:rPr>
  </w:style>
  <w:style w:type="paragraph" w:customStyle="1" w:styleId="2ColumnHeading">
    <w:name w:val="2Column Heading"/>
    <w:basedOn w:val="BodyText"/>
    <w:qFormat/>
    <w:rsid w:val="00C30F7D"/>
    <w:pPr>
      <w:spacing w:after="60"/>
      <w:ind w:left="-2268"/>
    </w:pPr>
    <w:rPr>
      <w:b/>
    </w:rPr>
  </w:style>
  <w:style w:type="paragraph" w:customStyle="1" w:styleId="Heading1TOC">
    <w:name w:val="Heading1 TOC"/>
    <w:basedOn w:val="Normal"/>
    <w:qFormat/>
    <w:rsid w:val="00C30F7D"/>
    <w:pPr>
      <w:spacing w:before="240" w:after="120"/>
    </w:pPr>
    <w:rPr>
      <w:rFonts w:ascii="Times New Roman" w:hAnsi="Times New Roman"/>
      <w:b/>
      <w:sz w:val="32"/>
    </w:rPr>
  </w:style>
  <w:style w:type="paragraph" w:customStyle="1" w:styleId="Heading2TOC">
    <w:name w:val="Heading2 TOC"/>
    <w:basedOn w:val="Normal"/>
    <w:qFormat/>
    <w:rsid w:val="00C30F7D"/>
    <w:pPr>
      <w:spacing w:before="240" w:after="60"/>
    </w:pPr>
    <w:rPr>
      <w:rFonts w:ascii="Times New Roman" w:hAnsi="Times New Roman"/>
      <w:b/>
      <w:sz w:val="28"/>
    </w:rPr>
  </w:style>
  <w:style w:type="character" w:customStyle="1" w:styleId="Underline">
    <w:name w:val="Underline"/>
    <w:basedOn w:val="DefaultParagraphFont"/>
    <w:qFormat/>
    <w:rsid w:val="00C30F7D"/>
    <w:rPr>
      <w:u w:val="single"/>
    </w:rPr>
  </w:style>
  <w:style w:type="character" w:customStyle="1" w:styleId="BoldandItalics">
    <w:name w:val="Bold and Italics"/>
    <w:qFormat/>
    <w:rsid w:val="00C30F7D"/>
    <w:rPr>
      <w:b/>
      <w:i/>
      <w:u w:val="none"/>
    </w:rPr>
  </w:style>
  <w:style w:type="paragraph" w:styleId="BalloonText">
    <w:name w:val="Balloon Text"/>
    <w:basedOn w:val="Normal"/>
    <w:link w:val="BalloonTextChar"/>
    <w:rsid w:val="00C30F7D"/>
    <w:rPr>
      <w:rFonts w:ascii="Tahoma" w:hAnsi="Tahoma" w:cs="Tahoma"/>
      <w:sz w:val="16"/>
      <w:szCs w:val="16"/>
    </w:rPr>
  </w:style>
  <w:style w:type="character" w:customStyle="1" w:styleId="BalloonTextChar">
    <w:name w:val="Balloon Text Char"/>
    <w:basedOn w:val="DefaultParagraphFont"/>
    <w:link w:val="BalloonText"/>
    <w:rsid w:val="00C30F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0F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0F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2447</Words>
  <Characters>14566</Characters>
  <Application>Microsoft Office Word</Application>
  <DocSecurity>0</DocSecurity>
  <Lines>721</Lines>
  <Paragraphs>289</Paragraphs>
  <ScaleCrop>false</ScaleCrop>
  <Company>Author-it Software Corporation Ltd.</Company>
  <LinksUpToDate>false</LinksUpToDate>
  <CharactersWithSpaces>16761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UEGNSG610A Control storage of LPG in terminal</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2012-05-26T22:11:00Z</dcterms:created>
  <dcterms:modified xsi:type="dcterms:W3CDTF">2012-05-26T22:11:00Z</dcterms:modified>
</cp:coreProperties>
</file>