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3E2" w:rsidP="008113E2">
      <w:pPr>
        <w:pStyle w:val="Title"/>
      </w:pPr>
      <w:bookmarkStart w:id="0" w:name="_GoBack"/>
      <w:bookmarkEnd w:id="0"/>
      <w:r>
        <w:fldChar w:fldCharType="begin"/>
      </w:r>
      <w:r>
        <w:instrText xml:space="preserve"> TITLE   \* MERGEFORMAT </w:instrText>
      </w:r>
      <w:r>
        <w:fldChar w:fldCharType="separate"/>
      </w:r>
      <w:r>
        <w:t>UEGNSG609A Coordinate repair of faults in gas processing/storage facilities and equipment</w:t>
      </w:r>
      <w:r>
        <w:fldChar w:fldCharType="end"/>
      </w:r>
    </w:p>
    <w:p w:rsidR="008113E2" w:rsidP="008113E2">
      <w:pPr>
        <w:pStyle w:val="Version"/>
        <w:sectPr w:rsidSect="00F26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947" w:rsidP="00F26947">
      <w:pPr>
        <w:pStyle w:val="SuperHeading"/>
      </w:pPr>
      <w:r w:rsidRPr="00F26947">
        <w:t>UEGNSG609A Coordinate repair of faults in gas processing/storage facilities and equipment</w:t>
      </w:r>
    </w:p>
    <w:p w:rsidR="00000000" w:rsidRPr="00F26947" w:rsidP="00F26947">
      <w:pPr>
        <w:pStyle w:val="Heading1"/>
      </w:pPr>
      <w:bookmarkStart w:id="1" w:name="O_275142"/>
      <w:bookmarkEnd w:id="1"/>
      <w:r w:rsidRPr="00F26947">
        <w:t>Modification History</w:t>
      </w:r>
    </w:p>
    <w:p w:rsidR="00000000" w:rsidRPr="00F26947" w:rsidP="00F26947">
      <w:pPr>
        <w:pStyle w:val="BodyText"/>
      </w:pPr>
      <w:r w:rsidRPr="00F26947">
        <w:t>Not Applicable</w:t>
      </w:r>
    </w:p>
    <w:p w:rsidR="00000000" w:rsidRPr="00F26947" w:rsidP="00F26947">
      <w:pPr>
        <w:pStyle w:val="AllowPageBreak"/>
      </w:pPr>
    </w:p>
    <w:p w:rsidR="00000000" w:rsidRPr="00F26947" w:rsidP="00F26947">
      <w:pPr>
        <w:pStyle w:val="Heading1"/>
      </w:pPr>
      <w:bookmarkStart w:id="2" w:name="O_229673"/>
      <w:bookmarkEnd w:id="2"/>
      <w:r w:rsidRPr="00F26947">
        <w:t>Unit Descriptor</w:t>
      </w:r>
    </w:p>
    <w:tbl>
      <w:tblPr>
        <w:tblW w:w="0" w:type="auto"/>
        <w:tblLayout w:type="fixed"/>
        <w:tblCellMar>
          <w:left w:w="62" w:type="dxa"/>
          <w:right w:w="62" w:type="dxa"/>
        </w:tblCellMar>
        <w:tblLook w:val="0000"/>
      </w:tblPr>
      <w:tblGrid>
        <w:gridCol w:w="2700"/>
        <w:gridCol w:w="5760"/>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1</w:t>
            </w:r>
            <w:r w:rsidRPr="00F26947">
              <w:t xml:space="preserve">) </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This Competency Standard Unit covers the coordinating the repair of faults, which may occur during the processing, and storing of liquefied petroleum gas. The competency standard also refers to liaising with the appropriate persons; utilising the necessary</w:t>
            </w:r>
            <w:r w:rsidRPr="00F26947">
              <w:t xml:space="preserve"> materials; identifying the types of faults and providing the relevant documentation.</w:t>
            </w:r>
          </w:p>
        </w:tc>
      </w:tr>
    </w:tbl>
    <w:p w:rsidR="008113E2" w:rsidP="00F26947">
      <w:pPr>
        <w:pStyle w:val="BodyText"/>
      </w:pPr>
    </w:p>
    <w:p w:rsidR="008113E2" w:rsidP="00F26947">
      <w:pPr>
        <w:pStyle w:val="BodyText"/>
      </w:pPr>
    </w:p>
    <w:p w:rsidR="00000000" w:rsidRPr="00F26947" w:rsidP="00F26947">
      <w:pPr>
        <w:pStyle w:val="Heading1"/>
      </w:pPr>
      <w:bookmarkStart w:id="3" w:name="O_229676"/>
      <w:bookmarkEnd w:id="3"/>
      <w:r w:rsidRPr="00F26947">
        <w:t>Application of the Unit</w:t>
      </w:r>
    </w:p>
    <w:tbl>
      <w:tblPr>
        <w:tblW w:w="0" w:type="auto"/>
        <w:tblLayout w:type="fixed"/>
        <w:tblCellMar>
          <w:left w:w="62" w:type="dxa"/>
          <w:right w:w="62" w:type="dxa"/>
        </w:tblCellMar>
        <w:tblLook w:val="0000"/>
      </w:tblPr>
      <w:tblGrid>
        <w:gridCol w:w="2700"/>
        <w:gridCol w:w="5760"/>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3</w:t>
            </w:r>
            <w:r w:rsidRPr="00F26947">
              <w: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This competency standard shall apply to work sites where liquefied petroleum gas is transported.</w:t>
            </w:r>
          </w:p>
        </w:tc>
      </w:tr>
    </w:tbl>
    <w:p w:rsidR="008113E2" w:rsidP="00F26947">
      <w:pPr>
        <w:pStyle w:val="BodyText"/>
      </w:pPr>
    </w:p>
    <w:p w:rsidR="008113E2" w:rsidP="00F26947">
      <w:pPr>
        <w:pStyle w:val="BodyText"/>
      </w:pPr>
    </w:p>
    <w:p w:rsidR="00000000" w:rsidRPr="00F26947" w:rsidP="00F26947">
      <w:pPr>
        <w:pStyle w:val="Heading1"/>
      </w:pPr>
      <w:bookmarkStart w:id="4" w:name="O_229677"/>
      <w:bookmarkEnd w:id="4"/>
      <w:r w:rsidRPr="00F26947">
        <w:t>Licensing/Regulatory Information</w:t>
      </w:r>
    </w:p>
    <w:tbl>
      <w:tblPr>
        <w:tblW w:w="0" w:type="auto"/>
        <w:tblLayout w:type="fixed"/>
        <w:tblCellMar>
          <w:left w:w="62" w:type="dxa"/>
          <w:right w:w="62" w:type="dxa"/>
        </w:tblCellMar>
        <w:tblLook w:val="0000"/>
      </w:tblPr>
      <w:tblGrid>
        <w:gridCol w:w="2700"/>
        <w:gridCol w:w="5760"/>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3</w:t>
            </w:r>
            <w:r w:rsidRPr="00F26947">
              <w:t>.</w:t>
            </w:r>
            <w:r w:rsidRPr="00F26947">
              <w:rPr>
                <w:rStyle w:val="SpecialBold"/>
              </w:rPr>
              <w:t>1</w:t>
            </w:r>
            <w:r w:rsidRPr="00F26947">
              <w: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 xml:space="preserve">The skills and knowledge described in this unit are not subject to licence regulation other than those directly related to Occupational Health </w:t>
            </w:r>
            <w:r w:rsidRPr="00F26947">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F26947">
              <w:t>that limits the age of operating certain equipment.</w:t>
            </w:r>
          </w:p>
        </w:tc>
      </w:tr>
    </w:tbl>
    <w:p w:rsidR="008113E2" w:rsidP="00F26947">
      <w:pPr>
        <w:pStyle w:val="BodyText"/>
      </w:pPr>
    </w:p>
    <w:p w:rsidR="008113E2" w:rsidP="00F26947">
      <w:pPr>
        <w:pStyle w:val="BodyText"/>
      </w:pPr>
    </w:p>
    <w:p w:rsidR="00000000" w:rsidRPr="00F26947" w:rsidP="00F26947">
      <w:pPr>
        <w:pStyle w:val="Heading1"/>
      </w:pPr>
      <w:bookmarkStart w:id="5" w:name="O_229674"/>
      <w:bookmarkEnd w:id="5"/>
      <w:r w:rsidRPr="00F26947">
        <w:t>Pre-Requisites</w:t>
      </w:r>
    </w:p>
    <w:tbl>
      <w:tblPr>
        <w:tblW w:w="0" w:type="auto"/>
        <w:tblLayout w:type="fixed"/>
        <w:tblCellMar>
          <w:left w:w="62" w:type="dxa"/>
          <w:right w:w="62" w:type="dxa"/>
        </w:tblCellMar>
        <w:tblLook w:val="0000"/>
      </w:tblPr>
      <w:tblGrid>
        <w:gridCol w:w="2700"/>
        <w:gridCol w:w="1800"/>
        <w:gridCol w:w="3960"/>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Prerequisite Unit</w:t>
            </w:r>
            <w:r w:rsidRPr="00F26947">
              <w:t>(</w:t>
            </w:r>
            <w:r w:rsidRPr="00F26947">
              <w:rPr>
                <w:rStyle w:val="SpecialBold"/>
              </w:rPr>
              <w:t>s</w:t>
            </w:r>
            <w:r w:rsidRPr="00F26947">
              <w:t>)</w:t>
            </w:r>
          </w:p>
        </w:tc>
        <w:tc>
          <w:tcPr>
            <w:tcW w:w="57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2</w:t>
            </w:r>
            <w:r w:rsidRPr="00F26947">
              <w:t xml:space="preserve">) </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2</w:t>
            </w:r>
            <w:r w:rsidRPr="00F26947">
              <w:t>.</w:t>
            </w:r>
            <w:r w:rsidRPr="00F26947">
              <w:rPr>
                <w:rStyle w:val="SpecialBold"/>
              </w:rPr>
              <w:t>1</w:t>
            </w:r>
            <w:r w:rsidRPr="00F26947">
              <w:t xml:space="preserve">) </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Granting of competency in this unit shall be made only after competency in the following unit(s) has/have been confirmed:</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Nil</w:t>
            </w:r>
          </w:p>
        </w:tc>
        <w:tc>
          <w:tcPr>
            <w:tcW w:w="3960" w:type="dxa"/>
            <w:tcBorders>
              <w:top w:val="nil"/>
              <w:left w:val="nil"/>
              <w:bottom w:val="nil"/>
              <w:right w:val="nil"/>
            </w:tcBorders>
            <w:tcMar>
              <w:top w:w="0" w:type="dxa"/>
              <w:left w:w="62" w:type="dxa"/>
              <w:bottom w:w="0" w:type="dxa"/>
              <w:right w:w="62" w:type="dxa"/>
            </w:tcMar>
          </w:tcPr>
          <w:p w:rsidR="00000000" w:rsidRPr="00F26947" w:rsidP="00F26947">
            <w:pPr>
              <w:pStyle w:val="BodyText"/>
            </w:pPr>
          </w:p>
        </w:tc>
      </w:tr>
    </w:tbl>
    <w:p w:rsidR="008113E2" w:rsidP="00F26947">
      <w:pPr>
        <w:pStyle w:val="BodyText"/>
      </w:pPr>
    </w:p>
    <w:p w:rsidR="008113E2" w:rsidP="00F26947">
      <w:pPr>
        <w:pStyle w:val="BodyText"/>
      </w:pPr>
    </w:p>
    <w:p w:rsidR="00000000" w:rsidRPr="00F26947" w:rsidP="00F26947">
      <w:pPr>
        <w:pStyle w:val="Heading1"/>
      </w:pPr>
      <w:bookmarkStart w:id="6" w:name="O_285391"/>
      <w:bookmarkEnd w:id="6"/>
      <w:r w:rsidRPr="00F26947">
        <w:t>Employability Skills Information</w:t>
      </w:r>
    </w:p>
    <w:p w:rsidR="00000000" w:rsidRPr="00F26947" w:rsidP="00F26947">
      <w:pPr>
        <w:pStyle w:val="BodyText"/>
      </w:pPr>
      <w:r w:rsidRPr="00F26947">
        <w:t>Refer to the Evidence Guide</w:t>
      </w:r>
    </w:p>
    <w:p w:rsidR="00000000" w:rsidRPr="00F26947" w:rsidP="00F26947">
      <w:pPr>
        <w:pStyle w:val="AllowPageBreak"/>
      </w:pPr>
    </w:p>
    <w:p w:rsidR="00000000" w:rsidRPr="00F26947" w:rsidP="00F26947">
      <w:pPr>
        <w:pStyle w:val="Heading1"/>
      </w:pPr>
      <w:bookmarkStart w:id="7" w:name="O_293188"/>
      <w:bookmarkEnd w:id="7"/>
      <w:r w:rsidRPr="00F26947">
        <w:t>Elements and Performance Criteria Pre-Content</w:t>
      </w:r>
    </w:p>
    <w:tbl>
      <w:tblPr>
        <w:tblW w:w="0" w:type="auto"/>
        <w:tblLayout w:type="fixed"/>
        <w:tblCellMar>
          <w:left w:w="62" w:type="dxa"/>
          <w:right w:w="62" w:type="dxa"/>
        </w:tblCellMar>
        <w:tblLook w:val="0000"/>
      </w:tblPr>
      <w:tblGrid>
        <w:gridCol w:w="2700"/>
        <w:gridCol w:w="5760"/>
      </w:tblGrid>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5</w:t>
            </w:r>
            <w:r w:rsidRPr="00F2694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Performance Criteria describe the required performance needed to demonstrate achievement of the element. Assessment of performance is to</w:t>
            </w:r>
            <w:r w:rsidRPr="00F26947">
              <w:t xml:space="preserve"> be consistent with the Evidence Guide.</w:t>
            </w:r>
          </w:p>
        </w:tc>
      </w:tr>
    </w:tbl>
    <w:p w:rsidR="00000000" w:rsidRPr="00F26947" w:rsidP="00F26947">
      <w:pPr>
        <w:pStyle w:val="BodyText"/>
      </w:pPr>
    </w:p>
    <w:p w:rsidR="00000000" w:rsidRPr="00F26947" w:rsidP="00F26947">
      <w:pPr>
        <w:pStyle w:val="AllowPageBreak"/>
      </w:pPr>
    </w:p>
    <w:p w:rsidR="00000000" w:rsidRPr="00F26947" w:rsidP="00F26947">
      <w:pPr>
        <w:pStyle w:val="Heading1"/>
      </w:pPr>
      <w:bookmarkStart w:id="8" w:name="O_239856"/>
      <w:bookmarkEnd w:id="8"/>
      <w:r w:rsidRPr="00F2694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13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PERFORMANCE CRITERIA</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w:t>
            </w:r>
          </w:p>
        </w:tc>
        <w:tc>
          <w:tcPr>
            <w:tcW w:w="2296" w:type="dxa"/>
            <w:vMerge w:val="restart"/>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Plan and prepare to coordinate repairs</w:t>
            </w: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1.1</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Appropriate persons are consulted to ensure the work is coordinated effectively with others involved in the worksite against work schedule(s), including drawings, plans and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1.2</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Relevant requirements and established procedures for </w:t>
            </w:r>
            <w:r w:rsidRPr="00F26947">
              <w:t>the work are communicated to all persons and identified for all work sites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1.3</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OHS, environmental and sustainable energy policies and procedures, related to coordinating </w:t>
            </w:r>
            <w:r w:rsidRPr="00F26947">
              <w:t xml:space="preserve">the repair of faults in gas processing/storage facilities </w:t>
            </w:r>
            <w:r w:rsidRPr="00F26947">
              <w:t xml:space="preserve">and equipment, are obtained and confirmed for the purposes of the work performed and communicated </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1.4</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Work is prioritised and sequenced following consultation with others for completion within acceptable timeframes and in accordance with established pr</w:t>
            </w:r>
            <w:r w:rsidRPr="00F26947">
              <w:t>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1.5</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Risk control measures for identified hazards are prioritised, implemented and monitored against the work schedule</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1.6</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Relevant work permits are obtained to access, isolate/de-energise systems and perform work according to requirements and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1.7</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Resources including appropriately licensed persons, equipment, tools and personal protective equipment re</w:t>
            </w:r>
            <w:r w:rsidRPr="00F26947">
              <w:t>quired for the job are identified, scheduled and obtained and confirmed in working order</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1.8</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Relevant persons at worksite are confirmed to be current in First Aid and other related work procedures according to requirements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1.9</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Liaison and communicati</w:t>
            </w:r>
            <w:r w:rsidRPr="00F26947">
              <w:t>on issues with authorised persons, authorities, clients and land owners are resolved and activities coordinated to carry out work</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1.10</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Site is prepar</w:t>
            </w:r>
            <w:r w:rsidRPr="00F26947">
              <w:t>ed according to the work schedule and to minimise risk and damage to property, commerce and individuals in accordance with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1.11</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Persons participating in the work, including plant operators and contractors are fully briefed and res</w:t>
            </w:r>
            <w:r w:rsidRPr="00F26947">
              <w:t xml:space="preserve">pective responsibilities confirmed where applicable in accordance with established procedures </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w:t>
            </w:r>
          </w:p>
        </w:tc>
        <w:tc>
          <w:tcPr>
            <w:tcW w:w="2296" w:type="dxa"/>
            <w:vMerge w:val="restart"/>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Coordinate repair of faults in gas processing/storage facilities and equipment</w:t>
            </w: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2.1</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OHS policies and procedures and safe work practices are followed to eliminate or minimise incidents and hazards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2.2</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Lifting, climbing, working in confined spaces or aloft, and use of power tools, techniques and practices are safely followed and currency</w:t>
            </w:r>
            <w:r w:rsidRPr="00F26947">
              <w:t xml:space="preserve"> according to requirements confirmed</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2.3</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Apply Essential Knowledge and Associated Skills to coordinate repair of faults in gas processing/storage facilities and equipment to ensure </w:t>
            </w:r>
            <w:r w:rsidRPr="00F26947">
              <w:t>completion in an agreed timeframe and to quality standards with a minimum of waste according to requirements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2.4</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Repair work and the replacement of faulty work equipment is monitored to ensure activities are carried out to standard operating procedures,</w:t>
            </w:r>
            <w:r w:rsidRPr="00F26947">
              <w:t xml:space="preserve"> permit to work, and minimal impact occurs on existing operations and environment </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2.5</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Hazard warnings and safety signs are recognised and hazards and assessed OHS risks are reported to the immediate authorised persons for directions according to e</w:t>
            </w:r>
            <w:r w:rsidRPr="00F26947">
              <w:t>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2.6</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Unplanned events in the coordination and repair of faults in gas processing/storage facilities and equipment are undertaken with the scope of established procedures </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2.7</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Known solutions to a variety of problems are applied u</w:t>
            </w:r>
            <w:r w:rsidRPr="00F26947">
              <w:t>sing Essential Knowledge and Associated Skills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2.8</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Ongoing checks of quality of the work are undertaken in accordance with given instructions and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w:t>
            </w:r>
          </w:p>
        </w:tc>
        <w:tc>
          <w:tcPr>
            <w:tcW w:w="2296"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Recommission systems and equipment </w:t>
            </w: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3.1</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Systems are monitored or activated to ensure they are operating both safely and effectively and permit to work is closed out and the system is restored to normal operation</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3.2</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Accidents and injuries are reported in accordance with established procedures</w:t>
            </w:r>
            <w:r w:rsidRPr="00F26947">
              <w:t xml:space="preserve"> where applicable</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3.3</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Work site is rehabilitated, cleaned up and made safe in accordance with given instructions and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3.4</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Tools, equipment and any surplus resources and materials are, where appropriate, cleaned, checked and returned to storage in accordance with established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3.5</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Relevant work permit(s) are signed off and equipment is returned to service in accord</w:t>
            </w:r>
            <w:r w:rsidRPr="00F26947">
              <w:t>ance with requirements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3.6</w:t>
            </w:r>
          </w:p>
        </w:tc>
        <w:tc>
          <w:tcPr>
            <w:tcW w:w="48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Repaired and installed equipment is brought back on line in accordance with standard operating procedures</w:t>
            </w:r>
          </w:p>
        </w:tc>
      </w:tr>
      <w:tr w:rsidTr="008113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3.7</w:t>
            </w:r>
          </w:p>
        </w:tc>
        <w:tc>
          <w:tcPr>
            <w:tcW w:w="48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Work completion records, reports as installed and modified, drawings and documentation and information are finali</w:t>
            </w:r>
            <w:r w:rsidRPr="00F26947">
              <w:t>sed and processed and appropriate persons notified</w:t>
            </w:r>
          </w:p>
        </w:tc>
      </w:tr>
    </w:tbl>
    <w:p w:rsidR="008113E2" w:rsidP="00F26947">
      <w:pPr>
        <w:pStyle w:val="BodyText"/>
      </w:pPr>
    </w:p>
    <w:p w:rsidR="008113E2" w:rsidP="00F26947">
      <w:pPr>
        <w:pStyle w:val="BodyText"/>
      </w:pPr>
    </w:p>
    <w:p w:rsidR="00000000" w:rsidRPr="00F26947" w:rsidP="00F26947">
      <w:pPr>
        <w:pStyle w:val="Heading1"/>
      </w:pPr>
      <w:bookmarkStart w:id="9" w:name="O_263647"/>
      <w:bookmarkEnd w:id="9"/>
      <w:r w:rsidRPr="00F26947">
        <w:t>Required Skills and Knowledge</w:t>
      </w:r>
    </w:p>
    <w:tbl>
      <w:tblPr>
        <w:tblW w:w="0" w:type="auto"/>
        <w:tblLayout w:type="fixed"/>
        <w:tblCellMar>
          <w:left w:w="62" w:type="dxa"/>
          <w:right w:w="62" w:type="dxa"/>
        </w:tblCellMar>
        <w:tblLook w:val="0000"/>
      </w:tblPr>
      <w:tblGrid>
        <w:gridCol w:w="2700"/>
        <w:gridCol w:w="1080"/>
        <w:gridCol w:w="4680"/>
      </w:tblGrid>
      <w:tr w:rsidTr="008113E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REQUIRED SKILLS AND KNOWLEDGE</w:t>
            </w:r>
          </w:p>
        </w:tc>
      </w:tr>
      <w:tr w:rsidTr="008113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6</w:t>
            </w:r>
            <w:r w:rsidRPr="00F26947">
              <w:t>) This describes the essential skills and knowledge and their level, required for this unit.</w:t>
            </w:r>
          </w:p>
        </w:tc>
      </w:tr>
      <w:tr w:rsidTr="008113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Evidence shall show that knowledge has been acquired of safe working practices for coordinating the repair of faults in gas processing/storage facilities and equipment. The extent of the essential knowledge and associated skills (EKAS) required is given in</w:t>
            </w:r>
            <w:r w:rsidRPr="00F26947">
              <w:t xml:space="preserve"> Volume 2 - Part 2.2 EKAS.  It forms an integral part of this unit.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G 3.6.1</w:t>
            </w:r>
          </w:p>
        </w:tc>
        <w:tc>
          <w:tcPr>
            <w:tcW w:w="468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Working safely in an LPG environment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G 3.6.2</w:t>
            </w:r>
          </w:p>
        </w:tc>
        <w:tc>
          <w:tcPr>
            <w:tcW w:w="468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Understanding the correct use of plant and equipment in an LPG environment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G 3.6.4</w:t>
            </w:r>
          </w:p>
        </w:tc>
        <w:tc>
          <w:tcPr>
            <w:tcW w:w="468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LPG communication including the recording of LPG information</w:t>
            </w:r>
          </w:p>
        </w:tc>
      </w:tr>
    </w:tbl>
    <w:p w:rsidR="008113E2" w:rsidP="00F26947">
      <w:pPr>
        <w:pStyle w:val="BodyText"/>
      </w:pPr>
    </w:p>
    <w:p w:rsidR="008113E2" w:rsidP="00F26947">
      <w:pPr>
        <w:pStyle w:val="BodyText"/>
      </w:pPr>
    </w:p>
    <w:p w:rsidR="00000000" w:rsidRPr="00F26947" w:rsidP="00F26947">
      <w:pPr>
        <w:pStyle w:val="Heading1"/>
      </w:pPr>
      <w:bookmarkStart w:id="10" w:name="O_247839"/>
      <w:bookmarkEnd w:id="10"/>
      <w:r w:rsidRPr="00F26947">
        <w:t>Evidence Guide</w:t>
      </w:r>
    </w:p>
    <w:tbl>
      <w:tblPr>
        <w:tblW w:w="0" w:type="auto"/>
        <w:tblLayout w:type="fixed"/>
        <w:tblCellMar>
          <w:left w:w="62" w:type="dxa"/>
          <w:right w:w="62" w:type="dxa"/>
        </w:tblCellMar>
        <w:tblLook w:val="0000"/>
      </w:tblPr>
      <w:tblGrid>
        <w:gridCol w:w="326"/>
        <w:gridCol w:w="1834"/>
        <w:gridCol w:w="360"/>
        <w:gridCol w:w="1080"/>
        <w:gridCol w:w="360"/>
        <w:gridCol w:w="1620"/>
        <w:gridCol w:w="1317"/>
        <w:gridCol w:w="1563"/>
      </w:tblGrid>
      <w:tr w:rsidTr="008113E2">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EVIDENCE GUIDE</w:t>
            </w:r>
          </w:p>
        </w:tc>
      </w:tr>
      <w:tr w:rsidTr="008113E2">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 xml:space="preserve">) </w:t>
            </w:r>
          </w:p>
          <w:p w:rsidR="00000000" w:rsidP="00F26947">
            <w:pPr>
              <w:pStyle w:val="BodyText"/>
              <w:rPr>
                <w:lang w:val="en-NZ"/>
              </w:rPr>
            </w:pPr>
            <w:r w:rsidRPr="00F26947">
              <w:t>The Evidence Guide forms an integral part of this Competency Standard Unit and shall be used in conjunction with all components parts of this unit and performed in accordance with the Assessment Guidelines of this Training Package.</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Overview of Asse</w:t>
            </w:r>
            <w:r w:rsidRPr="00F26947">
              <w:rPr>
                <w:rStyle w:val="SpecialBold"/>
              </w:rPr>
              <w:t>ssment</w:t>
            </w: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1</w:t>
            </w:r>
            <w:r w:rsidRPr="00F26947">
              <w:t xml:space="preserve">) </w:t>
            </w:r>
          </w:p>
          <w:p w:rsidR="00000000" w:rsidRPr="00F26947" w:rsidP="00F26947">
            <w:pPr>
              <w:pStyle w:val="BodyText"/>
            </w:pPr>
            <w:r w:rsidRPr="00F26947">
              <w:t>Longitudinal competency development approaches to assessment, such as Profiling, require data to be reliably gathered in a form that can be consistently interpreted over time. This approach is best utilised in Apprenticeship programs and reduces assessment</w:t>
            </w:r>
            <w:r w:rsidRPr="00F2694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26947">
              <w:t>tency in a realistically simulated work environment. It is recognised that, in some circumstances, assessment in part or full can occur outside the workplace. However, it must be in accord with Industry and Regulatory policy in this regard.</w:t>
            </w:r>
          </w:p>
          <w:p w:rsidR="00000000" w:rsidRPr="00F26947" w:rsidP="00F26947">
            <w:pPr>
              <w:pStyle w:val="BodyText"/>
            </w:pPr>
            <w:r w:rsidRPr="00F26947">
              <w:t xml:space="preserve">Methods chosen </w:t>
            </w:r>
            <w:r w:rsidRPr="00F26947">
              <w:t>for a particular assessment will be influenced by various factors. These include the extent of the assessment, the most effective locations for the assessment activities to take place, access to physical resources, additional safety measures that may be re</w:t>
            </w:r>
            <w:r w:rsidRPr="00F26947">
              <w:t>quired and the critical nature of the competencies being assessed.</w:t>
            </w:r>
          </w:p>
          <w:p w:rsidR="00000000" w:rsidRPr="00F26947" w:rsidP="00F26947">
            <w:pPr>
              <w:pStyle w:val="BodyText"/>
            </w:pPr>
            <w:r w:rsidRPr="00F26947">
              <w:t>The critical safety nature of working with electricity, electrical equipment, gas or any other hazardous substance/material carries risk in deeming a person competent. Hence, sources of evi</w:t>
            </w:r>
            <w:r w:rsidRPr="00F26947">
              <w:t>dence need to be 'rich' in nature so as to minimise error in judgment.</w:t>
            </w:r>
          </w:p>
          <w:p w:rsidR="00000000" w:rsidP="00F26947">
            <w:pPr>
              <w:pStyle w:val="BodyText"/>
              <w:rPr>
                <w:lang w:val="en-NZ"/>
              </w:rPr>
            </w:pPr>
            <w:r w:rsidRPr="00F26947">
              <w:t>Activities associated with normal every day work have a bearing on the decision as to how much and how detailed the data gathered will contribute to its 'richness'. Some skills are more</w:t>
            </w:r>
            <w:r w:rsidRPr="00F26947">
              <w:t xml:space="preserve"> critical to safety and operational requirements while the same skills may be more or less frequently practiced. These points are raised for the assessors to consider when choosing an assessment method and developing assessment instruments. Sample assessme</w:t>
            </w:r>
            <w:r w:rsidRPr="00F26947">
              <w:t>nt instruments are included for Assessors in the Assessment Guidelines of this Training Package.</w:t>
            </w:r>
          </w:p>
        </w:tc>
      </w:tr>
      <w:tr w:rsidTr="008113E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2</w:t>
            </w:r>
            <w:r w:rsidRPr="00F26947">
              <w:t xml:space="preserve">) </w:t>
            </w:r>
          </w:p>
          <w:p w:rsidR="00000000" w:rsidP="00F26947">
            <w:pPr>
              <w:pStyle w:val="BodyText"/>
              <w:rPr>
                <w:lang w:val="en-NZ"/>
              </w:rPr>
            </w:pPr>
            <w:r w:rsidRPr="00F26947">
              <w:t>Before the critical aspects of evidence are considered all prerequisi</w:t>
            </w:r>
            <w:r w:rsidRPr="00F26947">
              <w:t>tes shall be met.</w:t>
            </w:r>
          </w:p>
        </w:tc>
      </w:tr>
      <w:tr w:rsidTr="008113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 xml:space="preserve">Evidence for competence in this unit shall be considered holistically. Each element and associated Performance Criteria shall be demonstrated </w:t>
            </w:r>
            <w:r w:rsidRPr="00F26947">
              <w:t>on at least two occasions in accordance with the 'Assessment Guidelines   UEG06'. Evidence shall also comprise:</w:t>
            </w:r>
          </w:p>
          <w:p w:rsidR="00000000" w:rsidP="00F26947">
            <w:pPr>
              <w:pStyle w:val="ListBullet"/>
              <w:rPr>
                <w:lang w:val="en-NZ"/>
              </w:rPr>
            </w:pPr>
            <w:r w:rsidRPr="00F26947">
              <w:t>A representative body of Performance Criteria demonstrated within the timeframes typically expected of the discipline, work function and industr</w:t>
            </w:r>
            <w:r w:rsidRPr="00F26947">
              <w:t>ial environment. In particular this shall incorporate evidence that shows a candidate is able to:</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ListBullet2"/>
            </w:pPr>
            <w:r w:rsidRPr="00F26947">
              <w:t xml:space="preserve">Implement Occupational Health and Safety workplace procedures and practices including </w:t>
            </w:r>
            <w:r w:rsidRPr="00F26947">
              <w:t>the use of risk control measures as specified in the Performance Criteria and range</w:t>
            </w:r>
          </w:p>
          <w:p w:rsidR="00000000" w:rsidRPr="00F26947" w:rsidP="00F26947">
            <w:pPr>
              <w:pStyle w:val="ListBullet2"/>
            </w:pPr>
            <w:r w:rsidRPr="00F26947">
              <w:t>Apply sustainable energy principles and practices as specified in the Performance Criteria and range</w:t>
            </w:r>
          </w:p>
          <w:p w:rsidR="00000000" w:rsidRPr="00F26947" w:rsidP="00F26947">
            <w:pPr>
              <w:pStyle w:val="ListBullet2"/>
            </w:pPr>
            <w:r w:rsidRPr="00F26947">
              <w:t xml:space="preserve">Demonstrate an understanding of the essential knowledge and associated </w:t>
            </w:r>
            <w:r w:rsidRPr="00F26947">
              <w:t>skills as described in this unit to such an extent that the learner's performance outcome is reported in accordance with the preferred approach; namely a percentile graded result, where required by the regulated environment</w:t>
            </w:r>
          </w:p>
          <w:p w:rsidR="00000000" w:rsidRPr="00F26947" w:rsidP="00F26947">
            <w:pPr>
              <w:pStyle w:val="ListBullet2"/>
            </w:pPr>
            <w:r w:rsidRPr="00F26947">
              <w:t>Demonstrate an appropriate level</w:t>
            </w:r>
            <w:r w:rsidRPr="00F26947">
              <w:t xml:space="preserve"> of skills enabling employment</w:t>
            </w:r>
          </w:p>
          <w:p w:rsidR="00000000" w:rsidP="00F26947">
            <w:pPr>
              <w:pStyle w:val="ListBullet2"/>
              <w:rPr>
                <w:lang w:val="en-NZ"/>
              </w:rPr>
            </w:pPr>
            <w:r w:rsidRPr="00F26947">
              <w:t>Conduct work observing the relevant Anti discrimination legislation, regulations, polices and workplace procedures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26947">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26947">
            <w:pPr>
              <w:pStyle w:val="ListBullet2"/>
              <w:rPr>
                <w:lang w:val="en-NZ"/>
              </w:rPr>
            </w:pPr>
            <w:r w:rsidRPr="00F26947">
              <w:t>Demonstrate performance across a representative range of contexts from the prescribed items below.</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26947">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rPr>
                <w:rStyle w:val="SpecialBold"/>
              </w:rPr>
              <w:t>Range of tools</w:t>
            </w:r>
            <w:r w:rsidRPr="00F26947">
              <w:t>/</w:t>
            </w:r>
            <w:r w:rsidRPr="00F26947">
              <w:rPr>
                <w:rStyle w:val="SpecialBold"/>
              </w:rPr>
              <w:t>equipment</w:t>
            </w:r>
            <w:r w:rsidRPr="00F26947">
              <w:t>/</w:t>
            </w:r>
            <w:r w:rsidRPr="00F26947">
              <w:rPr>
                <w:rStyle w:val="SpecialBold"/>
              </w:rPr>
              <w:t>materials</w:t>
            </w:r>
            <w:r w:rsidRPr="00F26947">
              <w:t>/</w:t>
            </w:r>
            <w:r w:rsidRPr="00F26947">
              <w:rPr>
                <w:rStyle w:val="SpecialBold"/>
              </w:rPr>
              <w:t>procedures</w:t>
            </w:r>
            <w:r w:rsidRPr="00F26947">
              <w:t>/</w:t>
            </w:r>
            <w:r w:rsidRPr="00F26947">
              <w:rPr>
                <w:rStyle w:val="SpecialBold"/>
              </w:rPr>
              <w:t>workplaces</w:t>
            </w:r>
            <w:r w:rsidRPr="00F26947">
              <w:br/>
            </w:r>
            <w:r w:rsidRPr="00F26947">
              <w:rPr>
                <w:rStyle w:val="SpecialBold"/>
              </w:rPr>
              <w:t>other variables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26947">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rPr>
                <w:rStyle w:val="SpecialBold"/>
              </w:rPr>
              <w:t>The minimum number of items on which skill is to be demonstrated</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rPr>
                <w:rStyle w:val="SpecialBold"/>
              </w:rPr>
              <w:t>Item List</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At least 7</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t>Gas detectors</w:t>
            </w:r>
          </w:p>
          <w:p w:rsidR="00000000" w:rsidRPr="00F26947" w:rsidP="00F26947">
            <w:pPr>
              <w:pStyle w:val="BodyText"/>
            </w:pPr>
            <w:r w:rsidRPr="00F26947">
              <w:t>Purging gas</w:t>
            </w:r>
          </w:p>
          <w:p w:rsidR="00000000" w:rsidRPr="00F26947" w:rsidP="00F26947">
            <w:pPr>
              <w:pStyle w:val="BodyText"/>
            </w:pPr>
            <w:r w:rsidRPr="00F26947">
              <w:t>Hand tools</w:t>
            </w:r>
          </w:p>
          <w:p w:rsidR="00000000" w:rsidRPr="00F26947" w:rsidP="00F26947">
            <w:pPr>
              <w:pStyle w:val="BodyText"/>
            </w:pPr>
            <w:r w:rsidRPr="00F26947">
              <w:t>LPG hoses</w:t>
            </w:r>
          </w:p>
          <w:p w:rsidR="00000000" w:rsidRPr="00F26947" w:rsidP="00F26947">
            <w:pPr>
              <w:pStyle w:val="BodyText"/>
            </w:pPr>
            <w:r w:rsidRPr="00F26947">
              <w:t>Flare</w:t>
            </w:r>
          </w:p>
          <w:p w:rsidR="00000000" w:rsidRPr="00F26947" w:rsidP="00F26947">
            <w:pPr>
              <w:pStyle w:val="BodyText"/>
            </w:pPr>
            <w:r w:rsidRPr="00F26947">
              <w:t>Valves</w:t>
            </w:r>
          </w:p>
          <w:p w:rsidR="00000000" w:rsidRPr="00F26947" w:rsidP="00F26947">
            <w:pPr>
              <w:pStyle w:val="BodyText"/>
            </w:pPr>
            <w:r w:rsidRPr="00F26947">
              <w:t>Compressor</w:t>
            </w:r>
          </w:p>
          <w:p w:rsidR="00000000" w:rsidRPr="00F26947" w:rsidP="00F26947">
            <w:pPr>
              <w:pStyle w:val="BodyText"/>
            </w:pPr>
            <w:r w:rsidRPr="00F26947">
              <w:t>Vessels</w:t>
            </w:r>
          </w:p>
          <w:p w:rsidR="00000000" w:rsidRPr="00F26947" w:rsidP="00F26947">
            <w:pPr>
              <w:pStyle w:val="BodyText"/>
            </w:pPr>
            <w:r w:rsidRPr="00F26947">
              <w:t>Pump</w:t>
            </w:r>
          </w:p>
          <w:p w:rsidR="00000000" w:rsidRPr="00F26947" w:rsidP="00F26947">
            <w:pPr>
              <w:pStyle w:val="BodyText"/>
            </w:pPr>
            <w:r w:rsidRPr="00F26947">
              <w:t>Road tanker</w:t>
            </w:r>
          </w:p>
          <w:p w:rsidR="00000000" w:rsidP="00F26947">
            <w:pPr>
              <w:pStyle w:val="BodyText"/>
              <w:rPr>
                <w:lang w:val="en-NZ"/>
              </w:rPr>
            </w:pPr>
            <w:r w:rsidRPr="00F26947">
              <w:t>Control and instrumentation equipment</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At least 7</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t>Faults:</w:t>
            </w:r>
          </w:p>
          <w:p w:rsidR="00000000" w:rsidRPr="00F26947" w:rsidP="00F26947">
            <w:pPr>
              <w:pStyle w:val="BodyText"/>
            </w:pPr>
            <w:r w:rsidRPr="00F26947">
              <w:t>Gas leak</w:t>
            </w:r>
          </w:p>
          <w:p w:rsidR="00000000" w:rsidRPr="00F26947" w:rsidP="00F26947">
            <w:pPr>
              <w:pStyle w:val="BodyText"/>
            </w:pPr>
            <w:r w:rsidRPr="00F26947">
              <w:t>Electrical problems</w:t>
            </w:r>
          </w:p>
          <w:p w:rsidR="00000000" w:rsidRPr="00F26947" w:rsidP="00F26947">
            <w:pPr>
              <w:pStyle w:val="BodyText"/>
            </w:pPr>
            <w:r w:rsidRPr="00F26947">
              <w:t>Over filled vessel</w:t>
            </w:r>
          </w:p>
          <w:p w:rsidR="00000000" w:rsidRPr="00F26947" w:rsidP="00F26947">
            <w:pPr>
              <w:pStyle w:val="BodyText"/>
            </w:pPr>
            <w:r w:rsidRPr="00F26947">
              <w:t>Compressor failure</w:t>
            </w:r>
          </w:p>
          <w:p w:rsidR="00000000" w:rsidRPr="00F26947" w:rsidP="00F26947">
            <w:pPr>
              <w:pStyle w:val="BodyText"/>
            </w:pPr>
            <w:r w:rsidRPr="00F26947">
              <w:t>Pump failure</w:t>
            </w:r>
          </w:p>
          <w:p w:rsidR="00000000" w:rsidRPr="00F26947" w:rsidP="00F26947">
            <w:pPr>
              <w:pStyle w:val="BodyText"/>
            </w:pPr>
            <w:r w:rsidRPr="00F26947">
              <w:t>Out of current inspection status</w:t>
            </w:r>
          </w:p>
          <w:p w:rsidR="00000000" w:rsidRPr="00F26947" w:rsidP="00F26947">
            <w:pPr>
              <w:pStyle w:val="BodyText"/>
            </w:pPr>
            <w:r w:rsidRPr="00F26947">
              <w:t>Gauge failure</w:t>
            </w:r>
          </w:p>
          <w:p w:rsidR="00000000" w:rsidRPr="00F26947" w:rsidP="00F26947">
            <w:pPr>
              <w:pStyle w:val="BodyText"/>
            </w:pPr>
            <w:r w:rsidRPr="00F26947">
              <w:t>Hose rupture/leaks</w:t>
            </w:r>
          </w:p>
          <w:p w:rsidR="00000000" w:rsidRPr="00F26947" w:rsidP="00F26947">
            <w:pPr>
              <w:pStyle w:val="BodyText"/>
            </w:pPr>
            <w:r w:rsidRPr="00F26947">
              <w:t>Instruments out of calibration</w:t>
            </w:r>
          </w:p>
          <w:p w:rsidR="00000000" w:rsidRPr="00F26947" w:rsidP="00F26947">
            <w:pPr>
              <w:pStyle w:val="BodyText"/>
            </w:pPr>
            <w:r w:rsidRPr="00F26947">
              <w:t>Non-flow of LPG</w:t>
            </w:r>
          </w:p>
          <w:p w:rsidR="00000000" w:rsidRPr="00F26947" w:rsidP="00F26947">
            <w:pPr>
              <w:pStyle w:val="BodyText"/>
            </w:pPr>
            <w:r w:rsidRPr="00F26947">
              <w:t>Cylinder scales out of calibration</w:t>
            </w:r>
          </w:p>
          <w:p w:rsidR="00000000" w:rsidP="00F26947">
            <w:pPr>
              <w:pStyle w:val="BodyText"/>
              <w:rPr>
                <w:lang w:val="en-NZ"/>
              </w:rPr>
            </w:pPr>
            <w:r w:rsidRPr="00F26947">
              <w:t>Meter out of calibration</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All</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t>Documentation:</w:t>
            </w:r>
          </w:p>
          <w:p w:rsidR="00000000" w:rsidRPr="00F26947" w:rsidP="00F26947">
            <w:pPr>
              <w:pStyle w:val="BodyText"/>
            </w:pPr>
            <w:r w:rsidRPr="00F26947">
              <w:t>Item maintenance record</w:t>
            </w:r>
          </w:p>
          <w:p w:rsidR="00000000" w:rsidRPr="00F26947" w:rsidP="00F26947">
            <w:pPr>
              <w:pStyle w:val="BodyText"/>
            </w:pPr>
            <w:r w:rsidRPr="00F26947">
              <w:t>Work permit</w:t>
            </w:r>
          </w:p>
          <w:p w:rsidR="00000000" w:rsidRPr="00F26947" w:rsidP="00F26947">
            <w:pPr>
              <w:pStyle w:val="BodyText"/>
            </w:pPr>
            <w:r w:rsidRPr="00F26947">
              <w:t>Job card documentation to inform relevant authorities, company persons or manufacturer</w:t>
            </w:r>
          </w:p>
          <w:p w:rsidR="00000000" w:rsidP="00F26947">
            <w:pPr>
              <w:pStyle w:val="BodyText"/>
              <w:rPr>
                <w:lang w:val="en-NZ"/>
              </w:rPr>
            </w:pPr>
            <w:r w:rsidRPr="00F26947">
              <w:t>OHS, environmental and associated requirement documentation</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At least one occasion</w:t>
            </w:r>
          </w:p>
        </w:tc>
        <w:tc>
          <w:tcPr>
            <w:tcW w:w="28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Deal with an unplanned event by drawing on essential knowledge and associated skills to provide appropriate solutions incorporated in the holistic assessment with th</w:t>
            </w:r>
            <w:r w:rsidRPr="00F26947">
              <w:t xml:space="preserve">e above listed items </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3</w:t>
            </w:r>
            <w:r w:rsidRPr="00F26947">
              <w:t xml:space="preserve">) </w:t>
            </w:r>
          </w:p>
          <w:p w:rsidR="00000000" w:rsidRPr="00F26947" w:rsidP="00F26947">
            <w:pPr>
              <w:pStyle w:val="BodyText"/>
            </w:pPr>
            <w:r w:rsidRPr="00F26947">
              <w:t>This unit should be assessed as it relates to normal work practice using procedures, information and resources typical of a workplace. This should include:</w:t>
            </w:r>
          </w:p>
          <w:p w:rsidR="00000000" w:rsidRPr="00F26947" w:rsidP="00F26947">
            <w:pPr>
              <w:pStyle w:val="ListBullet"/>
            </w:pPr>
            <w:r w:rsidRPr="00F26947">
              <w:t>OHS policy and work procedures and instructions.</w:t>
            </w:r>
          </w:p>
          <w:p w:rsidR="00000000" w:rsidRPr="00F26947" w:rsidP="00F26947">
            <w:pPr>
              <w:pStyle w:val="ListBullet"/>
            </w:pPr>
            <w:r w:rsidRPr="00F26947">
              <w:t>Suitable work environment, facilities, equipment and materials to undertake actual work as prescribed by this Competency Standard Unit.</w:t>
            </w:r>
          </w:p>
          <w:p w:rsidR="00000000" w:rsidRPr="00F26947" w:rsidP="00F26947">
            <w:pPr>
              <w:pStyle w:val="ListBullet"/>
            </w:pPr>
            <w:r w:rsidRPr="00F26947">
              <w:t>Appropriate environmental regulation and work practices.</w:t>
            </w:r>
          </w:p>
          <w:p w:rsidR="00000000" w:rsidRPr="00F26947" w:rsidP="00F26947">
            <w:pPr>
              <w:pStyle w:val="ListBullet"/>
            </w:pPr>
            <w:r w:rsidRPr="00F26947">
              <w:t>Appropriate or</w:t>
            </w:r>
            <w:r w:rsidRPr="00F26947">
              <w:t>ganisational requirements.</w:t>
            </w:r>
          </w:p>
          <w:p w:rsidR="00000000" w:rsidP="00F26947">
            <w:pPr>
              <w:pStyle w:val="ListBullet"/>
              <w:rPr>
                <w:lang w:val="en-NZ"/>
              </w:rPr>
            </w:pPr>
            <w:r w:rsidRPr="00F26947">
              <w:t>Appropriate work environment, equipment and tools.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In addition to the resources listed above, in Context of and specific resources for assessment, evidence should show demonstrated competency </w:t>
            </w:r>
            <w:r w:rsidRPr="00F26947">
              <w:t>in coordinating repair of faults in gas processing/storage facilities and equipment.</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Assessment of this competency must also be undertaken in either an actual workplace or under a simulated work environment. Assessment must also integrate the Key C</w:t>
            </w:r>
            <w:r w:rsidRPr="00F26947">
              <w:t>ompetencies in section 6.7 of this competency standard.</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4</w:t>
            </w:r>
            <w:r w:rsidRPr="00F26947">
              <w:t xml:space="preserve">) </w:t>
            </w:r>
          </w:p>
          <w:p w:rsidR="00000000" w:rsidRPr="00F26947" w:rsidP="00F26947">
            <w:pPr>
              <w:pStyle w:val="BodyText"/>
            </w:pPr>
            <w:r w:rsidRPr="00F26947">
              <w:t>This Competency Standard Unit shall be assessed by methods given in Volume 1, Part 3 'Assessment Guidelines'.</w:t>
            </w:r>
          </w:p>
          <w:p w:rsidR="00000000" w:rsidP="00F26947">
            <w:pPr>
              <w:pStyle w:val="BodyText"/>
              <w:rPr>
                <w:lang w:val="en-NZ"/>
              </w:rPr>
            </w:pPr>
            <w:r w:rsidRPr="00F26947">
              <w:t>Note:</w:t>
            </w:r>
            <w:r w:rsidRPr="00F26947">
              <w:br/>
            </w:r>
            <w:r w:rsidRPr="00F26947">
              <w:t>Competent performance with inherent safe working practices is expected in the Industry to which this Competency Standard Unit applies. This requires that the specified Essential Knowledge and Associated Skills are assessed in a structured environment which</w:t>
            </w:r>
            <w:r w:rsidRPr="00F26947">
              <w:t xml:space="preserve"> is primarily intended for learning/assessment and incorporates all necessary equipment and facilities for learners to develop and demonstrate the essential knowledge and associated skills described in this unit.</w:t>
            </w:r>
          </w:p>
        </w:tc>
      </w:tr>
      <w:tr w:rsidTr="008113E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Concurrent assessment and relationshi</w:t>
            </w:r>
            <w:r w:rsidRPr="00F26947">
              <w:rPr>
                <w:rStyle w:val="SpecialBold"/>
              </w:rPr>
              <w:t>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8</w:t>
            </w:r>
            <w:r w:rsidRPr="00F26947">
              <w:t>.</w:t>
            </w:r>
            <w:r w:rsidRPr="00F26947">
              <w:rPr>
                <w:rStyle w:val="SpecialBold"/>
              </w:rPr>
              <w:t>5</w:t>
            </w:r>
            <w:r w:rsidRPr="00F26947">
              <w:t xml:space="preserve">) </w:t>
            </w:r>
          </w:p>
        </w:tc>
      </w:tr>
      <w:tr w:rsidTr="008113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 xml:space="preserve">There are no recommended concurrent assessments with this unit, however in some cases efficiencies may be gained in terms of learning and assessment </w:t>
            </w:r>
            <w:r w:rsidRPr="00F26947">
              <w:t>effort being concurrently managed with allied Competency Standard Units where listed.</w:t>
            </w:r>
          </w:p>
        </w:tc>
      </w:tr>
      <w:tr w:rsidTr="008113E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UEGNSG102A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Carry out work activities in a utilities industry work environment</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UEGNSG103A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Comply with workplace OHS procedures and practices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UEGNSG104A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Comply with environmental policies and procedures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UEGNSG105A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Establish the work site</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BSBCMN302A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Organise personal work priorities and professional development</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BSBFLM312A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Contribute to team effectiveness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BSBFLM303A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Contribute to effective workplace relationships</w:t>
            </w:r>
          </w:p>
        </w:tc>
      </w:tr>
      <w:tr w:rsidTr="008113E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BSBCMN311A</w:t>
            </w:r>
          </w:p>
        </w:tc>
        <w:tc>
          <w:tcPr>
            <w:tcW w:w="4500" w:type="dxa"/>
            <w:gridSpan w:val="3"/>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Maintain workplace safety</w:t>
            </w:r>
          </w:p>
        </w:tc>
      </w:tr>
      <w:tr w:rsidTr="008113E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26947" w:rsidP="00F26947">
            <w:pPr>
              <w:pStyle w:val="BodyText"/>
            </w:pPr>
            <w:r w:rsidRPr="00F26947">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6</w:t>
            </w:r>
            <w:r w:rsidRPr="00F26947">
              <w:t xml:space="preserve">) </w:t>
            </w:r>
          </w:p>
          <w:p w:rsidR="00000000" w:rsidP="00F26947">
            <w:pPr>
              <w:pStyle w:val="BodyText"/>
              <w:rPr>
                <w:lang w:val="en-NZ"/>
              </w:rPr>
            </w:pPr>
            <w:r w:rsidRPr="00F26947">
              <w:t>Evidence that particular Key Competencies have been achieved within this Competency Standard Unit is in the context of the following Performance Criteria of evidence. See Volume 2, Part 4 for an explanation of Key Competencies and levels of this Training P</w:t>
            </w:r>
            <w:r w:rsidRPr="00F26947">
              <w:t>ackage.</w:t>
            </w:r>
          </w:p>
        </w:tc>
      </w:tr>
      <w:tr w:rsidTr="008113E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rPr>
                <w:rStyle w:val="SpecialBold"/>
              </w:rPr>
              <w:t>Performance Level</w:t>
            </w: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3</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2</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2</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1</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N/A</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2</w:t>
            </w:r>
          </w:p>
        </w:tc>
      </w:tr>
      <w:tr w:rsidTr="008113E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p>
        </w:tc>
      </w:tr>
      <w:tr w:rsidTr="008113E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p>
          <w:p w:rsidR="00000000" w:rsidP="00F26947">
            <w:pPr>
              <w:pStyle w:val="BodyText"/>
              <w:rPr>
                <w:lang w:val="en-NZ"/>
              </w:rPr>
            </w:pPr>
            <w:r w:rsidRPr="00F26947">
              <w:t>2</w:t>
            </w:r>
          </w:p>
        </w:tc>
      </w:tr>
      <w:tr w:rsidTr="008113E2">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3.4</w:t>
            </w:r>
          </w:p>
        </w:tc>
      </w:tr>
      <w:tr w:rsidTr="008113E2">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F26947" w:rsidP="00F26947">
            <w:pPr>
              <w:pStyle w:val="BodyText"/>
            </w:pPr>
            <w:r w:rsidRPr="00F26947">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F26947" w:rsidP="00F26947">
            <w:pPr>
              <w:pStyle w:val="BodyText"/>
            </w:pPr>
            <w:r w:rsidRPr="00F26947">
              <w:rPr>
                <w:rStyle w:val="SpecialBold"/>
              </w:rPr>
              <w:t>8</w:t>
            </w:r>
            <w:r w:rsidRPr="00F26947">
              <w:t>.</w:t>
            </w:r>
            <w:r w:rsidRPr="00F26947">
              <w:rPr>
                <w:rStyle w:val="SpecialBold"/>
              </w:rPr>
              <w:t>7</w:t>
            </w:r>
            <w:r w:rsidRPr="00F26947">
              <w:t xml:space="preserve">) </w:t>
            </w:r>
          </w:p>
          <w:p w:rsidR="00000000" w:rsidP="00F26947">
            <w:pPr>
              <w:pStyle w:val="BodyText"/>
              <w:rPr>
                <w:lang w:val="en-NZ"/>
              </w:rPr>
            </w:pPr>
            <w:r w:rsidRPr="00F26947">
              <w:t xml:space="preserve">Evidence that competency in this unit incorporates skills enabling employment is in the context of the following performance. See Volume 2, Part 5 for definitions and an explanation of skills enabling employment. </w:t>
            </w:r>
          </w:p>
        </w:tc>
      </w:tr>
      <w:tr w:rsidTr="008113E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rPr>
                <w:rStyle w:val="SpecialBold"/>
              </w:rPr>
              <w:t>Example of Application</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Developing and using skills within a real workplace</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All</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2.6; 2.7</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3.4; 3.6</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1.4; 1.9; 3.6</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w:t>
            </w:r>
            <w:r w:rsidRPr="00F26947">
              <w:t>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1.4; 1.5; 1.7; 1.9</w:t>
            </w:r>
          </w:p>
        </w:tc>
      </w:tr>
      <w:tr w:rsidTr="008113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947">
            <w:pPr>
              <w:pStyle w:val="BodyText"/>
              <w:rPr>
                <w:lang w:val="en-NZ"/>
              </w:rPr>
            </w:pPr>
            <w:r w:rsidRPr="00F26947">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947">
            <w:pPr>
              <w:pStyle w:val="BodyText"/>
              <w:rPr>
                <w:lang w:val="en-NZ"/>
              </w:rPr>
            </w:pPr>
            <w:r w:rsidRPr="00F26947">
              <w:t>Refer to the following Performance Criteria for examples of application:</w:t>
            </w:r>
          </w:p>
        </w:tc>
      </w:tr>
      <w:tr w:rsidTr="008113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26947" w:rsidP="00F26947">
            <w:pPr>
              <w:pStyle w:val="BodyText"/>
            </w:pPr>
            <w:r w:rsidRPr="00F26947">
              <w:t>2.6</w:t>
            </w:r>
          </w:p>
        </w:tc>
      </w:tr>
    </w:tbl>
    <w:p w:rsidR="008113E2" w:rsidP="00F26947">
      <w:pPr>
        <w:pStyle w:val="BodyText"/>
      </w:pPr>
    </w:p>
    <w:p w:rsidR="008113E2" w:rsidP="00F26947">
      <w:pPr>
        <w:pStyle w:val="BodyText"/>
      </w:pPr>
    </w:p>
    <w:p w:rsidR="00000000" w:rsidRPr="00F26947" w:rsidP="00F26947">
      <w:pPr>
        <w:pStyle w:val="Heading1"/>
      </w:pPr>
      <w:bookmarkStart w:id="11" w:name="O_255823"/>
      <w:bookmarkEnd w:id="11"/>
      <w:r w:rsidRPr="00F26947">
        <w:t>Range Statement</w:t>
      </w:r>
    </w:p>
    <w:tbl>
      <w:tblPr>
        <w:tblW w:w="0" w:type="auto"/>
        <w:tblLayout w:type="fixed"/>
        <w:tblCellMar>
          <w:left w:w="62" w:type="dxa"/>
          <w:right w:w="62" w:type="dxa"/>
        </w:tblCellMar>
        <w:tblLook w:val="0000"/>
      </w:tblPr>
      <w:tblGrid>
        <w:gridCol w:w="8460"/>
      </w:tblGrid>
      <w:tr w:rsidTr="008113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RANGE STATEMENT</w:t>
            </w:r>
          </w:p>
        </w:tc>
      </w:tr>
      <w:tr w:rsidTr="008113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7</w:t>
            </w:r>
            <w:r w:rsidRPr="00F26947">
              <w:t>) This relates to the competency standard unit as a whole providing the range of contexts and conditions to which the Performance Criteria apply. It allows for different work environments and situations that will a</w:t>
            </w:r>
            <w:r w:rsidRPr="00F26947">
              <w:t>ffect performance.</w:t>
            </w:r>
          </w:p>
        </w:tc>
      </w:tr>
      <w:tr w:rsidTr="008113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This Competency Standard Unit shall/may be demonstrated in relation to coordinating the repair of faults in gas processing/storage facilities and equipment.</w:t>
            </w:r>
          </w:p>
          <w:p w:rsidR="00000000" w:rsidRPr="00F26947" w:rsidP="00F26947">
            <w:pPr>
              <w:pStyle w:val="BodyText"/>
            </w:pPr>
            <w:r w:rsidRPr="00F26947">
              <w:t>The following constants and variables included in the element/Performance Criteria in this unit are fully described in the Definitions Section of this volume and form an integral part of the Range Statement of this unit:</w:t>
            </w:r>
          </w:p>
          <w:p w:rsidR="00000000" w:rsidRPr="00F26947" w:rsidP="00F26947">
            <w:pPr>
              <w:pStyle w:val="BodyText"/>
            </w:pPr>
            <w:r w:rsidRPr="00F26947">
              <w:t>Appropriate persons (3)</w:t>
            </w:r>
          </w:p>
          <w:p w:rsidR="00000000" w:rsidRPr="00F26947" w:rsidP="00F26947">
            <w:pPr>
              <w:pStyle w:val="BodyText"/>
            </w:pPr>
            <w:r w:rsidRPr="00F26947">
              <w:t>Necessary m</w:t>
            </w:r>
            <w:r w:rsidRPr="00F26947">
              <w:t xml:space="preserve">aterials </w:t>
            </w:r>
          </w:p>
          <w:p w:rsidR="00000000" w:rsidRPr="00F26947" w:rsidP="00F26947">
            <w:pPr>
              <w:pStyle w:val="BodyText"/>
            </w:pPr>
            <w:r w:rsidRPr="00F26947">
              <w:t xml:space="preserve">Types of faults </w:t>
            </w:r>
          </w:p>
          <w:p w:rsidR="00000000" w:rsidRPr="00F26947" w:rsidP="00F26947">
            <w:pPr>
              <w:pStyle w:val="BodyText"/>
            </w:pPr>
            <w:r w:rsidRPr="00F26947">
              <w:t>Documentation (3)</w:t>
            </w:r>
          </w:p>
        </w:tc>
      </w:tr>
    </w:tbl>
    <w:p w:rsidR="008113E2" w:rsidP="00F26947">
      <w:pPr>
        <w:pStyle w:val="BodyText"/>
      </w:pPr>
    </w:p>
    <w:p w:rsidR="008113E2" w:rsidP="00F26947">
      <w:pPr>
        <w:pStyle w:val="BodyText"/>
      </w:pPr>
    </w:p>
    <w:p w:rsidR="00000000" w:rsidRPr="00F26947" w:rsidP="00F26947">
      <w:pPr>
        <w:pStyle w:val="Heading1"/>
      </w:pPr>
      <w:bookmarkStart w:id="12" w:name="O_296836"/>
      <w:bookmarkEnd w:id="12"/>
      <w:r w:rsidRPr="00F26947">
        <w:t>Unit Sector(s)</w:t>
      </w:r>
    </w:p>
    <w:p w:rsidR="00000000" w:rsidRPr="00F26947" w:rsidP="00F26947">
      <w:pPr>
        <w:pStyle w:val="BodyText"/>
      </w:pPr>
      <w:r w:rsidRPr="00F26947">
        <w:t>Not Applicable</w:t>
      </w:r>
    </w:p>
    <w:p w:rsidR="00000000" w:rsidRPr="00F26947" w:rsidP="00F26947">
      <w:pPr>
        <w:pStyle w:val="AllowPageBreak"/>
      </w:pPr>
    </w:p>
    <w:p w:rsidR="00000000" w:rsidRPr="00F26947" w:rsidP="00F26947">
      <w:pPr>
        <w:pStyle w:val="Heading1"/>
      </w:pPr>
      <w:bookmarkStart w:id="13" w:name="O_229675"/>
      <w:bookmarkEnd w:id="13"/>
      <w:r w:rsidRPr="00F2694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2</w:t>
            </w:r>
            <w:r w:rsidRPr="00F26947">
              <w:t>.</w:t>
            </w:r>
            <w:r w:rsidRPr="00F26947">
              <w:rPr>
                <w:rStyle w:val="SpecialBold"/>
              </w:rPr>
              <w:t>2</w:t>
            </w:r>
            <w:r w:rsidRPr="00F26947">
              <w:t xml:space="preserve">) </w:t>
            </w:r>
          </w:p>
          <w:p w:rsidR="00000000" w:rsidP="00F26947">
            <w:pPr>
              <w:pStyle w:val="BodyText"/>
              <w:rPr>
                <w:lang w:val="en-NZ"/>
              </w:rPr>
            </w:pPr>
            <w:r w:rsidRPr="00F26947">
              <w:t>Participants are best equipped to achieve this unit if they have reading, writin</w:t>
            </w:r>
            <w:r w:rsidRPr="00F26947">
              <w:t>g and numeracy skills indicated by the following scales. Description of each scale is given in Volume 2, Part 3 'Literacy and Numeracy'</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Reading</w:t>
            </w:r>
          </w:p>
        </w:tc>
        <w:tc>
          <w:tcPr>
            <w:tcW w:w="805"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w:t>
            </w:r>
          </w:p>
        </w:tc>
        <w:tc>
          <w:tcPr>
            <w:tcW w:w="1184"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Writing</w:t>
            </w:r>
          </w:p>
        </w:tc>
        <w:tc>
          <w:tcPr>
            <w:tcW w:w="805"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3</w:t>
            </w:r>
          </w:p>
        </w:tc>
        <w:tc>
          <w:tcPr>
            <w:tcW w:w="1172"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t>Numeracy</w:t>
            </w:r>
          </w:p>
        </w:tc>
        <w:tc>
          <w:tcPr>
            <w:tcW w:w="805"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3</w:t>
            </w:r>
          </w:p>
        </w:tc>
      </w:tr>
    </w:tbl>
    <w:p w:rsidR="008113E2" w:rsidP="00F26947">
      <w:pPr>
        <w:pStyle w:val="BodyText"/>
      </w:pPr>
    </w:p>
    <w:p w:rsidR="008113E2" w:rsidP="00F26947">
      <w:pPr>
        <w:pStyle w:val="BodyText"/>
      </w:pPr>
    </w:p>
    <w:p w:rsidR="00000000" w:rsidRPr="00F26947" w:rsidP="00F26947">
      <w:pPr>
        <w:pStyle w:val="Heading1"/>
      </w:pPr>
      <w:bookmarkStart w:id="14" w:name="O_229678"/>
      <w:bookmarkEnd w:id="14"/>
      <w:r w:rsidRPr="00F26947">
        <w:t>Competency Field</w:t>
      </w:r>
    </w:p>
    <w:tbl>
      <w:tblPr>
        <w:tblW w:w="0" w:type="auto"/>
        <w:tblLayout w:type="fixed"/>
        <w:tblCellMar>
          <w:left w:w="62" w:type="dxa"/>
          <w:right w:w="62" w:type="dxa"/>
        </w:tblCellMar>
        <w:tblLook w:val="0000"/>
      </w:tblPr>
      <w:tblGrid>
        <w:gridCol w:w="2700"/>
        <w:gridCol w:w="5760"/>
      </w:tblGrid>
      <w:tr w:rsidTr="008113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26947">
            <w:pPr>
              <w:pStyle w:val="BodyText"/>
              <w:rPr>
                <w:lang w:val="en-NZ"/>
              </w:rPr>
            </w:pPr>
            <w:r w:rsidRPr="00F26947">
              <w:rPr>
                <w:rStyle w:val="SpecialBold"/>
              </w:rPr>
              <w:t>4</w:t>
            </w:r>
            <w:r w:rsidRPr="00F26947">
              <w:t>)</w:t>
            </w:r>
          </w:p>
        </w:tc>
      </w:tr>
      <w:tr w:rsidTr="008113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6947" w:rsidP="00F26947">
            <w:pPr>
              <w:pStyle w:val="BodyText"/>
            </w:pPr>
            <w:r w:rsidRPr="00F26947">
              <w:t>LPG.</w:t>
            </w:r>
          </w:p>
        </w:tc>
      </w:tr>
    </w:tbl>
    <w:p w:rsidR="008113E2" w:rsidP="00F26947">
      <w:pPr>
        <w:pStyle w:val="BodyText"/>
      </w:pPr>
    </w:p>
    <w:p w:rsidR="008113E2" w:rsidP="00F26947">
      <w:pPr>
        <w:pStyle w:val="BodyText"/>
      </w:pPr>
    </w:p>
    <w:p w:rsidR="00000000" w:rsidRPr="00F26947" w:rsidP="00F26947"/>
    <w:sectPr w:rsidSect="00F26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3E2" w:rsidP="008113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E2" w:rsidP="00F269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113E2" w:rsidP="00F269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13E2" w:rsidP="00F269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47" w:rsidRPr="008113E2" w:rsidP="008113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3E2" w:rsidRPr="002D2AF8" w:rsidP="00F26947">
    <w:pPr>
      <w:pStyle w:val="Header"/>
      <w:framePr w:wrap="around"/>
    </w:pPr>
    <w:r>
      <w:fldChar w:fldCharType="begin"/>
    </w:r>
    <w:r>
      <w:instrText xml:space="preserve"> TITLE   \* MERGEFORMAT </w:instrText>
    </w:r>
    <w:r>
      <w:fldChar w:fldCharType="separate"/>
    </w:r>
    <w:r>
      <w:t>UEGNSG609A Coordinate repair of faults in gas processing/storage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113E2" w:rsidP="00F26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88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06B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CE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947"/>
    <w:pPr>
      <w:spacing w:before="360" w:after="60"/>
      <w:outlineLvl w:val="0"/>
    </w:pPr>
    <w:rPr>
      <w:sz w:val="32"/>
    </w:rPr>
  </w:style>
  <w:style w:type="paragraph" w:styleId="Heading2">
    <w:name w:val="heading 2"/>
    <w:basedOn w:val="HeadingBase"/>
    <w:next w:val="BodyText"/>
    <w:link w:val="Heading2Char"/>
    <w:qFormat/>
    <w:rsid w:val="00F26947"/>
    <w:pPr>
      <w:keepLines/>
      <w:spacing w:before="240" w:after="120"/>
      <w:outlineLvl w:val="1"/>
    </w:pPr>
    <w:rPr>
      <w:sz w:val="28"/>
      <w:szCs w:val="40"/>
    </w:rPr>
  </w:style>
  <w:style w:type="paragraph" w:styleId="Heading3">
    <w:name w:val="heading 3"/>
    <w:basedOn w:val="HeadingBase"/>
    <w:next w:val="BodyText"/>
    <w:link w:val="Heading3Char"/>
    <w:qFormat/>
    <w:rsid w:val="00F26947"/>
    <w:pPr>
      <w:spacing w:before="180" w:after="120"/>
      <w:outlineLvl w:val="2"/>
    </w:pPr>
    <w:rPr>
      <w:spacing w:val="-10"/>
      <w:kern w:val="32"/>
    </w:rPr>
  </w:style>
  <w:style w:type="paragraph" w:styleId="Heading4">
    <w:name w:val="heading 4"/>
    <w:basedOn w:val="HeadingBase"/>
    <w:next w:val="BodyText"/>
    <w:link w:val="Heading4Char"/>
    <w:qFormat/>
    <w:rsid w:val="00F26947"/>
    <w:pPr>
      <w:spacing w:before="160" w:after="120"/>
      <w:outlineLvl w:val="3"/>
    </w:pPr>
    <w:rPr>
      <w:sz w:val="22"/>
    </w:rPr>
  </w:style>
  <w:style w:type="paragraph" w:styleId="Heading5">
    <w:name w:val="heading 5"/>
    <w:basedOn w:val="HeadingBase"/>
    <w:next w:val="Normal"/>
    <w:link w:val="Heading5Char"/>
    <w:qFormat/>
    <w:rsid w:val="00F26947"/>
    <w:pPr>
      <w:spacing w:before="80"/>
      <w:outlineLvl w:val="4"/>
    </w:pPr>
    <w:rPr>
      <w:color w:val="918585"/>
      <w:sz w:val="20"/>
    </w:rPr>
  </w:style>
  <w:style w:type="paragraph" w:styleId="Heading6">
    <w:name w:val="heading 6"/>
    <w:basedOn w:val="HeadingBase"/>
    <w:next w:val="Normal"/>
    <w:link w:val="Heading6Char"/>
    <w:qFormat/>
    <w:rsid w:val="00F26947"/>
    <w:pPr>
      <w:spacing w:before="60"/>
      <w:outlineLvl w:val="5"/>
    </w:pPr>
    <w:rPr>
      <w:color w:val="918585"/>
      <w:sz w:val="20"/>
    </w:rPr>
  </w:style>
  <w:style w:type="paragraph" w:styleId="Heading7">
    <w:name w:val="heading 7"/>
    <w:basedOn w:val="Normal"/>
    <w:next w:val="Normal"/>
    <w:link w:val="Heading7Char"/>
    <w:qFormat/>
    <w:rsid w:val="00F26947"/>
    <w:pPr>
      <w:ind w:left="720"/>
      <w:outlineLvl w:val="6"/>
    </w:pPr>
    <w:rPr>
      <w:i/>
    </w:rPr>
  </w:style>
  <w:style w:type="paragraph" w:styleId="Heading8">
    <w:name w:val="heading 8"/>
    <w:basedOn w:val="Normal"/>
    <w:next w:val="Normal"/>
    <w:link w:val="Heading8Char"/>
    <w:qFormat/>
    <w:rsid w:val="00F26947"/>
    <w:pPr>
      <w:ind w:left="720"/>
      <w:outlineLvl w:val="7"/>
    </w:pPr>
    <w:rPr>
      <w:i/>
    </w:rPr>
  </w:style>
  <w:style w:type="paragraph" w:styleId="Heading9">
    <w:name w:val="heading 9"/>
    <w:basedOn w:val="Normal"/>
    <w:next w:val="Normal"/>
    <w:link w:val="Heading9Char"/>
    <w:qFormat/>
    <w:rsid w:val="00F26947"/>
    <w:pPr>
      <w:ind w:left="720"/>
      <w:outlineLvl w:val="8"/>
    </w:pPr>
    <w:rPr>
      <w:i/>
    </w:rPr>
  </w:style>
  <w:style w:type="character" w:default="1" w:styleId="DefaultParagraphFont">
    <w:name w:val="Default Paragraph Font"/>
    <w:uiPriority w:val="1"/>
    <w:unhideWhenUsed/>
    <w:rsid w:val="00F26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947"/>
  </w:style>
  <w:style w:type="character" w:customStyle="1" w:styleId="Heading1Char">
    <w:name w:val="Heading 1 Char"/>
    <w:basedOn w:val="DefaultParagraphFont"/>
    <w:link w:val="Heading1"/>
    <w:rsid w:val="00F26947"/>
    <w:rPr>
      <w:rFonts w:ascii="Times New Roman" w:eastAsia="Times New Roman" w:hAnsi="Times New Roman" w:cs="Times New Roman"/>
      <w:b/>
      <w:sz w:val="32"/>
      <w:szCs w:val="20"/>
      <w:lang w:eastAsia="en-US"/>
    </w:rPr>
  </w:style>
  <w:style w:type="paragraph" w:styleId="BodyText">
    <w:name w:val="Body Text"/>
    <w:basedOn w:val="Normal"/>
    <w:link w:val="BodyTextChar"/>
    <w:rsid w:val="00F269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947"/>
    <w:rPr>
      <w:rFonts w:ascii="Times New Roman" w:eastAsia="Times New Roman" w:hAnsi="Times New Roman" w:cs="Times New Roman"/>
      <w:sz w:val="24"/>
      <w:lang w:eastAsia="en-US"/>
    </w:rPr>
  </w:style>
  <w:style w:type="paragraph" w:styleId="Footer">
    <w:name w:val="footer"/>
    <w:basedOn w:val="Normal"/>
    <w:link w:val="FooterChar"/>
    <w:rsid w:val="00F26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947"/>
    <w:rPr>
      <w:rFonts w:ascii="Times New Roman" w:eastAsia="Times New Roman" w:hAnsi="Times New Roman" w:cs="Times New Roman"/>
      <w:sz w:val="16"/>
      <w:lang w:eastAsia="en-US"/>
    </w:rPr>
  </w:style>
  <w:style w:type="paragraph" w:styleId="ListBullet">
    <w:name w:val="List Bullet"/>
    <w:basedOn w:val="List"/>
    <w:rsid w:val="00F26947"/>
    <w:pPr>
      <w:numPr>
        <w:numId w:val="13"/>
      </w:numPr>
      <w:tabs>
        <w:tab w:val="clear" w:pos="340"/>
      </w:tabs>
      <w:spacing w:before="40" w:after="40"/>
    </w:pPr>
  </w:style>
  <w:style w:type="character" w:customStyle="1" w:styleId="SpecialBold">
    <w:name w:val="Special Bold"/>
    <w:basedOn w:val="DefaultParagraphFont"/>
    <w:rsid w:val="00F26947"/>
    <w:rPr>
      <w:b/>
      <w:spacing w:val="0"/>
    </w:rPr>
  </w:style>
  <w:style w:type="paragraph" w:styleId="ListBullet2">
    <w:name w:val="List Bullet 2"/>
    <w:basedOn w:val="List2"/>
    <w:rsid w:val="00F26947"/>
    <w:pPr>
      <w:numPr>
        <w:numId w:val="14"/>
      </w:numPr>
      <w:tabs>
        <w:tab w:val="clear" w:pos="680"/>
      </w:tabs>
    </w:pPr>
  </w:style>
  <w:style w:type="paragraph" w:customStyle="1" w:styleId="SuperHeading">
    <w:name w:val="SuperHeading"/>
    <w:basedOn w:val="Normal"/>
    <w:rsid w:val="00F26947"/>
    <w:pPr>
      <w:spacing w:before="240" w:after="120"/>
      <w:outlineLvl w:val="0"/>
    </w:pPr>
    <w:rPr>
      <w:rFonts w:ascii="Times New Roman" w:hAnsi="Times New Roman"/>
      <w:b/>
      <w:sz w:val="28"/>
    </w:rPr>
  </w:style>
  <w:style w:type="paragraph" w:customStyle="1" w:styleId="AllowPageBreak">
    <w:name w:val="AllowPageBreak"/>
    <w:rsid w:val="00F269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947"/>
    <w:rPr>
      <w:rFonts w:ascii="Courier New" w:eastAsia="Times New Roman" w:hAnsi="Courier New" w:cs="Times New Roman"/>
      <w:i/>
      <w:szCs w:val="20"/>
      <w:lang w:eastAsia="en-US"/>
    </w:rPr>
  </w:style>
  <w:style w:type="paragraph" w:customStyle="1" w:styleId="HeadingBase">
    <w:name w:val="Heading Base"/>
    <w:rsid w:val="00F26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947"/>
    <w:pPr>
      <w:tabs>
        <w:tab w:val="right" w:leader="dot" w:pos="9072"/>
      </w:tabs>
      <w:ind w:left="567"/>
    </w:pPr>
    <w:rPr>
      <w:szCs w:val="22"/>
    </w:rPr>
  </w:style>
  <w:style w:type="paragraph" w:customStyle="1" w:styleId="TOCBase">
    <w:name w:val="TOC Base"/>
    <w:rsid w:val="00F26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947"/>
    <w:pPr>
      <w:tabs>
        <w:tab w:val="right" w:leader="dot" w:pos="9072"/>
      </w:tabs>
      <w:spacing w:before="40" w:after="40"/>
      <w:ind w:left="284"/>
    </w:pPr>
    <w:rPr>
      <w:rFonts w:ascii="Times New Roman" w:hAnsi="Times New Roman"/>
    </w:rPr>
  </w:style>
  <w:style w:type="paragraph" w:styleId="TOC1">
    <w:name w:val="toc 1"/>
    <w:basedOn w:val="TOCBase"/>
    <w:next w:val="Normal"/>
    <w:rsid w:val="00F269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947"/>
    <w:pPr>
      <w:spacing w:before="5040"/>
      <w:jc w:val="center"/>
    </w:pPr>
    <w:rPr>
      <w:sz w:val="48"/>
      <w:szCs w:val="72"/>
      <w:lang w:val="en-US"/>
    </w:rPr>
  </w:style>
  <w:style w:type="character" w:customStyle="1" w:styleId="TitleChar">
    <w:name w:val="Title Char"/>
    <w:basedOn w:val="DefaultParagraphFont"/>
    <w:link w:val="Title"/>
    <w:rsid w:val="00F26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947"/>
    <w:pPr>
      <w:tabs>
        <w:tab w:val="left" w:pos="3600"/>
        <w:tab w:val="left" w:pos="3958"/>
      </w:tabs>
    </w:pPr>
  </w:style>
  <w:style w:type="paragraph" w:styleId="List">
    <w:name w:val="List"/>
    <w:basedOn w:val="BodyText"/>
    <w:next w:val="BodyText"/>
    <w:rsid w:val="00F26947"/>
    <w:pPr>
      <w:tabs>
        <w:tab w:val="left" w:pos="340"/>
      </w:tabs>
      <w:spacing w:before="60" w:after="60"/>
      <w:ind w:left="340" w:hanging="340"/>
    </w:pPr>
  </w:style>
  <w:style w:type="paragraph" w:customStyle="1" w:styleId="Note">
    <w:name w:val="Note"/>
    <w:basedOn w:val="BodyText"/>
    <w:rsid w:val="00F269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947"/>
    <w:pPr>
      <w:framePr w:wrap="auto" w:hAnchor="text" w:y="6049"/>
    </w:pPr>
    <w:rPr>
      <w:color w:val="000000"/>
      <w:sz w:val="40"/>
    </w:rPr>
  </w:style>
  <w:style w:type="paragraph" w:customStyle="1" w:styleId="TOCTitle">
    <w:name w:val="TOCTitle"/>
    <w:basedOn w:val="Heading1"/>
    <w:rsid w:val="00F26947"/>
    <w:pPr>
      <w:spacing w:after="240"/>
      <w:jc w:val="center"/>
      <w:outlineLvl w:val="9"/>
    </w:pPr>
    <w:rPr>
      <w:caps/>
    </w:rPr>
  </w:style>
  <w:style w:type="paragraph" w:customStyle="1" w:styleId="Version">
    <w:name w:val="Version"/>
    <w:rsid w:val="00F26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947"/>
    <w:pPr>
      <w:keepNext w:val="0"/>
      <w:tabs>
        <w:tab w:val="right" w:pos="4176"/>
      </w:tabs>
      <w:ind w:left="198" w:hanging="198"/>
    </w:pPr>
    <w:rPr>
      <w:rFonts w:ascii="Garamond" w:hAnsi="Garamond"/>
    </w:rPr>
  </w:style>
  <w:style w:type="paragraph" w:styleId="IndexHeading">
    <w:name w:val="index heading"/>
    <w:basedOn w:val="Normal"/>
    <w:next w:val="Index1"/>
    <w:semiHidden/>
    <w:rsid w:val="00F26947"/>
    <w:pPr>
      <w:spacing w:before="120" w:after="120"/>
    </w:pPr>
    <w:rPr>
      <w:rFonts w:ascii="Arial" w:hAnsi="Arial"/>
      <w:b/>
      <w:color w:val="918585"/>
      <w:sz w:val="24"/>
    </w:rPr>
  </w:style>
  <w:style w:type="paragraph" w:styleId="Header">
    <w:name w:val="header"/>
    <w:basedOn w:val="Normal"/>
    <w:link w:val="HeaderChar"/>
    <w:rsid w:val="00F26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947"/>
    <w:rPr>
      <w:rFonts w:ascii="Times New Roman" w:eastAsia="Times New Roman" w:hAnsi="Times New Roman" w:cs="Times New Roman"/>
      <w:sz w:val="16"/>
      <w:szCs w:val="20"/>
      <w:lang w:val="en-GB" w:eastAsia="en-US"/>
    </w:rPr>
  </w:style>
  <w:style w:type="paragraph" w:customStyle="1" w:styleId="Chapter">
    <w:name w:val="Chapter"/>
    <w:basedOn w:val="Normal"/>
    <w:rsid w:val="00F26947"/>
    <w:pPr>
      <w:spacing w:before="240"/>
    </w:pPr>
    <w:rPr>
      <w:rFonts w:ascii="Times New Roman" w:hAnsi="Times New Roman"/>
      <w:smallCaps/>
      <w:spacing w:val="80"/>
      <w:sz w:val="28"/>
    </w:rPr>
  </w:style>
  <w:style w:type="paragraph" w:customStyle="1" w:styleId="InChapter">
    <w:name w:val="InChapter"/>
    <w:basedOn w:val="Heading3"/>
    <w:rsid w:val="00F26947"/>
    <w:pPr>
      <w:spacing w:after="240"/>
      <w:outlineLvl w:val="9"/>
    </w:pPr>
    <w:rPr>
      <w:noProof/>
    </w:rPr>
  </w:style>
  <w:style w:type="paragraph" w:styleId="Index2">
    <w:name w:val="index 2"/>
    <w:basedOn w:val="Normal"/>
    <w:next w:val="Normal"/>
    <w:semiHidden/>
    <w:rsid w:val="00F26947"/>
    <w:pPr>
      <w:tabs>
        <w:tab w:val="right" w:pos="4176"/>
      </w:tabs>
      <w:ind w:left="568" w:hanging="284"/>
    </w:pPr>
    <w:rPr>
      <w:rFonts w:ascii="Garamond" w:hAnsi="Garamond"/>
    </w:rPr>
  </w:style>
  <w:style w:type="paragraph" w:customStyle="1" w:styleId="Byline">
    <w:name w:val="Byline"/>
    <w:rsid w:val="00F26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947"/>
    <w:pPr>
      <w:tabs>
        <w:tab w:val="clear" w:pos="3600"/>
        <w:tab w:val="clear" w:pos="3958"/>
      </w:tabs>
      <w:jc w:val="right"/>
    </w:pPr>
  </w:style>
  <w:style w:type="character" w:styleId="Emphasis">
    <w:name w:val="Emphasis"/>
    <w:basedOn w:val="DefaultParagraphFont"/>
    <w:qFormat/>
    <w:rsid w:val="00F26947"/>
    <w:rPr>
      <w:i/>
    </w:rPr>
  </w:style>
  <w:style w:type="paragraph" w:styleId="Caption">
    <w:name w:val="caption"/>
    <w:basedOn w:val="BodyText"/>
    <w:next w:val="Normal"/>
    <w:qFormat/>
    <w:rsid w:val="00F26947"/>
    <w:pPr>
      <w:framePr w:w="2268" w:hSpace="181" w:vSpace="181" w:wrap="around" w:vAnchor="text" w:hAnchor="page" w:x="1135" w:y="285" w:anchorLock="1"/>
    </w:pPr>
    <w:rPr>
      <w:i/>
    </w:rPr>
  </w:style>
  <w:style w:type="paragraph" w:customStyle="1" w:styleId="MiniTOCTitle">
    <w:name w:val="MiniTOCTitle"/>
    <w:basedOn w:val="Heading4"/>
    <w:rsid w:val="00F26947"/>
    <w:pPr>
      <w:spacing w:before="240"/>
      <w:outlineLvl w:val="9"/>
    </w:pPr>
    <w:rPr>
      <w:noProof/>
      <w:sz w:val="24"/>
    </w:rPr>
  </w:style>
  <w:style w:type="paragraph" w:customStyle="1" w:styleId="MiniTOCItem">
    <w:name w:val="MiniTOCItem"/>
    <w:basedOn w:val="ListBullet"/>
    <w:rsid w:val="00F26947"/>
    <w:pPr>
      <w:numPr>
        <w:numId w:val="0"/>
      </w:numPr>
      <w:tabs>
        <w:tab w:val="right" w:leader="dot" w:pos="6521"/>
      </w:tabs>
      <w:spacing w:before="0" w:after="0"/>
    </w:pPr>
  </w:style>
  <w:style w:type="paragraph" w:customStyle="1" w:styleId="TOFTitle">
    <w:name w:val="TOFTitle"/>
    <w:basedOn w:val="TOCTitle"/>
    <w:rsid w:val="00F26947"/>
  </w:style>
  <w:style w:type="paragraph" w:styleId="TableofFigures">
    <w:name w:val="table of figures"/>
    <w:basedOn w:val="Normal"/>
    <w:next w:val="Normal"/>
    <w:semiHidden/>
    <w:rsid w:val="00F26947"/>
    <w:pPr>
      <w:tabs>
        <w:tab w:val="right" w:leader="dot" w:pos="9072"/>
      </w:tabs>
      <w:ind w:left="970" w:hanging="403"/>
    </w:pPr>
    <w:rPr>
      <w:rFonts w:ascii="Times New Roman" w:hAnsi="Times New Roman"/>
      <w:b/>
    </w:rPr>
  </w:style>
  <w:style w:type="paragraph" w:styleId="ListNumber">
    <w:name w:val="List Number"/>
    <w:basedOn w:val="List"/>
    <w:rsid w:val="00F26947"/>
    <w:pPr>
      <w:numPr>
        <w:numId w:val="11"/>
      </w:numPr>
    </w:pPr>
  </w:style>
  <w:style w:type="character" w:customStyle="1" w:styleId="WingdingSymbols">
    <w:name w:val="Wingding Symbols"/>
    <w:rsid w:val="00F26947"/>
    <w:rPr>
      <w:rFonts w:ascii="Wingdings" w:hAnsi="Wingdings"/>
    </w:rPr>
  </w:style>
  <w:style w:type="paragraph" w:customStyle="1" w:styleId="TableHeading">
    <w:name w:val="Table Heading"/>
    <w:basedOn w:val="HeadingBase"/>
    <w:rsid w:val="00F26947"/>
    <w:pPr>
      <w:keepLines/>
      <w:pBdr>
        <w:bottom w:val="single" w:sz="6" w:space="1" w:color="918585"/>
      </w:pBdr>
      <w:spacing w:before="240"/>
    </w:pPr>
  </w:style>
  <w:style w:type="character" w:customStyle="1" w:styleId="HotSpot">
    <w:name w:val="HotSpot"/>
    <w:rsid w:val="00F26947"/>
    <w:rPr>
      <w:color w:val="0033CC"/>
      <w:u w:val="none"/>
    </w:rPr>
  </w:style>
  <w:style w:type="paragraph" w:customStyle="1" w:styleId="BodyTextRight">
    <w:name w:val="Body Text Right"/>
    <w:basedOn w:val="BodyText"/>
    <w:rsid w:val="00F26947"/>
    <w:pPr>
      <w:spacing w:before="0" w:after="0"/>
      <w:jc w:val="right"/>
    </w:pPr>
  </w:style>
  <w:style w:type="paragraph" w:styleId="Index3">
    <w:name w:val="index 3"/>
    <w:basedOn w:val="ListNumber2"/>
    <w:next w:val="Normal"/>
    <w:semiHidden/>
    <w:rsid w:val="00F26947"/>
    <w:pPr>
      <w:numPr>
        <w:numId w:val="0"/>
      </w:numPr>
      <w:tabs>
        <w:tab w:val="right" w:leader="dot" w:pos="4176"/>
      </w:tabs>
    </w:pPr>
  </w:style>
  <w:style w:type="paragraph" w:styleId="ListNumber2">
    <w:name w:val="List Number 2"/>
    <w:basedOn w:val="List2"/>
    <w:rsid w:val="00F26947"/>
    <w:pPr>
      <w:numPr>
        <w:numId w:val="10"/>
      </w:numPr>
      <w:tabs>
        <w:tab w:val="clear" w:pos="1060"/>
      </w:tabs>
    </w:pPr>
  </w:style>
  <w:style w:type="paragraph" w:customStyle="1" w:styleId="MarginNote">
    <w:name w:val="Margin Note"/>
    <w:basedOn w:val="BodyText"/>
    <w:rsid w:val="00F26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947"/>
    <w:rPr>
      <w:sz w:val="32"/>
    </w:rPr>
  </w:style>
  <w:style w:type="paragraph" w:customStyle="1" w:styleId="HeadingProcedure">
    <w:name w:val="Heading Procedure"/>
    <w:basedOn w:val="HeadingBase"/>
    <w:next w:val="Normal"/>
    <w:rsid w:val="00F26947"/>
    <w:pPr>
      <w:tabs>
        <w:tab w:val="left" w:pos="0"/>
      </w:tabs>
      <w:spacing w:before="120" w:after="60"/>
    </w:pPr>
    <w:rPr>
      <w:i/>
      <w:color w:val="918585"/>
      <w:sz w:val="22"/>
    </w:rPr>
  </w:style>
  <w:style w:type="paragraph" w:customStyle="1" w:styleId="TableBodyText">
    <w:name w:val="Table Body Text"/>
    <w:basedOn w:val="BodyText"/>
    <w:rsid w:val="00F26947"/>
    <w:pPr>
      <w:spacing w:before="60" w:after="60"/>
    </w:pPr>
  </w:style>
  <w:style w:type="paragraph" w:styleId="ListContinue">
    <w:name w:val="List Continue"/>
    <w:basedOn w:val="List"/>
    <w:rsid w:val="00F26947"/>
    <w:pPr>
      <w:ind w:firstLine="0"/>
    </w:pPr>
  </w:style>
  <w:style w:type="paragraph" w:customStyle="1" w:styleId="ListNote">
    <w:name w:val="List Note"/>
    <w:basedOn w:val="List"/>
    <w:rsid w:val="00F26947"/>
    <w:pPr>
      <w:pBdr>
        <w:top w:val="single" w:sz="6" w:space="2" w:color="918585"/>
        <w:bottom w:val="single" w:sz="6" w:space="2" w:color="918585"/>
      </w:pBdr>
      <w:tabs>
        <w:tab w:val="left" w:pos="1021"/>
      </w:tabs>
      <w:ind w:firstLine="0"/>
    </w:pPr>
  </w:style>
  <w:style w:type="paragraph" w:customStyle="1" w:styleId="Warning">
    <w:name w:val="Warning"/>
    <w:basedOn w:val="BodyText"/>
    <w:rsid w:val="00F26947"/>
    <w:pPr>
      <w:shd w:val="clear" w:color="auto" w:fill="D9D9D9"/>
      <w:tabs>
        <w:tab w:val="left" w:pos="992"/>
      </w:tabs>
      <w:ind w:left="119" w:right="119"/>
    </w:pPr>
    <w:rPr>
      <w:sz w:val="20"/>
    </w:rPr>
  </w:style>
  <w:style w:type="paragraph" w:customStyle="1" w:styleId="MarginIcons">
    <w:name w:val="Margin Icons"/>
    <w:basedOn w:val="BodyText"/>
    <w:rsid w:val="00F26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947"/>
    <w:rPr>
      <w:rFonts w:ascii="Courier New" w:hAnsi="Courier New"/>
    </w:rPr>
  </w:style>
  <w:style w:type="paragraph" w:customStyle="1" w:styleId="NoteBullet">
    <w:name w:val="Note Bullet"/>
    <w:basedOn w:val="Note"/>
    <w:rsid w:val="00F26947"/>
    <w:pPr>
      <w:tabs>
        <w:tab w:val="clear" w:pos="680"/>
      </w:tabs>
      <w:spacing w:before="60" w:after="60"/>
    </w:pPr>
  </w:style>
  <w:style w:type="paragraph" w:customStyle="1" w:styleId="SubHeading2">
    <w:name w:val="SubHeading2"/>
    <w:basedOn w:val="HeadingBase"/>
    <w:rsid w:val="00F26947"/>
    <w:pPr>
      <w:spacing w:before="240" w:after="60"/>
    </w:pPr>
    <w:rPr>
      <w:sz w:val="20"/>
    </w:rPr>
  </w:style>
  <w:style w:type="paragraph" w:customStyle="1" w:styleId="SubHeading1">
    <w:name w:val="SubHeading1"/>
    <w:basedOn w:val="HeadingBase"/>
    <w:rsid w:val="00F26947"/>
    <w:pPr>
      <w:spacing w:before="240" w:after="60"/>
    </w:pPr>
    <w:rPr>
      <w:color w:val="918585"/>
      <w:sz w:val="22"/>
    </w:rPr>
  </w:style>
  <w:style w:type="paragraph" w:customStyle="1" w:styleId="SideHeading">
    <w:name w:val="Side Heading"/>
    <w:basedOn w:val="HeadingBase"/>
    <w:rsid w:val="00F26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947"/>
    <w:pPr>
      <w:numPr>
        <w:numId w:val="12"/>
      </w:numPr>
    </w:pPr>
  </w:style>
  <w:style w:type="paragraph" w:styleId="PlainText">
    <w:name w:val="Plain Text"/>
    <w:basedOn w:val="Normal"/>
    <w:link w:val="PlainTextChar"/>
    <w:rsid w:val="00F26947"/>
    <w:rPr>
      <w:sz w:val="20"/>
    </w:rPr>
  </w:style>
  <w:style w:type="character" w:customStyle="1" w:styleId="PlainTextChar">
    <w:name w:val="Plain Text Char"/>
    <w:basedOn w:val="DefaultParagraphFont"/>
    <w:link w:val="PlainText"/>
    <w:rsid w:val="00F26947"/>
    <w:rPr>
      <w:rFonts w:ascii="Courier New" w:eastAsia="Times New Roman" w:hAnsi="Courier New" w:cs="Times New Roman"/>
      <w:sz w:val="20"/>
      <w:szCs w:val="20"/>
      <w:lang w:eastAsia="en-US"/>
    </w:rPr>
  </w:style>
  <w:style w:type="character" w:customStyle="1" w:styleId="MenuOption">
    <w:name w:val="Menu Option"/>
    <w:basedOn w:val="DefaultParagraphFont"/>
    <w:rsid w:val="00F26947"/>
    <w:rPr>
      <w:b/>
      <w:smallCaps/>
    </w:rPr>
  </w:style>
  <w:style w:type="paragraph" w:customStyle="1" w:styleId="TableListNumber">
    <w:name w:val="Table List Number"/>
    <w:basedOn w:val="ListNumber"/>
    <w:rsid w:val="00F26947"/>
    <w:pPr>
      <w:numPr>
        <w:numId w:val="0"/>
      </w:numPr>
    </w:pPr>
  </w:style>
  <w:style w:type="paragraph" w:styleId="TOC4">
    <w:name w:val="toc 4"/>
    <w:basedOn w:val="TOCBase"/>
    <w:next w:val="Normal"/>
    <w:semiHidden/>
    <w:rsid w:val="00F26947"/>
    <w:pPr>
      <w:tabs>
        <w:tab w:val="right" w:leader="dot" w:pos="9071"/>
      </w:tabs>
      <w:ind w:left="1701"/>
    </w:pPr>
  </w:style>
  <w:style w:type="paragraph" w:customStyle="1" w:styleId="ListAlpha">
    <w:name w:val="List Alpha"/>
    <w:basedOn w:val="List"/>
    <w:rsid w:val="00F26947"/>
    <w:pPr>
      <w:numPr>
        <w:numId w:val="9"/>
      </w:numPr>
    </w:pPr>
  </w:style>
  <w:style w:type="paragraph" w:customStyle="1" w:styleId="ListAlpha2">
    <w:name w:val="List Alpha 2"/>
    <w:basedOn w:val="List2"/>
    <w:rsid w:val="00F26947"/>
    <w:pPr>
      <w:numPr>
        <w:numId w:val="8"/>
      </w:numPr>
    </w:pPr>
  </w:style>
  <w:style w:type="paragraph" w:styleId="List2">
    <w:name w:val="List 2"/>
    <w:basedOn w:val="BodyText"/>
    <w:rsid w:val="00F26947"/>
    <w:pPr>
      <w:tabs>
        <w:tab w:val="left" w:pos="680"/>
      </w:tabs>
      <w:spacing w:before="60" w:after="60"/>
      <w:ind w:left="680" w:hanging="340"/>
    </w:pPr>
  </w:style>
  <w:style w:type="paragraph" w:styleId="List3">
    <w:name w:val="List 3"/>
    <w:basedOn w:val="BodyText"/>
    <w:rsid w:val="00F26947"/>
    <w:pPr>
      <w:tabs>
        <w:tab w:val="left" w:pos="1021"/>
      </w:tabs>
      <w:spacing w:before="60" w:after="60"/>
      <w:ind w:left="1020" w:hanging="340"/>
    </w:pPr>
  </w:style>
  <w:style w:type="paragraph" w:styleId="List4">
    <w:name w:val="List 4"/>
    <w:basedOn w:val="BodyText"/>
    <w:rsid w:val="00F26947"/>
    <w:pPr>
      <w:tabs>
        <w:tab w:val="left" w:pos="1361"/>
      </w:tabs>
      <w:spacing w:before="60" w:after="60"/>
      <w:ind w:left="1361" w:hanging="340"/>
    </w:pPr>
  </w:style>
  <w:style w:type="paragraph" w:styleId="List5">
    <w:name w:val="List 5"/>
    <w:basedOn w:val="BodyText"/>
    <w:rsid w:val="00F26947"/>
    <w:pPr>
      <w:tabs>
        <w:tab w:val="left" w:pos="1701"/>
      </w:tabs>
      <w:spacing w:before="60" w:after="60"/>
      <w:ind w:left="1701" w:hanging="340"/>
    </w:pPr>
  </w:style>
  <w:style w:type="paragraph" w:styleId="ListBullet3">
    <w:name w:val="List Bullet 3"/>
    <w:basedOn w:val="List3"/>
    <w:rsid w:val="00F26947"/>
    <w:pPr>
      <w:numPr>
        <w:numId w:val="15"/>
      </w:numPr>
      <w:tabs>
        <w:tab w:val="clear" w:pos="1021"/>
      </w:tabs>
      <w:ind w:left="1037" w:hanging="357"/>
    </w:pPr>
  </w:style>
  <w:style w:type="paragraph" w:styleId="ListBullet4">
    <w:name w:val="List Bullet 4"/>
    <w:basedOn w:val="List4"/>
    <w:rsid w:val="00F26947"/>
    <w:pPr>
      <w:numPr>
        <w:numId w:val="3"/>
      </w:numPr>
    </w:pPr>
  </w:style>
  <w:style w:type="paragraph" w:styleId="ListBullet5">
    <w:name w:val="List Bullet 5"/>
    <w:basedOn w:val="List5"/>
    <w:rsid w:val="00F26947"/>
    <w:pPr>
      <w:numPr>
        <w:numId w:val="4"/>
      </w:numPr>
    </w:pPr>
  </w:style>
  <w:style w:type="paragraph" w:styleId="ListContinue2">
    <w:name w:val="List Continue 2"/>
    <w:basedOn w:val="List2"/>
    <w:rsid w:val="00F26947"/>
    <w:pPr>
      <w:ind w:firstLine="0"/>
    </w:pPr>
  </w:style>
  <w:style w:type="paragraph" w:styleId="ListContinue3">
    <w:name w:val="List Continue 3"/>
    <w:basedOn w:val="List3"/>
    <w:rsid w:val="00F26947"/>
    <w:pPr>
      <w:ind w:left="1021" w:firstLine="0"/>
    </w:pPr>
  </w:style>
  <w:style w:type="paragraph" w:styleId="ListContinue4">
    <w:name w:val="List Continue 4"/>
    <w:basedOn w:val="List4"/>
    <w:rsid w:val="00F26947"/>
    <w:pPr>
      <w:ind w:firstLine="0"/>
    </w:pPr>
  </w:style>
  <w:style w:type="paragraph" w:styleId="ListContinue5">
    <w:name w:val="List Continue 5"/>
    <w:basedOn w:val="List5"/>
    <w:rsid w:val="00F26947"/>
    <w:pPr>
      <w:ind w:firstLine="0"/>
    </w:pPr>
  </w:style>
  <w:style w:type="paragraph" w:styleId="ListNumber3">
    <w:name w:val="List Number 3"/>
    <w:basedOn w:val="List3"/>
    <w:rsid w:val="00F26947"/>
    <w:pPr>
      <w:numPr>
        <w:numId w:val="5"/>
      </w:numPr>
    </w:pPr>
  </w:style>
  <w:style w:type="paragraph" w:styleId="ListNumber4">
    <w:name w:val="List Number 4"/>
    <w:basedOn w:val="List4"/>
    <w:rsid w:val="00F26947"/>
    <w:pPr>
      <w:numPr>
        <w:numId w:val="6"/>
      </w:numPr>
    </w:pPr>
  </w:style>
  <w:style w:type="paragraph" w:styleId="ListNumber5">
    <w:name w:val="List Number 5"/>
    <w:basedOn w:val="List5"/>
    <w:rsid w:val="00F26947"/>
    <w:pPr>
      <w:numPr>
        <w:numId w:val="7"/>
      </w:numPr>
    </w:pPr>
  </w:style>
  <w:style w:type="paragraph" w:styleId="BlockText">
    <w:name w:val="Block Text"/>
    <w:basedOn w:val="Normal"/>
    <w:rsid w:val="00F26947"/>
    <w:pPr>
      <w:spacing w:after="120"/>
      <w:ind w:left="1440" w:right="1440"/>
    </w:pPr>
  </w:style>
  <w:style w:type="character" w:customStyle="1" w:styleId="Subscript">
    <w:name w:val="Subscript"/>
    <w:basedOn w:val="DefaultParagraphFont"/>
    <w:rsid w:val="00F26947"/>
    <w:rPr>
      <w:sz w:val="16"/>
      <w:vertAlign w:val="subscript"/>
    </w:rPr>
  </w:style>
  <w:style w:type="character" w:customStyle="1" w:styleId="Superscript">
    <w:name w:val="Superscript"/>
    <w:basedOn w:val="DefaultParagraphFont"/>
    <w:rsid w:val="00F26947"/>
    <w:rPr>
      <w:sz w:val="16"/>
      <w:vertAlign w:val="superscript"/>
    </w:rPr>
  </w:style>
  <w:style w:type="character" w:customStyle="1" w:styleId="Symbols">
    <w:name w:val="Symbols"/>
    <w:basedOn w:val="DefaultParagraphFont"/>
    <w:rsid w:val="00F26947"/>
    <w:rPr>
      <w:rFonts w:ascii="Symbol" w:hAnsi="Symbol"/>
    </w:rPr>
  </w:style>
  <w:style w:type="character" w:customStyle="1" w:styleId="MenuOptions">
    <w:name w:val="Menu Options"/>
    <w:basedOn w:val="DefaultParagraphFont"/>
    <w:rsid w:val="00F26947"/>
    <w:rPr>
      <w:rFonts w:ascii="Arial Narrow" w:hAnsi="Arial Narrow"/>
      <w:smallCaps/>
    </w:rPr>
  </w:style>
  <w:style w:type="character" w:customStyle="1" w:styleId="Buttons">
    <w:name w:val="Buttons"/>
    <w:basedOn w:val="DefaultParagraphFont"/>
    <w:rsid w:val="00F26947"/>
    <w:rPr>
      <w:b/>
    </w:rPr>
  </w:style>
  <w:style w:type="character" w:customStyle="1" w:styleId="Underlined">
    <w:name w:val="Underlined"/>
    <w:basedOn w:val="DefaultParagraphFont"/>
    <w:rsid w:val="00F26947"/>
    <w:rPr>
      <w:u w:val="single"/>
    </w:rPr>
  </w:style>
  <w:style w:type="paragraph" w:customStyle="1" w:styleId="TableBodyTextRight">
    <w:name w:val="Table Body Text Right"/>
    <w:basedOn w:val="TableBodyText"/>
    <w:rsid w:val="00F26947"/>
    <w:pPr>
      <w:widowControl w:val="0"/>
      <w:autoSpaceDE w:val="0"/>
      <w:autoSpaceDN w:val="0"/>
      <w:adjustRightInd w:val="0"/>
      <w:jc w:val="right"/>
    </w:pPr>
    <w:rPr>
      <w:rFonts w:cs="Arial"/>
      <w:szCs w:val="18"/>
    </w:rPr>
  </w:style>
  <w:style w:type="paragraph" w:customStyle="1" w:styleId="CopyrightText">
    <w:name w:val="Copyright Text"/>
    <w:basedOn w:val="BodyText"/>
    <w:rsid w:val="00F26947"/>
    <w:rPr>
      <w:sz w:val="18"/>
    </w:rPr>
  </w:style>
  <w:style w:type="paragraph" w:customStyle="1" w:styleId="BodySmallRight">
    <w:name w:val="Body Small Right"/>
    <w:basedOn w:val="BodyTextRight"/>
    <w:rsid w:val="00F26947"/>
    <w:rPr>
      <w:sz w:val="18"/>
      <w:szCs w:val="18"/>
    </w:rPr>
  </w:style>
  <w:style w:type="paragraph" w:customStyle="1" w:styleId="MarginEdition">
    <w:name w:val="Margin Edition"/>
    <w:basedOn w:val="MarginNote"/>
    <w:rsid w:val="00F26947"/>
    <w:pPr>
      <w:spacing w:before="0" w:after="0"/>
    </w:pPr>
    <w:rPr>
      <w:rFonts w:ascii="Times New Roman" w:hAnsi="Times New Roman"/>
      <w:color w:val="999999"/>
    </w:rPr>
  </w:style>
  <w:style w:type="paragraph" w:customStyle="1" w:styleId="Spacer">
    <w:name w:val="Spacer"/>
    <w:basedOn w:val="Normal"/>
    <w:rsid w:val="00F26947"/>
    <w:rPr>
      <w:sz w:val="2"/>
      <w:szCs w:val="2"/>
    </w:rPr>
  </w:style>
  <w:style w:type="character" w:customStyle="1" w:styleId="Small">
    <w:name w:val="Small"/>
    <w:basedOn w:val="DefaultParagraphFont"/>
    <w:rsid w:val="00F26947"/>
    <w:rPr>
      <w:sz w:val="16"/>
    </w:rPr>
  </w:style>
  <w:style w:type="paragraph" w:customStyle="1" w:styleId="WideTable">
    <w:name w:val="Wide Table"/>
    <w:basedOn w:val="Normal"/>
    <w:rsid w:val="00F26947"/>
    <w:pPr>
      <w:ind w:left="-1418"/>
    </w:pPr>
    <w:rPr>
      <w:sz w:val="2"/>
      <w:szCs w:val="2"/>
    </w:rPr>
  </w:style>
  <w:style w:type="character" w:styleId="PageNumber">
    <w:name w:val="page number"/>
    <w:basedOn w:val="DefaultParagraphFont"/>
    <w:rsid w:val="00F26947"/>
  </w:style>
  <w:style w:type="paragraph" w:styleId="Quote">
    <w:name w:val="Quote"/>
    <w:basedOn w:val="Heading1"/>
    <w:link w:val="QuoteChar"/>
    <w:qFormat/>
    <w:rsid w:val="00F26947"/>
    <w:rPr>
      <w:b w:val="0"/>
      <w:sz w:val="72"/>
      <w:szCs w:val="72"/>
      <w:lang w:val="en-NZ"/>
    </w:rPr>
  </w:style>
  <w:style w:type="character" w:customStyle="1" w:styleId="QuoteChar">
    <w:name w:val="Quote Char"/>
    <w:basedOn w:val="DefaultParagraphFont"/>
    <w:link w:val="Quote"/>
    <w:rsid w:val="00F26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947"/>
    <w:pPr>
      <w:pageBreakBefore/>
    </w:pPr>
  </w:style>
  <w:style w:type="paragraph" w:customStyle="1" w:styleId="Border">
    <w:name w:val="Border"/>
    <w:basedOn w:val="Normal"/>
    <w:qFormat/>
    <w:rsid w:val="00F26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947"/>
    <w:rPr>
      <w:b/>
      <w:bCs/>
      <w:i/>
      <w:iCs/>
      <w:color w:val="auto"/>
    </w:rPr>
  </w:style>
  <w:style w:type="paragraph" w:styleId="IntenseQuote">
    <w:name w:val="Intense Quote"/>
    <w:basedOn w:val="Normal"/>
    <w:next w:val="Normal"/>
    <w:link w:val="IntenseQuoteChar"/>
    <w:uiPriority w:val="30"/>
    <w:qFormat/>
    <w:rsid w:val="00F26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947"/>
    <w:rPr>
      <w:smallCaps/>
      <w:color w:val="auto"/>
      <w:u w:val="single"/>
    </w:rPr>
  </w:style>
  <w:style w:type="character" w:styleId="IntenseReference">
    <w:name w:val="Intense Reference"/>
    <w:basedOn w:val="DefaultParagraphFont"/>
    <w:uiPriority w:val="32"/>
    <w:qFormat/>
    <w:rsid w:val="00F26947"/>
    <w:rPr>
      <w:b/>
      <w:bCs/>
      <w:smallCaps/>
      <w:color w:val="auto"/>
      <w:spacing w:val="5"/>
      <w:u w:val="single"/>
    </w:rPr>
  </w:style>
  <w:style w:type="paragraph" w:customStyle="1" w:styleId="2ColumnHeading">
    <w:name w:val="2Column Heading"/>
    <w:basedOn w:val="BodyText"/>
    <w:qFormat/>
    <w:rsid w:val="00F26947"/>
    <w:pPr>
      <w:spacing w:after="60"/>
      <w:ind w:left="-2268"/>
    </w:pPr>
    <w:rPr>
      <w:b/>
    </w:rPr>
  </w:style>
  <w:style w:type="paragraph" w:customStyle="1" w:styleId="Heading1TOC">
    <w:name w:val="Heading1 TOC"/>
    <w:basedOn w:val="Normal"/>
    <w:qFormat/>
    <w:rsid w:val="00F26947"/>
    <w:pPr>
      <w:spacing w:before="240" w:after="120"/>
    </w:pPr>
    <w:rPr>
      <w:rFonts w:ascii="Times New Roman" w:hAnsi="Times New Roman"/>
      <w:b/>
      <w:sz w:val="32"/>
    </w:rPr>
  </w:style>
  <w:style w:type="paragraph" w:customStyle="1" w:styleId="Heading2TOC">
    <w:name w:val="Heading2 TOC"/>
    <w:basedOn w:val="Normal"/>
    <w:qFormat/>
    <w:rsid w:val="00F26947"/>
    <w:pPr>
      <w:spacing w:before="240" w:after="60"/>
    </w:pPr>
    <w:rPr>
      <w:rFonts w:ascii="Times New Roman" w:hAnsi="Times New Roman"/>
      <w:b/>
      <w:sz w:val="28"/>
    </w:rPr>
  </w:style>
  <w:style w:type="character" w:customStyle="1" w:styleId="Underline">
    <w:name w:val="Underline"/>
    <w:basedOn w:val="DefaultParagraphFont"/>
    <w:qFormat/>
    <w:rsid w:val="00F26947"/>
    <w:rPr>
      <w:u w:val="single"/>
    </w:rPr>
  </w:style>
  <w:style w:type="character" w:customStyle="1" w:styleId="BoldandItalics">
    <w:name w:val="Bold and Italics"/>
    <w:qFormat/>
    <w:rsid w:val="00F26947"/>
    <w:rPr>
      <w:b/>
      <w:i/>
      <w:u w:val="none"/>
    </w:rPr>
  </w:style>
  <w:style w:type="paragraph" w:styleId="BalloonText">
    <w:name w:val="Balloon Text"/>
    <w:basedOn w:val="Normal"/>
    <w:link w:val="BalloonTextChar"/>
    <w:rsid w:val="00F26947"/>
    <w:rPr>
      <w:rFonts w:ascii="Tahoma" w:hAnsi="Tahoma" w:cs="Tahoma"/>
      <w:sz w:val="16"/>
      <w:szCs w:val="16"/>
    </w:rPr>
  </w:style>
  <w:style w:type="character" w:customStyle="1" w:styleId="BalloonTextChar">
    <w:name w:val="Balloon Text Char"/>
    <w:basedOn w:val="DefaultParagraphFont"/>
    <w:link w:val="BalloonText"/>
    <w:rsid w:val="00F26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9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947"/>
    <w:rPr>
      <w:b/>
      <w:color w:val="660033"/>
      <w:spacing w:val="0"/>
    </w:rPr>
  </w:style>
  <w:style w:type="paragraph" w:customStyle="1" w:styleId="Nameditemlist">
    <w:name w:val="Named item list"/>
    <w:basedOn w:val="BodyText"/>
    <w:qFormat/>
    <w:rsid w:val="00F269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2497</Words>
  <Characters>14890</Characters>
  <Application>Microsoft Office Word</Application>
  <DocSecurity>0</DocSecurity>
  <Lines>719</Lines>
  <Paragraphs>283</Paragraphs>
  <ScaleCrop>false</ScaleCrop>
  <Company>Author-it Software Corporation Ltd.</Company>
  <LinksUpToDate>false</LinksUpToDate>
  <CharactersWithSpaces>17139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UEGNSG609A Coordinate repair of faults in gas processing/storage facilities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2012-10-10T07:27:00Z</dcterms:created>
  <dcterms:modified xsi:type="dcterms:W3CDTF">2012-10-10T07:27:00Z</dcterms:modified>
</cp:coreProperties>
</file>