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6D6" w:rsidP="003D06D6">
      <w:pPr>
        <w:pStyle w:val="Title"/>
      </w:pPr>
      <w:bookmarkStart w:id="0" w:name="_GoBack"/>
      <w:bookmarkEnd w:id="0"/>
      <w:r>
        <w:fldChar w:fldCharType="begin"/>
      </w:r>
      <w:r>
        <w:instrText xml:space="preserve"> TITLE   \* MERGEFORMAT </w:instrText>
      </w:r>
      <w:r>
        <w:fldChar w:fldCharType="separate"/>
      </w:r>
      <w:r>
        <w:t>UEGNSG608A Perform minor maintenance on gas processing/storage facilities and equipment</w:t>
      </w:r>
      <w:r>
        <w:fldChar w:fldCharType="end"/>
      </w:r>
    </w:p>
    <w:p w:rsidR="003D06D6" w:rsidP="003D06D6">
      <w:pPr>
        <w:pStyle w:val="Version"/>
        <w:sectPr w:rsidSect="001375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55D" w:rsidP="0013755D">
      <w:pPr>
        <w:pStyle w:val="SuperHeading"/>
      </w:pPr>
      <w:r w:rsidRPr="0013755D">
        <w:t>UEGNSG608A Perform minor maintenance on gas processing/storage facilities and equipment</w:t>
      </w:r>
    </w:p>
    <w:p w:rsidR="00000000" w:rsidRPr="0013755D" w:rsidP="0013755D">
      <w:pPr>
        <w:pStyle w:val="Heading1"/>
      </w:pPr>
      <w:bookmarkStart w:id="1" w:name="O_275141"/>
      <w:bookmarkEnd w:id="1"/>
      <w:r w:rsidRPr="0013755D">
        <w:t>Modification History</w:t>
      </w:r>
    </w:p>
    <w:p w:rsidR="00000000" w:rsidRPr="0013755D" w:rsidP="0013755D">
      <w:pPr>
        <w:pStyle w:val="BodyText"/>
      </w:pPr>
      <w:r w:rsidRPr="0013755D">
        <w:t>Not Applicable</w:t>
      </w:r>
    </w:p>
    <w:p w:rsidR="00000000" w:rsidRPr="0013755D" w:rsidP="0013755D">
      <w:pPr>
        <w:pStyle w:val="AllowPageBreak"/>
      </w:pPr>
    </w:p>
    <w:p w:rsidR="00000000" w:rsidRPr="0013755D" w:rsidP="0013755D">
      <w:pPr>
        <w:pStyle w:val="Heading1"/>
      </w:pPr>
      <w:bookmarkStart w:id="2" w:name="O_229667"/>
      <w:bookmarkEnd w:id="2"/>
      <w:r w:rsidRPr="0013755D">
        <w:t>Unit Descriptor</w:t>
      </w:r>
    </w:p>
    <w:tbl>
      <w:tblPr>
        <w:tblW w:w="0" w:type="auto"/>
        <w:tblLayout w:type="fixed"/>
        <w:tblCellMar>
          <w:left w:w="62" w:type="dxa"/>
          <w:right w:w="62" w:type="dxa"/>
        </w:tblCellMar>
        <w:tblLook w:val="0000"/>
      </w:tblPr>
      <w:tblGrid>
        <w:gridCol w:w="2700"/>
        <w:gridCol w:w="5760"/>
      </w:tblGrid>
      <w:tr w:rsidTr="003D06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rPr>
                <w:rStyle w:val="SpecialBold"/>
              </w:rPr>
              <w:t>1</w:t>
            </w:r>
            <w:r w:rsidRPr="0013755D">
              <w:t xml:space="preserve">) </w:t>
            </w:r>
          </w:p>
        </w:tc>
      </w:tr>
      <w:tr w:rsidTr="003D06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t>This Competency Standard Unit covers the performing of minor maintenance on liquefied petroleum gas processing facilities and equipment. The competency standard also refers to pressure vessels and fittings; types of variations or irregularities; appropriat</w:t>
            </w:r>
            <w:r w:rsidRPr="0013755D">
              <w:t>e parts; types of adjustments; relevant documentation.</w:t>
            </w:r>
          </w:p>
        </w:tc>
      </w:tr>
    </w:tbl>
    <w:p w:rsidR="003D06D6" w:rsidP="0013755D">
      <w:pPr>
        <w:pStyle w:val="BodyText"/>
      </w:pPr>
    </w:p>
    <w:p w:rsidR="003D06D6" w:rsidP="0013755D">
      <w:pPr>
        <w:pStyle w:val="BodyText"/>
      </w:pPr>
    </w:p>
    <w:p w:rsidR="00000000" w:rsidRPr="0013755D" w:rsidP="0013755D">
      <w:pPr>
        <w:pStyle w:val="Heading1"/>
      </w:pPr>
      <w:bookmarkStart w:id="3" w:name="O_229670"/>
      <w:bookmarkEnd w:id="3"/>
      <w:r w:rsidRPr="0013755D">
        <w:t>Application of the Unit</w:t>
      </w:r>
    </w:p>
    <w:tbl>
      <w:tblPr>
        <w:tblW w:w="0" w:type="auto"/>
        <w:tblLayout w:type="fixed"/>
        <w:tblCellMar>
          <w:left w:w="62" w:type="dxa"/>
          <w:right w:w="62" w:type="dxa"/>
        </w:tblCellMar>
        <w:tblLook w:val="0000"/>
      </w:tblPr>
      <w:tblGrid>
        <w:gridCol w:w="2700"/>
        <w:gridCol w:w="5760"/>
      </w:tblGrid>
      <w:tr w:rsidTr="003D06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rPr>
                <w:rStyle w:val="SpecialBold"/>
              </w:rPr>
              <w:t>3</w:t>
            </w:r>
            <w:r w:rsidRPr="0013755D">
              <w:t>)</w:t>
            </w:r>
          </w:p>
        </w:tc>
      </w:tr>
      <w:tr w:rsidTr="003D06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t>This competency standard shall apply to any basic and safe work site where Gas Industry operations occur. It could also apply, w</w:t>
            </w:r>
            <w:r w:rsidRPr="0013755D">
              <w:t xml:space="preserve">here applicable to other workplaces in the electricity supply industry (transmission and distribution and generation), the electrotechnology industry and the water industry, subject to all Occupational Health and Safety and duty of care requirements being </w:t>
            </w:r>
            <w:r w:rsidRPr="0013755D">
              <w:t>met for the workplace.</w:t>
            </w:r>
          </w:p>
        </w:tc>
      </w:tr>
    </w:tbl>
    <w:p w:rsidR="003D06D6" w:rsidP="0013755D">
      <w:pPr>
        <w:pStyle w:val="BodyText"/>
      </w:pPr>
    </w:p>
    <w:p w:rsidR="003D06D6" w:rsidP="0013755D">
      <w:pPr>
        <w:pStyle w:val="BodyText"/>
      </w:pPr>
    </w:p>
    <w:p w:rsidR="00000000" w:rsidRPr="0013755D" w:rsidP="0013755D">
      <w:pPr>
        <w:pStyle w:val="Heading1"/>
      </w:pPr>
      <w:bookmarkStart w:id="4" w:name="O_229671"/>
      <w:bookmarkEnd w:id="4"/>
      <w:r w:rsidRPr="0013755D">
        <w:t>Licensing/Regulatory Information</w:t>
      </w:r>
    </w:p>
    <w:tbl>
      <w:tblPr>
        <w:tblW w:w="0" w:type="auto"/>
        <w:tblLayout w:type="fixed"/>
        <w:tblCellMar>
          <w:left w:w="62" w:type="dxa"/>
          <w:right w:w="62" w:type="dxa"/>
        </w:tblCellMar>
        <w:tblLook w:val="0000"/>
      </w:tblPr>
      <w:tblGrid>
        <w:gridCol w:w="2700"/>
        <w:gridCol w:w="5760"/>
      </w:tblGrid>
      <w:tr w:rsidTr="003D06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rPr>
                <w:rStyle w:val="SpecialBold"/>
              </w:rPr>
              <w:t>3</w:t>
            </w:r>
            <w:r w:rsidRPr="0013755D">
              <w:t>.</w:t>
            </w:r>
            <w:r w:rsidRPr="0013755D">
              <w:rPr>
                <w:rStyle w:val="SpecialBold"/>
              </w:rPr>
              <w:t>1</w:t>
            </w:r>
            <w:r w:rsidRPr="0013755D">
              <w:t>)</w:t>
            </w:r>
          </w:p>
        </w:tc>
      </w:tr>
      <w:tr w:rsidTr="003D06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t xml:space="preserve">The skills and knowledge described in this unit are not subject to licence regulation other than those directly related to Occupational Health </w:t>
            </w:r>
            <w:r w:rsidRPr="0013755D">
              <w:t xml:space="preserve">and Safety, gas/electricity/water industry safety and compliance, industrial relations, environmental protection, telecommunications, anti discrimination and training. </w:t>
            </w:r>
            <w:r w:rsidRPr="0013755D">
              <w:t xml:space="preserve">Commonwealth, State/Territory or Local Government legislation and regulations may exist </w:t>
            </w:r>
            <w:r w:rsidRPr="0013755D">
              <w:t>that limits the age of operating certain equipment.</w:t>
            </w:r>
          </w:p>
        </w:tc>
      </w:tr>
    </w:tbl>
    <w:p w:rsidR="003D06D6" w:rsidP="0013755D">
      <w:pPr>
        <w:pStyle w:val="BodyText"/>
      </w:pPr>
    </w:p>
    <w:p w:rsidR="003D06D6" w:rsidP="0013755D">
      <w:pPr>
        <w:pStyle w:val="BodyText"/>
      </w:pPr>
    </w:p>
    <w:p w:rsidR="00000000" w:rsidRPr="0013755D" w:rsidP="0013755D">
      <w:pPr>
        <w:pStyle w:val="Heading1"/>
      </w:pPr>
      <w:bookmarkStart w:id="5" w:name="O_229668"/>
      <w:bookmarkEnd w:id="5"/>
      <w:r w:rsidRPr="0013755D">
        <w:t>Pre-Requisites</w:t>
      </w:r>
    </w:p>
    <w:tbl>
      <w:tblPr>
        <w:tblW w:w="0" w:type="auto"/>
        <w:tblLayout w:type="fixed"/>
        <w:tblCellMar>
          <w:left w:w="62" w:type="dxa"/>
          <w:right w:w="62" w:type="dxa"/>
        </w:tblCellMar>
        <w:tblLook w:val="0000"/>
      </w:tblPr>
      <w:tblGrid>
        <w:gridCol w:w="2700"/>
        <w:gridCol w:w="1800"/>
        <w:gridCol w:w="3960"/>
      </w:tblGrid>
      <w:tr w:rsidTr="003D06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Prerequisite Unit</w:t>
            </w:r>
            <w:r w:rsidRPr="0013755D">
              <w:t>(</w:t>
            </w:r>
            <w:r w:rsidRPr="0013755D">
              <w:rPr>
                <w:rStyle w:val="SpecialBold"/>
              </w:rPr>
              <w:t>s</w:t>
            </w:r>
            <w:r w:rsidRPr="0013755D">
              <w:t>)</w:t>
            </w:r>
          </w:p>
        </w:tc>
        <w:tc>
          <w:tcPr>
            <w:tcW w:w="5760" w:type="dxa"/>
            <w:gridSpan w:val="2"/>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rPr>
                <w:rStyle w:val="SpecialBold"/>
              </w:rPr>
              <w:t>2</w:t>
            </w:r>
            <w:r w:rsidRPr="0013755D">
              <w:t xml:space="preserve">) </w:t>
            </w:r>
          </w:p>
        </w:tc>
      </w:tr>
      <w:tr w:rsidTr="003D06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rPr>
                <w:rStyle w:val="SpecialBold"/>
              </w:rPr>
              <w:t>2</w:t>
            </w:r>
            <w:r w:rsidRPr="0013755D">
              <w:t>.</w:t>
            </w:r>
            <w:r w:rsidRPr="0013755D">
              <w:rPr>
                <w:rStyle w:val="SpecialBold"/>
              </w:rPr>
              <w:t>1</w:t>
            </w:r>
            <w:r w:rsidRPr="0013755D">
              <w:t xml:space="preserve">) </w:t>
            </w:r>
          </w:p>
        </w:tc>
      </w:tr>
      <w:tr w:rsidTr="003D06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Granting of competency in this unit shall be made only after competency in the following unit(s) has/have bee</w:t>
            </w:r>
            <w:r w:rsidRPr="0013755D">
              <w:t>n confirmed:</w:t>
            </w:r>
          </w:p>
        </w:tc>
      </w:tr>
      <w:tr w:rsidTr="003D06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Nil</w:t>
            </w:r>
          </w:p>
        </w:tc>
        <w:tc>
          <w:tcPr>
            <w:tcW w:w="3960" w:type="dxa"/>
            <w:tcBorders>
              <w:top w:val="nil"/>
              <w:left w:val="nil"/>
              <w:bottom w:val="nil"/>
              <w:right w:val="nil"/>
            </w:tcBorders>
            <w:tcMar>
              <w:top w:w="0" w:type="dxa"/>
              <w:left w:w="62" w:type="dxa"/>
              <w:bottom w:w="0" w:type="dxa"/>
              <w:right w:w="62" w:type="dxa"/>
            </w:tcMar>
          </w:tcPr>
          <w:p w:rsidR="00000000" w:rsidRPr="0013755D" w:rsidP="0013755D">
            <w:pPr>
              <w:pStyle w:val="BodyText"/>
            </w:pPr>
          </w:p>
        </w:tc>
      </w:tr>
    </w:tbl>
    <w:p w:rsidR="003D06D6" w:rsidP="0013755D">
      <w:pPr>
        <w:pStyle w:val="BodyText"/>
      </w:pPr>
    </w:p>
    <w:p w:rsidR="003D06D6" w:rsidP="0013755D">
      <w:pPr>
        <w:pStyle w:val="BodyText"/>
      </w:pPr>
    </w:p>
    <w:p w:rsidR="00000000" w:rsidRPr="0013755D" w:rsidP="0013755D">
      <w:pPr>
        <w:pStyle w:val="Heading1"/>
      </w:pPr>
      <w:bookmarkStart w:id="6" w:name="O_285390"/>
      <w:bookmarkEnd w:id="6"/>
      <w:r w:rsidRPr="0013755D">
        <w:t>Employability Skills Information</w:t>
      </w:r>
    </w:p>
    <w:p w:rsidR="00000000" w:rsidRPr="0013755D" w:rsidP="0013755D">
      <w:pPr>
        <w:pStyle w:val="BodyText"/>
      </w:pPr>
      <w:r w:rsidRPr="0013755D">
        <w:t>Refer to the Evidence Guide</w:t>
      </w:r>
    </w:p>
    <w:p w:rsidR="00000000" w:rsidRPr="0013755D" w:rsidP="0013755D">
      <w:pPr>
        <w:pStyle w:val="AllowPageBreak"/>
      </w:pPr>
    </w:p>
    <w:p w:rsidR="00000000" w:rsidRPr="0013755D" w:rsidP="0013755D">
      <w:pPr>
        <w:pStyle w:val="Heading1"/>
      </w:pPr>
      <w:bookmarkStart w:id="7" w:name="O_293187"/>
      <w:bookmarkEnd w:id="7"/>
      <w:r w:rsidRPr="0013755D">
        <w:t>Elements and Performance Criteria Pre-Content</w:t>
      </w:r>
    </w:p>
    <w:tbl>
      <w:tblPr>
        <w:tblW w:w="0" w:type="auto"/>
        <w:tblLayout w:type="fixed"/>
        <w:tblCellMar>
          <w:left w:w="62" w:type="dxa"/>
          <w:right w:w="62" w:type="dxa"/>
        </w:tblCellMar>
        <w:tblLook w:val="0000"/>
      </w:tblPr>
      <w:tblGrid>
        <w:gridCol w:w="2700"/>
        <w:gridCol w:w="5760"/>
      </w:tblGrid>
      <w:tr w:rsidTr="003D06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rPr>
                <w:rStyle w:val="SpecialBold"/>
              </w:rPr>
              <w:t>5</w:t>
            </w:r>
            <w:r w:rsidRPr="0013755D">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t>Performance Criteria describe the required performance needed to demonstrate achievement of the element. Assessment of performance is to be consistent with the Evidence Guide.</w:t>
            </w:r>
          </w:p>
        </w:tc>
      </w:tr>
    </w:tbl>
    <w:p w:rsidR="00000000" w:rsidRPr="0013755D" w:rsidP="0013755D">
      <w:pPr>
        <w:pStyle w:val="BodyText"/>
      </w:pPr>
    </w:p>
    <w:p w:rsidR="00000000" w:rsidRPr="0013755D" w:rsidP="0013755D">
      <w:pPr>
        <w:pStyle w:val="AllowPageBreak"/>
      </w:pPr>
    </w:p>
    <w:p w:rsidR="00000000" w:rsidRPr="0013755D" w:rsidP="0013755D">
      <w:pPr>
        <w:pStyle w:val="Heading1"/>
      </w:pPr>
      <w:bookmarkStart w:id="8" w:name="O_239855"/>
      <w:bookmarkEnd w:id="8"/>
      <w:r w:rsidRPr="0013755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D06D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rPr>
                <w:rStyle w:val="SpecialBold"/>
              </w:rPr>
              <w:t>PERFORMANCE CRITERIA</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1</w:t>
            </w:r>
          </w:p>
        </w:tc>
        <w:tc>
          <w:tcPr>
            <w:tcW w:w="2296" w:type="dxa"/>
            <w:vMerge w:val="restart"/>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Prepare and plan for maintenance activities</w:t>
            </w: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1.1</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All necessary and appropriate facilities, tools, test and measurement instruments, materials and components to allow the completion of the work are selected against the work schedule(</w:t>
            </w:r>
            <w:r w:rsidRPr="0013755D">
              <w:t xml:space="preserve">s), including drawings, plans, requirements and established procedures </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1.2</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Relevant requirements and established procedures for the work are communicated to all persons and identified for all work sites</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1.3</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 xml:space="preserve">OHS, environmental and sustainable energy policies and procedures related to performing minor maintenance on gas processing and storage facilities and equipment are obtained and confirmed </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1.4</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Work is prioritised and sequenced following consultation wit</w:t>
            </w:r>
            <w:r w:rsidRPr="0013755D">
              <w:t>h others for completion within acceptable timeframes and in accordance with established procedures</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1.5</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Risk control measures for identified hazards are prioritised, implemented and monitored against the work schedule</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1.6</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 xml:space="preserve">The facilities and equipment is made safe by ensuring it is safely isolated, depressurised, purged, tagged and locked out before allowing any repair or maintenance work to be undertaken and the relevant work permits are obtained to access and perform work </w:t>
            </w:r>
            <w:r w:rsidRPr="0013755D">
              <w:t>according to requirements and established procedures</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1.7</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Resources including appropriately licensed persons, equipment, tools and personal protective equipment required for the job are identified, scheduled and obtained and confirmed in working order</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1.8</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Relevant persons at worksite are confirmed to be current in First Aid and other related work procedures according to requirements</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1.9</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 xml:space="preserve">Liaison and communication with authorised persons, authorities, clients and land owners is completed so that work </w:t>
            </w:r>
            <w:r w:rsidRPr="0013755D">
              <w:t>can be carried out where necessary</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1.10</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Site is prepared according to the work schedule and to minimise risk and damage to property, commerce and individuals in accordance with established procedures</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1.11</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 xml:space="preserve">Persons participating in the work, including plant operators and contractors are fully briefed and respective responsibilities confirmed where applicable in accordance with established procedures </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1.12</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 xml:space="preserve">Fault-finding and troubleshooting techniques are applied to operational systems in order to identify any repairs or maintenance which may need to be undertaken </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1.13</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Road signs, barriers and warning devices are positioned in accordance with requirements</w:t>
            </w:r>
            <w:r w:rsidRPr="0013755D">
              <w:t xml:space="preserve"> including traffic management plans</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2</w:t>
            </w:r>
          </w:p>
        </w:tc>
        <w:tc>
          <w:tcPr>
            <w:tcW w:w="2296" w:type="dxa"/>
            <w:vMerge w:val="restart"/>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t>Perform minor maintenance on gas processing/storage facilities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2.1</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OHS policies and procedures and safe work practices are followed to eliminate or minimise incidents and hazards</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2.2</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Lifting, climbing, working in confined spaces or aloft, and use of power tools, techniques and practices are safely followed and currency according to requirements confirmed</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2.3</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Apply Essential Knowledge and Associated Skills for the performing of minor</w:t>
            </w:r>
            <w:r w:rsidRPr="0013755D">
              <w:t xml:space="preserve"> maintenance on gas processing and storage facilities and equipment to ensure completion in an agreed timeframe and to quality standards with a minimum of waste according to requirements</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2.4</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 xml:space="preserve">Adjustments to calibration and test equipment and devices are </w:t>
            </w:r>
            <w:r w:rsidRPr="0013755D">
              <w:t xml:space="preserve">made to ensure equipment and devices operate within specific ranges and to maintain correct flow parameters to ensure gas availability </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2.5</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Hazard warnings and safety signs are recognised and hazards and assessed OHS risks are reported to the immediate authorised persons for directions according to established procedures</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2.6</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Unplanned events in performing minor maintenance on gas processing</w:t>
            </w:r>
            <w:r w:rsidRPr="0013755D">
              <w:t xml:space="preserve">/storage facilities and equipment are undertaken with the scope of established procedures </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2.7</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Parts are replaced and known solutions to a variety of problems are applied using Essential Knowledge and Associated Skills</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2.8</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Maintenance is performed and ongoing checks of quality of the work are undertaken in accordance with given instructions and established procedures</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3</w:t>
            </w:r>
          </w:p>
        </w:tc>
        <w:tc>
          <w:tcPr>
            <w:tcW w:w="2296"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Record and report results</w:t>
            </w: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3.1</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Maintenance results are documented and work undertaken is checked against wo</w:t>
            </w:r>
            <w:r w:rsidRPr="0013755D">
              <w:t>rk schedules for conformance with requirements and anomalies reported in accordance with established procedures</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3.2</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Accidents and injuries are reported in accordance with requirements and established procedures where applicable</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3.3</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Work site is rehab</w:t>
            </w:r>
            <w:r w:rsidRPr="0013755D">
              <w:t>ilitated, cleaned up and made safe in accordance with given instructions and established procedures</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3.4</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 xml:space="preserve">Tools, equipment and any surplus resources and materials are, where appropriate, cleaned, checked and returned to storage in accordance with </w:t>
            </w:r>
            <w:r w:rsidRPr="0013755D">
              <w:t>established procedures</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3.5</w:t>
            </w:r>
          </w:p>
        </w:tc>
        <w:tc>
          <w:tcPr>
            <w:tcW w:w="48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Relevant work permit(s) are signed off and equipment is returned to service in accordance with requirements</w:t>
            </w:r>
          </w:p>
        </w:tc>
      </w:tr>
      <w:tr w:rsidTr="003D06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3.6</w:t>
            </w:r>
          </w:p>
        </w:tc>
        <w:tc>
          <w:tcPr>
            <w:tcW w:w="4860" w:type="dxa"/>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t>Work completion records, reports and information are finalised and processed and appropriate persons notified</w:t>
            </w:r>
          </w:p>
        </w:tc>
      </w:tr>
    </w:tbl>
    <w:p w:rsidR="003D06D6" w:rsidP="0013755D">
      <w:pPr>
        <w:pStyle w:val="BodyText"/>
      </w:pPr>
    </w:p>
    <w:p w:rsidR="003D06D6" w:rsidP="0013755D">
      <w:pPr>
        <w:pStyle w:val="BodyText"/>
      </w:pPr>
    </w:p>
    <w:p w:rsidR="00000000" w:rsidRPr="0013755D" w:rsidP="0013755D">
      <w:pPr>
        <w:pStyle w:val="Heading1"/>
      </w:pPr>
      <w:bookmarkStart w:id="9" w:name="O_263646"/>
      <w:bookmarkEnd w:id="9"/>
      <w:r w:rsidRPr="0013755D">
        <w:t>Required Skills and Knowledge</w:t>
      </w:r>
    </w:p>
    <w:tbl>
      <w:tblPr>
        <w:tblW w:w="0" w:type="auto"/>
        <w:tblLayout w:type="fixed"/>
        <w:tblCellMar>
          <w:left w:w="62" w:type="dxa"/>
          <w:right w:w="62" w:type="dxa"/>
        </w:tblCellMar>
        <w:tblLook w:val="0000"/>
      </w:tblPr>
      <w:tblGrid>
        <w:gridCol w:w="2700"/>
        <w:gridCol w:w="1080"/>
        <w:gridCol w:w="4680"/>
      </w:tblGrid>
      <w:tr w:rsidTr="003D06D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rPr>
                <w:rStyle w:val="SpecialBold"/>
              </w:rPr>
              <w:t>REQUIRED SKILLS AND KNOWLEDGE</w:t>
            </w:r>
          </w:p>
        </w:tc>
      </w:tr>
      <w:tr w:rsidTr="003D06D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rPr>
                <w:rStyle w:val="SpecialBold"/>
              </w:rPr>
              <w:t>6</w:t>
            </w:r>
            <w:r w:rsidRPr="0013755D">
              <w:t>) This describes the essential skills and knowledge and their level, required for this unit.</w:t>
            </w:r>
          </w:p>
        </w:tc>
      </w:tr>
      <w:tr w:rsidTr="003D06D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Evidence shall show that knowledge has been acquired of safe working practices for to performing minor maintenance on gas processing/storage facilities and equipment. The extent of the essential knowledge and associated skills (EKAS) required is given in V</w:t>
            </w:r>
            <w:r w:rsidRPr="0013755D">
              <w:t>olume 2 - Part 2.2 EKAS.  It forms an integral part of this unit.</w:t>
            </w:r>
          </w:p>
        </w:tc>
      </w:tr>
      <w:tr w:rsidTr="003D06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3.6.1</w:t>
            </w:r>
          </w:p>
        </w:tc>
        <w:tc>
          <w:tcPr>
            <w:tcW w:w="468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Working safely in an LPG environment</w:t>
            </w:r>
          </w:p>
        </w:tc>
      </w:tr>
      <w:tr w:rsidTr="003D06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3.6.2</w:t>
            </w:r>
          </w:p>
        </w:tc>
        <w:tc>
          <w:tcPr>
            <w:tcW w:w="468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Understanding the correct use of plant and equipment in an LPG environment</w:t>
            </w:r>
          </w:p>
        </w:tc>
      </w:tr>
      <w:tr w:rsidTr="003D06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3.6.4</w:t>
            </w:r>
          </w:p>
        </w:tc>
        <w:tc>
          <w:tcPr>
            <w:tcW w:w="4680" w:type="dxa"/>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t>LPG communication including the recording of LPG information</w:t>
            </w:r>
          </w:p>
        </w:tc>
      </w:tr>
    </w:tbl>
    <w:p w:rsidR="003D06D6" w:rsidP="0013755D">
      <w:pPr>
        <w:pStyle w:val="BodyText"/>
      </w:pPr>
    </w:p>
    <w:p w:rsidR="003D06D6" w:rsidP="0013755D">
      <w:pPr>
        <w:pStyle w:val="BodyText"/>
      </w:pPr>
    </w:p>
    <w:p w:rsidR="00000000" w:rsidRPr="0013755D" w:rsidP="0013755D">
      <w:pPr>
        <w:pStyle w:val="Heading1"/>
      </w:pPr>
      <w:bookmarkStart w:id="10" w:name="O_247838"/>
      <w:bookmarkEnd w:id="10"/>
      <w:r w:rsidRPr="0013755D">
        <w:t>Evidence Guide</w:t>
      </w:r>
    </w:p>
    <w:tbl>
      <w:tblPr>
        <w:tblW w:w="0" w:type="auto"/>
        <w:tblLayout w:type="fixed"/>
        <w:tblCellMar>
          <w:left w:w="62" w:type="dxa"/>
          <w:right w:w="62" w:type="dxa"/>
        </w:tblCellMar>
        <w:tblLook w:val="0000"/>
      </w:tblPr>
      <w:tblGrid>
        <w:gridCol w:w="326"/>
        <w:gridCol w:w="1834"/>
        <w:gridCol w:w="360"/>
        <w:gridCol w:w="900"/>
        <w:gridCol w:w="540"/>
        <w:gridCol w:w="1440"/>
        <w:gridCol w:w="1497"/>
        <w:gridCol w:w="1563"/>
      </w:tblGrid>
      <w:tr w:rsidTr="003D06D6">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rPr>
                <w:rStyle w:val="SpecialBold"/>
              </w:rPr>
              <w:t>EVIDENCE GUIDE</w:t>
            </w:r>
          </w:p>
        </w:tc>
      </w:tr>
      <w:tr w:rsidTr="003D06D6">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8</w:t>
            </w:r>
            <w:r w:rsidRPr="0013755D">
              <w:t xml:space="preserve">) </w:t>
            </w:r>
          </w:p>
          <w:p w:rsidR="00000000" w:rsidP="0013755D">
            <w:pPr>
              <w:pStyle w:val="BodyText"/>
              <w:rPr>
                <w:lang w:val="en-NZ"/>
              </w:rPr>
            </w:pPr>
            <w:r w:rsidRPr="0013755D">
              <w:t>The Evidence Guide forms an integral part of this Competency Standard Unit and shall be used in conjunction with all components parts of this unit and performed in accordance with the Assessment Guidelines of this Training Package.</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Overview of Asse</w:t>
            </w:r>
            <w:r w:rsidRPr="0013755D">
              <w:rPr>
                <w:rStyle w:val="SpecialBold"/>
              </w:rPr>
              <w:t>ssment</w:t>
            </w:r>
          </w:p>
        </w:tc>
        <w:tc>
          <w:tcPr>
            <w:tcW w:w="6300" w:type="dxa"/>
            <w:gridSpan w:val="6"/>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8</w:t>
            </w:r>
            <w:r w:rsidRPr="0013755D">
              <w:t>.</w:t>
            </w:r>
            <w:r w:rsidRPr="0013755D">
              <w:rPr>
                <w:rStyle w:val="SpecialBold"/>
              </w:rPr>
              <w:t>1</w:t>
            </w:r>
            <w:r w:rsidRPr="0013755D">
              <w:t xml:space="preserve">) </w:t>
            </w:r>
          </w:p>
          <w:p w:rsidR="00000000" w:rsidRPr="0013755D" w:rsidP="0013755D">
            <w:pPr>
              <w:pStyle w:val="BodyText"/>
            </w:pPr>
            <w:r w:rsidRPr="0013755D">
              <w:t>Longitudinal competency development approaches to assessment, such as Profiling, require data to be reliably gathered in a form that can be consistently interpreted over time. This approach is best utilised in Apprenticeship programs and redu</w:t>
            </w:r>
            <w:r w:rsidRPr="0013755D">
              <w:t>ces assessment intervention. It is the Industry's preferred model for apprenticeships. However, where summative (or final) assessment is used it is to include the application of the competency in the normal work environment or, at a minimum, the applicatio</w:t>
            </w:r>
            <w:r w:rsidRPr="0013755D">
              <w:t>n of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13755D" w:rsidP="0013755D">
            <w:pPr>
              <w:pStyle w:val="BodyText"/>
            </w:pPr>
            <w:r w:rsidRPr="0013755D">
              <w:t>M</w:t>
            </w:r>
            <w:r w:rsidRPr="0013755D">
              <w:t xml:space="preserve">ethods chosen for a particular assessment will be influenced by various factors. These include the extent of the assessment, the most effective locations for the assessment activities to take place, access to physical resources, additional safety measures </w:t>
            </w:r>
            <w:r w:rsidRPr="0013755D">
              <w:t>that may be required and the critical nature of the competencies being assessed.</w:t>
            </w:r>
          </w:p>
          <w:p w:rsidR="00000000" w:rsidRPr="0013755D" w:rsidP="0013755D">
            <w:pPr>
              <w:pStyle w:val="BodyText"/>
            </w:pPr>
            <w:r w:rsidRPr="0013755D">
              <w:t xml:space="preserve">The critical safety nature of working with electricity, electrical equipment, gas or any other hazardous substance/material carries risk in deeming a person competent. Hence, </w:t>
            </w:r>
            <w:r w:rsidRPr="0013755D">
              <w:t>sources of evidence need to be 'rich' in nature so as to minimise error in judgment.</w:t>
            </w:r>
          </w:p>
          <w:p w:rsidR="00000000" w:rsidP="0013755D">
            <w:pPr>
              <w:pStyle w:val="BodyText"/>
              <w:rPr>
                <w:lang w:val="en-NZ"/>
              </w:rPr>
            </w:pPr>
            <w:r w:rsidRPr="0013755D">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13755D">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13755D">
              <w:t>of this Training Package.</w:t>
            </w:r>
          </w:p>
        </w:tc>
      </w:tr>
      <w:tr w:rsidTr="003D06D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8</w:t>
            </w:r>
            <w:r w:rsidRPr="0013755D">
              <w:t>.</w:t>
            </w:r>
            <w:r w:rsidRPr="0013755D">
              <w:rPr>
                <w:rStyle w:val="SpecialBold"/>
              </w:rPr>
              <w:t>2</w:t>
            </w:r>
            <w:r w:rsidRPr="0013755D">
              <w:t xml:space="preserve">) </w:t>
            </w:r>
          </w:p>
          <w:p w:rsidR="00000000" w:rsidP="0013755D">
            <w:pPr>
              <w:pStyle w:val="BodyText"/>
              <w:rPr>
                <w:lang w:val="en-NZ"/>
              </w:rPr>
            </w:pPr>
            <w:r w:rsidRPr="0013755D">
              <w:t>Before the critical aspects of evidence are considered all prerequisites shall be met.</w:t>
            </w:r>
          </w:p>
        </w:tc>
      </w:tr>
      <w:tr w:rsidTr="003D06D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t>Evidence for competence in this unit shall be considered holistically. Each element and associated Performance Criteria shall be demonstrated on at least two occasions in accordance with the 'Assessment Guidelines   UEG06'. Evidence shall also comprise:</w:t>
            </w:r>
          </w:p>
          <w:p w:rsidR="00000000" w:rsidP="0013755D">
            <w:pPr>
              <w:pStyle w:val="ListBullet"/>
              <w:rPr>
                <w:lang w:val="en-NZ"/>
              </w:rPr>
            </w:pPr>
            <w:r w:rsidRPr="0013755D">
              <w:t xml:space="preserve">A </w:t>
            </w:r>
            <w:r w:rsidRPr="0013755D">
              <w:t>representative body of Performance Criteria demonstrated within the timeframes typically expected of the discipline, work function and industrial environment. In particular this shall incorporate evidence that shows a candidate is able to:</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13755D">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13755D" w:rsidP="0013755D">
            <w:pPr>
              <w:pStyle w:val="ListBullet2"/>
            </w:pPr>
            <w:r w:rsidRPr="0013755D">
              <w:t>Implement Occupational Health and Safety workplace procedures and practices including the use of risk control measures as specified in the Performance Criteria and range</w:t>
            </w:r>
          </w:p>
          <w:p w:rsidR="00000000" w:rsidRPr="0013755D" w:rsidP="0013755D">
            <w:pPr>
              <w:pStyle w:val="ListBullet2"/>
            </w:pPr>
            <w:r w:rsidRPr="0013755D">
              <w:t>Apply sustainable energy principles and practices as specified in the Performance Crit</w:t>
            </w:r>
            <w:r w:rsidRPr="0013755D">
              <w:t>eria and range</w:t>
            </w:r>
          </w:p>
          <w:p w:rsidR="00000000" w:rsidRPr="0013755D" w:rsidP="0013755D">
            <w:pPr>
              <w:pStyle w:val="ListBullet2"/>
            </w:pPr>
            <w:r w:rsidRPr="0013755D">
              <w:t>Demonstrate an understanding of the essential knowledge and associated skills as described in this unit to such an extent that the learner's performance outcome is reported in accordance with the preferred approach; namely a percentile grade</w:t>
            </w:r>
            <w:r w:rsidRPr="0013755D">
              <w:t>d result, where required by the regulated environment</w:t>
            </w:r>
          </w:p>
          <w:p w:rsidR="00000000" w:rsidRPr="0013755D" w:rsidP="0013755D">
            <w:pPr>
              <w:pStyle w:val="ListBullet2"/>
            </w:pPr>
            <w:r w:rsidRPr="0013755D">
              <w:t>Demonstrate an appropriate level of skills enabling employment</w:t>
            </w:r>
          </w:p>
          <w:p w:rsidR="00000000" w:rsidP="0013755D">
            <w:pPr>
              <w:pStyle w:val="ListBullet2"/>
              <w:rPr>
                <w:lang w:val="en-NZ"/>
              </w:rPr>
            </w:pPr>
            <w:r w:rsidRPr="0013755D">
              <w:t>Conduct work observing the relevant Anti discrimination legislation, regulations, polices and workplace procedures</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13755D">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13755D">
            <w:pPr>
              <w:pStyle w:val="ListBullet2"/>
              <w:rPr>
                <w:lang w:val="en-NZ"/>
              </w:rPr>
            </w:pPr>
            <w:r w:rsidRPr="0013755D">
              <w:t>Demonstrate performance across a representative range of contexts from the prescribed items below.</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3755D">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rPr>
                <w:rStyle w:val="SpecialBold"/>
              </w:rPr>
              <w:t>Range of tools</w:t>
            </w:r>
            <w:r w:rsidRPr="0013755D">
              <w:t>/</w:t>
            </w:r>
            <w:r w:rsidRPr="0013755D">
              <w:rPr>
                <w:rStyle w:val="SpecialBold"/>
              </w:rPr>
              <w:t>equipment</w:t>
            </w:r>
            <w:r w:rsidRPr="0013755D">
              <w:t>/</w:t>
            </w:r>
            <w:r w:rsidRPr="0013755D">
              <w:rPr>
                <w:rStyle w:val="SpecialBold"/>
              </w:rPr>
              <w:t>materials</w:t>
            </w:r>
            <w:r w:rsidRPr="0013755D">
              <w:t>/</w:t>
            </w:r>
            <w:r w:rsidRPr="0013755D">
              <w:rPr>
                <w:rStyle w:val="SpecialBold"/>
              </w:rPr>
              <w:t>procedures</w:t>
            </w:r>
            <w:r w:rsidRPr="0013755D">
              <w:t>/</w:t>
            </w:r>
            <w:r w:rsidRPr="0013755D">
              <w:br/>
            </w:r>
            <w:r w:rsidRPr="0013755D">
              <w:rPr>
                <w:rStyle w:val="SpecialBold"/>
              </w:rPr>
              <w:t>workplaces</w:t>
            </w:r>
            <w:r w:rsidRPr="0013755D">
              <w:t>/</w:t>
            </w:r>
            <w:r w:rsidRPr="0013755D">
              <w:rPr>
                <w:rStyle w:val="SpecialBold"/>
              </w:rPr>
              <w:t>other variables</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3755D">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r w:rsidRPr="0013755D">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r w:rsidRPr="0013755D">
              <w:rPr>
                <w:rStyle w:val="SpecialBold"/>
              </w:rPr>
              <w:t>The minimum number of items on which skill is to be demonstrated</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rPr>
                <w:rStyle w:val="SpecialBold"/>
              </w:rPr>
              <w:t>Item List</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At least 7</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r w:rsidRPr="0013755D">
              <w:t>Pressure vessels and fittings:</w:t>
            </w:r>
          </w:p>
          <w:p w:rsidR="00000000" w:rsidRPr="0013755D" w:rsidP="0013755D">
            <w:pPr>
              <w:pStyle w:val="BodyText"/>
            </w:pPr>
            <w:r w:rsidRPr="0013755D">
              <w:t>Pressure vessel</w:t>
            </w:r>
          </w:p>
          <w:p w:rsidR="00000000" w:rsidRPr="0013755D" w:rsidP="0013755D">
            <w:pPr>
              <w:pStyle w:val="BodyText"/>
            </w:pPr>
            <w:r w:rsidRPr="0013755D">
              <w:t>Vapourisers</w:t>
            </w:r>
          </w:p>
          <w:p w:rsidR="00000000" w:rsidRPr="0013755D" w:rsidP="0013755D">
            <w:pPr>
              <w:pStyle w:val="BodyText"/>
            </w:pPr>
            <w:r w:rsidRPr="0013755D">
              <w:t>Earth connections</w:t>
            </w:r>
          </w:p>
          <w:p w:rsidR="00000000" w:rsidRPr="0013755D" w:rsidP="0013755D">
            <w:pPr>
              <w:pStyle w:val="BodyText"/>
            </w:pPr>
            <w:r w:rsidRPr="0013755D">
              <w:t>Relief valves</w:t>
            </w:r>
          </w:p>
          <w:p w:rsidR="00000000" w:rsidRPr="0013755D" w:rsidP="0013755D">
            <w:pPr>
              <w:pStyle w:val="BodyText"/>
            </w:pPr>
            <w:r w:rsidRPr="0013755D">
              <w:t>System(s) isolation</w:t>
            </w:r>
          </w:p>
          <w:p w:rsidR="00000000" w:rsidRPr="0013755D" w:rsidP="0013755D">
            <w:pPr>
              <w:pStyle w:val="BodyText"/>
            </w:pPr>
            <w:r w:rsidRPr="0013755D">
              <w:t>Emergency shut-down valving (eg ISC valves)</w:t>
            </w:r>
          </w:p>
          <w:p w:rsidR="00000000" w:rsidRPr="0013755D" w:rsidP="0013755D">
            <w:pPr>
              <w:pStyle w:val="BodyText"/>
            </w:pPr>
            <w:r w:rsidRPr="0013755D">
              <w:t>Manual shut-down valving</w:t>
            </w:r>
          </w:p>
          <w:p w:rsidR="00000000" w:rsidRPr="0013755D" w:rsidP="0013755D">
            <w:pPr>
              <w:pStyle w:val="BodyText"/>
            </w:pPr>
            <w:r w:rsidRPr="0013755D">
              <w:t>Pipe work</w:t>
            </w:r>
          </w:p>
          <w:p w:rsidR="00000000" w:rsidRPr="0013755D" w:rsidP="0013755D">
            <w:pPr>
              <w:pStyle w:val="BodyText"/>
            </w:pPr>
            <w:r w:rsidRPr="0013755D">
              <w:t>Vessel footings</w:t>
            </w:r>
          </w:p>
          <w:p w:rsidR="00000000" w:rsidRPr="0013755D" w:rsidP="0013755D">
            <w:pPr>
              <w:pStyle w:val="BodyText"/>
            </w:pPr>
            <w:r w:rsidRPr="0013755D">
              <w:t>Regulators</w:t>
            </w:r>
          </w:p>
          <w:p w:rsidR="00000000" w:rsidRPr="0013755D" w:rsidP="0013755D">
            <w:pPr>
              <w:pStyle w:val="BodyText"/>
            </w:pPr>
            <w:r w:rsidRPr="0013755D">
              <w:t>Hoses and couplings</w:t>
            </w:r>
          </w:p>
          <w:p w:rsidR="00000000" w:rsidRPr="0013755D" w:rsidP="0013755D">
            <w:pPr>
              <w:pStyle w:val="BodyText"/>
            </w:pPr>
            <w:r w:rsidRPr="0013755D">
              <w:t>Pumps</w:t>
            </w:r>
          </w:p>
          <w:p w:rsidR="00000000" w:rsidP="0013755D">
            <w:pPr>
              <w:pStyle w:val="BodyText"/>
              <w:rPr>
                <w:lang w:val="en-NZ"/>
              </w:rPr>
            </w:pPr>
            <w:r w:rsidRPr="0013755D">
              <w:t>Compressors</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At least 3</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r w:rsidRPr="0013755D">
              <w:t>Types of irregularities may include:</w:t>
            </w:r>
          </w:p>
          <w:p w:rsidR="00000000" w:rsidRPr="0013755D" w:rsidP="0013755D">
            <w:pPr>
              <w:pStyle w:val="BodyText"/>
            </w:pPr>
            <w:r w:rsidRPr="0013755D">
              <w:t>Corrosion</w:t>
            </w:r>
          </w:p>
          <w:p w:rsidR="00000000" w:rsidRPr="0013755D" w:rsidP="0013755D">
            <w:pPr>
              <w:pStyle w:val="BodyText"/>
            </w:pPr>
            <w:r w:rsidRPr="0013755D">
              <w:t>Impact damage</w:t>
            </w:r>
          </w:p>
          <w:p w:rsidR="00000000" w:rsidRPr="0013755D" w:rsidP="0013755D">
            <w:pPr>
              <w:pStyle w:val="BodyText"/>
            </w:pPr>
            <w:r w:rsidRPr="0013755D">
              <w:t>Point deterioration</w:t>
            </w:r>
          </w:p>
          <w:p w:rsidR="00000000" w:rsidRPr="0013755D" w:rsidP="0013755D">
            <w:pPr>
              <w:pStyle w:val="BodyText"/>
            </w:pPr>
            <w:r w:rsidRPr="0013755D">
              <w:t>Leakage</w:t>
            </w:r>
          </w:p>
          <w:p w:rsidR="00000000" w:rsidRPr="0013755D" w:rsidP="0013755D">
            <w:pPr>
              <w:pStyle w:val="BodyText"/>
            </w:pPr>
            <w:r w:rsidRPr="0013755D">
              <w:t>Non-operability of shutdown systems</w:t>
            </w:r>
          </w:p>
          <w:p w:rsidR="00000000" w:rsidP="0013755D">
            <w:pPr>
              <w:pStyle w:val="BodyText"/>
              <w:rPr>
                <w:lang w:val="en-NZ"/>
              </w:rPr>
            </w:pPr>
            <w:r w:rsidRPr="0013755D">
              <w:t>Equipment out of calibration</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C</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At least 6</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r w:rsidRPr="0013755D">
              <w:t>Appropriate parts to be replaced:</w:t>
            </w:r>
          </w:p>
          <w:p w:rsidR="00000000" w:rsidRPr="0013755D" w:rsidP="0013755D">
            <w:pPr>
              <w:pStyle w:val="BodyText"/>
            </w:pPr>
            <w:r w:rsidRPr="0013755D">
              <w:t>Excess flow valves</w:t>
            </w:r>
          </w:p>
          <w:p w:rsidR="00000000" w:rsidRPr="0013755D" w:rsidP="0013755D">
            <w:pPr>
              <w:pStyle w:val="BodyText"/>
            </w:pPr>
            <w:r w:rsidRPr="0013755D">
              <w:t>Relief valves</w:t>
            </w:r>
          </w:p>
          <w:p w:rsidR="00000000" w:rsidRPr="0013755D" w:rsidP="0013755D">
            <w:pPr>
              <w:pStyle w:val="BodyText"/>
            </w:pPr>
            <w:r w:rsidRPr="0013755D">
              <w:t>Pressure regulators/springs</w:t>
            </w:r>
          </w:p>
          <w:p w:rsidR="00000000" w:rsidRPr="0013755D" w:rsidP="0013755D">
            <w:pPr>
              <w:pStyle w:val="BodyText"/>
            </w:pPr>
            <w:r w:rsidRPr="0013755D">
              <w:t>Pump seals/compressor seals</w:t>
            </w:r>
          </w:p>
          <w:p w:rsidR="00000000" w:rsidRPr="0013755D" w:rsidP="0013755D">
            <w:pPr>
              <w:pStyle w:val="BodyText"/>
            </w:pPr>
            <w:r w:rsidRPr="0013755D">
              <w:t>Pressure gauges</w:t>
            </w:r>
          </w:p>
          <w:p w:rsidR="00000000" w:rsidRPr="0013755D" w:rsidP="0013755D">
            <w:pPr>
              <w:pStyle w:val="BodyText"/>
            </w:pPr>
            <w:r w:rsidRPr="0013755D">
              <w:t>Bypass valves</w:t>
            </w:r>
          </w:p>
          <w:p w:rsidR="00000000" w:rsidRPr="0013755D" w:rsidP="0013755D">
            <w:pPr>
              <w:pStyle w:val="BodyText"/>
            </w:pPr>
            <w:r w:rsidRPr="0013755D">
              <w:t>Meters</w:t>
            </w:r>
          </w:p>
          <w:p w:rsidR="00000000" w:rsidRPr="0013755D" w:rsidP="0013755D">
            <w:pPr>
              <w:pStyle w:val="BodyText"/>
            </w:pPr>
            <w:r w:rsidRPr="0013755D">
              <w:t>Solenoids</w:t>
            </w:r>
          </w:p>
          <w:p w:rsidR="00000000" w:rsidRPr="0013755D" w:rsidP="0013755D">
            <w:pPr>
              <w:pStyle w:val="BodyText"/>
            </w:pPr>
            <w:r w:rsidRPr="0013755D">
              <w:t>Valves</w:t>
            </w:r>
          </w:p>
          <w:p w:rsidR="00000000" w:rsidRPr="0013755D" w:rsidP="0013755D">
            <w:pPr>
              <w:pStyle w:val="BodyText"/>
            </w:pPr>
            <w:r w:rsidRPr="0013755D">
              <w:t>Break away couplings</w:t>
            </w:r>
          </w:p>
          <w:p w:rsidR="00000000" w:rsidP="0013755D">
            <w:pPr>
              <w:pStyle w:val="BodyText"/>
              <w:rPr>
                <w:lang w:val="en-NZ"/>
              </w:rPr>
            </w:pPr>
            <w:r w:rsidRPr="0013755D">
              <w:t>Meter heads</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D</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At least 2</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r w:rsidRPr="0013755D">
              <w:t>Types of adjustments:</w:t>
            </w:r>
          </w:p>
          <w:p w:rsidR="00000000" w:rsidRPr="0013755D" w:rsidP="0013755D">
            <w:pPr>
              <w:pStyle w:val="BodyText"/>
            </w:pPr>
            <w:r w:rsidRPr="0013755D">
              <w:t>Downstream pressure adjustment</w:t>
            </w:r>
          </w:p>
          <w:p w:rsidR="00000000" w:rsidRPr="0013755D" w:rsidP="0013755D">
            <w:pPr>
              <w:pStyle w:val="BodyText"/>
            </w:pPr>
            <w:r w:rsidRPr="0013755D">
              <w:t>Storage pressure adjustment (vapouriser system only)</w:t>
            </w:r>
          </w:p>
          <w:p w:rsidR="00000000" w:rsidP="0013755D">
            <w:pPr>
              <w:pStyle w:val="BodyText"/>
              <w:rPr>
                <w:lang w:val="en-NZ"/>
              </w:rPr>
            </w:pPr>
            <w:r w:rsidRPr="0013755D">
              <w:t>Bypass pressure adjustment for pumps</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E</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r w:rsidRPr="0013755D">
              <w:t>Documentation:</w:t>
            </w:r>
          </w:p>
          <w:p w:rsidR="00000000" w:rsidRPr="0013755D" w:rsidP="0013755D">
            <w:pPr>
              <w:pStyle w:val="BodyText"/>
            </w:pPr>
            <w:r w:rsidRPr="0013755D">
              <w:t>OHS, envir</w:t>
            </w:r>
            <w:r w:rsidRPr="0013755D">
              <w:t>onmental and associated legislative requirement</w:t>
            </w:r>
          </w:p>
          <w:p w:rsidR="00000000" w:rsidRPr="0013755D" w:rsidP="0013755D">
            <w:pPr>
              <w:pStyle w:val="BodyText"/>
            </w:pPr>
            <w:r w:rsidRPr="0013755D">
              <w:t>ADG Code</w:t>
            </w:r>
          </w:p>
          <w:p w:rsidR="00000000" w:rsidRPr="0013755D" w:rsidP="0013755D">
            <w:pPr>
              <w:pStyle w:val="BodyText"/>
            </w:pPr>
            <w:r w:rsidRPr="0013755D">
              <w:t>Australian Standards</w:t>
            </w:r>
          </w:p>
          <w:p w:rsidR="00000000" w:rsidRPr="0013755D" w:rsidP="0013755D">
            <w:pPr>
              <w:pStyle w:val="BodyText"/>
            </w:pPr>
            <w:r w:rsidRPr="0013755D">
              <w:t>Manufacturer's specifications</w:t>
            </w:r>
          </w:p>
          <w:p w:rsidR="00000000" w:rsidP="0013755D">
            <w:pPr>
              <w:pStyle w:val="BodyText"/>
              <w:rPr>
                <w:lang w:val="en-NZ"/>
              </w:rPr>
            </w:pPr>
            <w:r w:rsidRPr="0013755D">
              <w:t>Work permits</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F</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At least one occasion</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Deal with an unplanned event by drawing on essential knowledge and associated skills to provide appropria</w:t>
            </w:r>
            <w:r w:rsidRPr="0013755D">
              <w:t xml:space="preserve">te solutions incorporated in the holistic assessment with the above listed items </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8</w:t>
            </w:r>
            <w:r w:rsidRPr="0013755D">
              <w:t>.</w:t>
            </w:r>
            <w:r w:rsidRPr="0013755D">
              <w:rPr>
                <w:rStyle w:val="SpecialBold"/>
              </w:rPr>
              <w:t>3</w:t>
            </w:r>
            <w:r w:rsidRPr="0013755D">
              <w:t xml:space="preserve">) </w:t>
            </w:r>
          </w:p>
          <w:p w:rsidR="00000000" w:rsidRPr="0013755D" w:rsidP="0013755D">
            <w:pPr>
              <w:pStyle w:val="BodyText"/>
            </w:pPr>
            <w:r w:rsidRPr="0013755D">
              <w:t>This unit should be assessed as it relates to normal work practice using procedures, information and resources typical of a workplace. This should include:</w:t>
            </w:r>
          </w:p>
          <w:p w:rsidR="00000000" w:rsidRPr="0013755D" w:rsidP="0013755D">
            <w:pPr>
              <w:pStyle w:val="ListBullet"/>
            </w:pPr>
            <w:r w:rsidRPr="0013755D">
              <w:t>OHS policy and work procedures and instructions.</w:t>
            </w:r>
          </w:p>
          <w:p w:rsidR="00000000" w:rsidRPr="0013755D" w:rsidP="0013755D">
            <w:pPr>
              <w:pStyle w:val="ListBullet"/>
            </w:pPr>
            <w:r w:rsidRPr="0013755D">
              <w:t>Suitable work environment, facilities, equipment an</w:t>
            </w:r>
            <w:r w:rsidRPr="0013755D">
              <w:t>d materials to undertake actual work as prescribed by this Competency Standard Unit.</w:t>
            </w:r>
          </w:p>
          <w:p w:rsidR="00000000" w:rsidRPr="0013755D" w:rsidP="0013755D">
            <w:pPr>
              <w:pStyle w:val="ListBullet"/>
            </w:pPr>
            <w:r w:rsidRPr="0013755D">
              <w:t>Appropriate environmental regulation and work practices.</w:t>
            </w:r>
          </w:p>
          <w:p w:rsidR="00000000" w:rsidRPr="0013755D" w:rsidP="0013755D">
            <w:pPr>
              <w:pStyle w:val="ListBullet"/>
            </w:pPr>
            <w:r w:rsidRPr="0013755D">
              <w:t>Appropriate organisational requirements.</w:t>
            </w:r>
          </w:p>
          <w:p w:rsidR="00000000" w:rsidP="0013755D">
            <w:pPr>
              <w:pStyle w:val="BodyText"/>
              <w:rPr>
                <w:lang w:val="en-NZ"/>
              </w:rPr>
            </w:pPr>
            <w:r w:rsidRPr="0013755D">
              <w:t>Appropriate work environment, equipment and tools.</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In addition to the resources listed above, in Context of and specific resources for assessment, evidence should show demonstrated competency in performing minor maintenance on gas processing/storage facilities and equipment.</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Assessment of this comp</w:t>
            </w:r>
            <w:r w:rsidRPr="0013755D">
              <w:t>etency must also be undertaken in either an actual workplace or under a simulated work environment. Assessment must also integrate the Key Competencies.</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8</w:t>
            </w:r>
            <w:r w:rsidRPr="0013755D">
              <w:t>.</w:t>
            </w:r>
            <w:r w:rsidRPr="0013755D">
              <w:rPr>
                <w:rStyle w:val="SpecialBold"/>
              </w:rPr>
              <w:t>4</w:t>
            </w:r>
            <w:r w:rsidRPr="0013755D">
              <w:t xml:space="preserve">) </w:t>
            </w:r>
          </w:p>
          <w:p w:rsidR="00000000" w:rsidRPr="0013755D" w:rsidP="0013755D">
            <w:pPr>
              <w:pStyle w:val="BodyText"/>
            </w:pPr>
            <w:r w:rsidRPr="0013755D">
              <w:t>This Competency Standard Unit shall be assessed by methods given in Volume 1, Part 3 'Assessment Guidelines'.</w:t>
            </w:r>
          </w:p>
          <w:p w:rsidR="00000000" w:rsidP="0013755D">
            <w:pPr>
              <w:pStyle w:val="BodyText"/>
              <w:rPr>
                <w:lang w:val="en-NZ"/>
              </w:rPr>
            </w:pPr>
            <w:r w:rsidRPr="0013755D">
              <w:t>Note:</w:t>
            </w:r>
            <w:r w:rsidRPr="0013755D">
              <w:br/>
              <w:t xml:space="preserve">Competent performance with inherent safe working practices is expected in the Industry to which this Competency Standard Unit applies. This </w:t>
            </w:r>
            <w:r w:rsidRPr="0013755D">
              <w:t>requires that the specified Essential Knowledge and Associated Skills are assessed in a structured environment which is primarily intended for learning/assessment and incorporates all necessary equipment and facilities for learners to develop and demonstra</w:t>
            </w:r>
            <w:r w:rsidRPr="0013755D">
              <w:t>te the essential knowledge and associated skills described in this unit.</w:t>
            </w:r>
          </w:p>
        </w:tc>
      </w:tr>
      <w:tr w:rsidTr="003D06D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8</w:t>
            </w:r>
            <w:r w:rsidRPr="0013755D">
              <w:t>.</w:t>
            </w:r>
            <w:r w:rsidRPr="0013755D">
              <w:rPr>
                <w:rStyle w:val="SpecialBold"/>
              </w:rPr>
              <w:t>5</w:t>
            </w:r>
            <w:r w:rsidRPr="0013755D">
              <w:t xml:space="preserve">) </w:t>
            </w:r>
          </w:p>
          <w:p w:rsidR="00000000" w:rsidP="0013755D">
            <w:pPr>
              <w:pStyle w:val="BodyText"/>
              <w:rPr>
                <w:lang w:val="en-NZ"/>
              </w:rPr>
            </w:pPr>
            <w:r w:rsidRPr="0013755D">
              <w:t>There are no recommended concurrent assessments with this unit, however in some cases efficiencies may be gained i</w:t>
            </w:r>
            <w:r w:rsidRPr="0013755D">
              <w:t>n terms of learning and assessment effort being concurrently managed with allied Competency Standard Units where listed.</w:t>
            </w:r>
          </w:p>
        </w:tc>
      </w:tr>
      <w:tr w:rsidTr="003D06D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UEGNSG102A</w:t>
            </w:r>
          </w:p>
        </w:tc>
        <w:tc>
          <w:tcPr>
            <w:tcW w:w="450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Carry out work activities in a utilities industry work environment</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UEGNSG103A</w:t>
            </w:r>
          </w:p>
        </w:tc>
        <w:tc>
          <w:tcPr>
            <w:tcW w:w="450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Comply with workplace OHS procedures and practices</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UEGNSG104A</w:t>
            </w:r>
          </w:p>
        </w:tc>
        <w:tc>
          <w:tcPr>
            <w:tcW w:w="450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Comply with environmental policies and procedures</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UEGNSG105A</w:t>
            </w:r>
          </w:p>
        </w:tc>
        <w:tc>
          <w:tcPr>
            <w:tcW w:w="450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Establish the work site</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BSBCMN302A</w:t>
            </w:r>
          </w:p>
        </w:tc>
        <w:tc>
          <w:tcPr>
            <w:tcW w:w="450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Organise personal work priorities and professional development</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BSBFLM312A</w:t>
            </w:r>
          </w:p>
        </w:tc>
        <w:tc>
          <w:tcPr>
            <w:tcW w:w="450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Contribute to team effectiveness</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BSBFLM303A</w:t>
            </w:r>
          </w:p>
        </w:tc>
        <w:tc>
          <w:tcPr>
            <w:tcW w:w="450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Contribute to effective workplace relationships</w:t>
            </w:r>
          </w:p>
        </w:tc>
      </w:tr>
      <w:tr w:rsidTr="003D06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BSBCMN311A</w:t>
            </w:r>
          </w:p>
        </w:tc>
        <w:tc>
          <w:tcPr>
            <w:tcW w:w="4500" w:type="dxa"/>
            <w:gridSpan w:val="3"/>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Maintain workplace safety</w:t>
            </w:r>
          </w:p>
        </w:tc>
      </w:tr>
      <w:tr w:rsidTr="003D06D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3755D" w:rsidP="0013755D">
            <w:pPr>
              <w:pStyle w:val="BodyText"/>
            </w:pPr>
            <w:r w:rsidRPr="0013755D">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8</w:t>
            </w:r>
            <w:r w:rsidRPr="0013755D">
              <w:t>.</w:t>
            </w:r>
            <w:r w:rsidRPr="0013755D">
              <w:rPr>
                <w:rStyle w:val="SpecialBold"/>
              </w:rPr>
              <w:t>6</w:t>
            </w:r>
            <w:r w:rsidRPr="0013755D">
              <w:t xml:space="preserve">) </w:t>
            </w:r>
          </w:p>
          <w:p w:rsidR="00000000" w:rsidP="0013755D">
            <w:pPr>
              <w:pStyle w:val="BodyText"/>
              <w:rPr>
                <w:lang w:val="en-NZ"/>
              </w:rPr>
            </w:pPr>
            <w:r w:rsidRPr="0013755D">
              <w:t>Evidence that particular Key</w:t>
            </w:r>
            <w:r w:rsidRPr="0013755D">
              <w:t xml:space="preserve"> Competencies have been achieved within this Competency Standard Unit is in the context of the following Performance Criteria of evidence. See Volume 2, Part 4 for an explanation of Key Competencies and levels of this Training Package.</w:t>
            </w:r>
          </w:p>
        </w:tc>
      </w:tr>
      <w:tr w:rsidTr="003D06D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r w:rsidRPr="0013755D">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r w:rsidRPr="0013755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rPr>
                <w:rStyle w:val="SpecialBold"/>
              </w:rPr>
              <w:t>Performance Level</w:t>
            </w:r>
          </w:p>
        </w:tc>
      </w:tr>
      <w:tr w:rsidTr="003D06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755D">
            <w:pPr>
              <w:pStyle w:val="BodyText"/>
              <w:rPr>
                <w:lang w:val="en-NZ"/>
              </w:rPr>
            </w:pPr>
            <w:r w:rsidRPr="0013755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p>
          <w:p w:rsidR="00000000" w:rsidP="0013755D">
            <w:pPr>
              <w:pStyle w:val="BodyText"/>
              <w:rPr>
                <w:lang w:val="en-NZ"/>
              </w:rPr>
            </w:pPr>
            <w:r w:rsidRPr="0013755D">
              <w:t>3</w:t>
            </w:r>
          </w:p>
        </w:tc>
      </w:tr>
      <w:tr w:rsidTr="003D06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p>
        </w:tc>
      </w:tr>
      <w:tr w:rsidTr="003D06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755D">
            <w:pPr>
              <w:pStyle w:val="BodyText"/>
              <w:rPr>
                <w:lang w:val="en-NZ"/>
              </w:rPr>
            </w:pPr>
            <w:r w:rsidRPr="0013755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p>
          <w:p w:rsidR="00000000" w:rsidP="0013755D">
            <w:pPr>
              <w:pStyle w:val="BodyText"/>
              <w:rPr>
                <w:lang w:val="en-NZ"/>
              </w:rPr>
            </w:pPr>
            <w:r w:rsidRPr="0013755D">
              <w:t>2</w:t>
            </w:r>
          </w:p>
        </w:tc>
      </w:tr>
      <w:tr w:rsidTr="003D06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p>
        </w:tc>
      </w:tr>
      <w:tr w:rsidTr="003D06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755D">
            <w:pPr>
              <w:pStyle w:val="BodyText"/>
              <w:rPr>
                <w:lang w:val="en-NZ"/>
              </w:rPr>
            </w:pPr>
            <w:r w:rsidRPr="0013755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p>
          <w:p w:rsidR="00000000" w:rsidP="0013755D">
            <w:pPr>
              <w:pStyle w:val="BodyText"/>
              <w:rPr>
                <w:lang w:val="en-NZ"/>
              </w:rPr>
            </w:pPr>
            <w:r w:rsidRPr="0013755D">
              <w:t>2</w:t>
            </w:r>
          </w:p>
        </w:tc>
      </w:tr>
      <w:tr w:rsidTr="003D06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1.10; 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p>
        </w:tc>
      </w:tr>
      <w:tr w:rsidTr="003D06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How is team work used within this competency?</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p>
          <w:p w:rsidR="00000000" w:rsidP="0013755D">
            <w:pPr>
              <w:pStyle w:val="BodyText"/>
              <w:rPr>
                <w:lang w:val="en-NZ"/>
              </w:rPr>
            </w:pPr>
            <w:r w:rsidRPr="0013755D">
              <w:t>1</w:t>
            </w:r>
          </w:p>
        </w:tc>
      </w:tr>
      <w:tr w:rsidTr="003D06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p>
        </w:tc>
      </w:tr>
      <w:tr w:rsidTr="003D06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755D">
            <w:pPr>
              <w:pStyle w:val="BodyText"/>
              <w:rPr>
                <w:lang w:val="en-NZ"/>
              </w:rPr>
            </w:pPr>
            <w:r w:rsidRPr="0013755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p>
          <w:p w:rsidR="00000000" w:rsidP="0013755D">
            <w:pPr>
              <w:pStyle w:val="BodyText"/>
              <w:rPr>
                <w:lang w:val="en-NZ"/>
              </w:rPr>
            </w:pPr>
            <w:r w:rsidRPr="0013755D">
              <w:t>N/A</w:t>
            </w:r>
          </w:p>
        </w:tc>
      </w:tr>
      <w:tr w:rsidTr="003D06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p>
        </w:tc>
      </w:tr>
      <w:tr w:rsidTr="003D06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755D">
            <w:pPr>
              <w:pStyle w:val="BodyText"/>
              <w:rPr>
                <w:lang w:val="en-NZ"/>
              </w:rPr>
            </w:pPr>
            <w:r w:rsidRPr="0013755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p>
          <w:p w:rsidR="00000000" w:rsidP="0013755D">
            <w:pPr>
              <w:pStyle w:val="BodyText"/>
              <w:rPr>
                <w:lang w:val="en-NZ"/>
              </w:rPr>
            </w:pPr>
            <w:r w:rsidRPr="0013755D">
              <w:t>2</w:t>
            </w:r>
          </w:p>
        </w:tc>
      </w:tr>
      <w:tr w:rsidTr="003D06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2.6; 2.7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p>
        </w:tc>
      </w:tr>
      <w:tr w:rsidTr="003D06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755D">
            <w:pPr>
              <w:pStyle w:val="BodyText"/>
              <w:rPr>
                <w:lang w:val="en-NZ"/>
              </w:rPr>
            </w:pPr>
            <w:r w:rsidRPr="0013755D">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p>
          <w:p w:rsidR="00000000" w:rsidP="0013755D">
            <w:pPr>
              <w:pStyle w:val="BodyText"/>
              <w:rPr>
                <w:lang w:val="en-NZ"/>
              </w:rPr>
            </w:pPr>
            <w:r w:rsidRPr="0013755D">
              <w:t>2</w:t>
            </w:r>
          </w:p>
        </w:tc>
      </w:tr>
      <w:tr w:rsidTr="003D06D6">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3.4</w:t>
            </w:r>
          </w:p>
        </w:tc>
      </w:tr>
      <w:tr w:rsidTr="003D06D6">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13755D" w:rsidP="0013755D">
            <w:pPr>
              <w:pStyle w:val="BodyText"/>
            </w:pPr>
            <w:r w:rsidRPr="0013755D">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13755D" w:rsidP="0013755D">
            <w:pPr>
              <w:pStyle w:val="BodyText"/>
            </w:pPr>
            <w:r w:rsidRPr="0013755D">
              <w:rPr>
                <w:rStyle w:val="SpecialBold"/>
              </w:rPr>
              <w:t>8</w:t>
            </w:r>
            <w:r w:rsidRPr="0013755D">
              <w:t>.</w:t>
            </w:r>
            <w:r w:rsidRPr="0013755D">
              <w:rPr>
                <w:rStyle w:val="SpecialBold"/>
              </w:rPr>
              <w:t>7</w:t>
            </w:r>
            <w:r w:rsidRPr="0013755D">
              <w:t xml:space="preserve">) </w:t>
            </w:r>
          </w:p>
          <w:p w:rsidR="00000000" w:rsidP="0013755D">
            <w:pPr>
              <w:pStyle w:val="BodyText"/>
              <w:rPr>
                <w:lang w:val="en-NZ"/>
              </w:rPr>
            </w:pPr>
            <w:r w:rsidRPr="0013755D">
              <w:t xml:space="preserve">Evidence that competency in this unit incorporates skills enabling employment is in the context of the following performance. See Volume 2, Part 5 for definitions and an explanation of skills enabling employment. </w:t>
            </w:r>
          </w:p>
        </w:tc>
      </w:tr>
      <w:tr w:rsidTr="003D06D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r w:rsidRPr="0013755D">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rPr>
                <w:rStyle w:val="SpecialBold"/>
              </w:rPr>
              <w:t>Example of Application</w:t>
            </w:r>
          </w:p>
        </w:tc>
      </w:tr>
      <w:tr w:rsidTr="003D06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755D">
            <w:pPr>
              <w:pStyle w:val="BodyText"/>
              <w:rPr>
                <w:lang w:val="en-NZ"/>
              </w:rPr>
            </w:pPr>
            <w:r w:rsidRPr="0013755D">
              <w:t>Refer to the following Performance Criteria for examples of application:</w:t>
            </w:r>
          </w:p>
        </w:tc>
      </w:tr>
      <w:tr w:rsidTr="003D06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All</w:t>
            </w:r>
          </w:p>
        </w:tc>
      </w:tr>
      <w:tr w:rsidTr="003D06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755D">
            <w:pPr>
              <w:pStyle w:val="BodyText"/>
              <w:rPr>
                <w:lang w:val="en-NZ"/>
              </w:rPr>
            </w:pPr>
            <w:r w:rsidRPr="0013755D">
              <w:t>Refer to the following Performance Criteria for examples of application:</w:t>
            </w:r>
          </w:p>
        </w:tc>
      </w:tr>
      <w:tr w:rsidTr="003D06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2.6; 2.7</w:t>
            </w:r>
          </w:p>
        </w:tc>
      </w:tr>
      <w:tr w:rsidTr="003D06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755D">
            <w:pPr>
              <w:pStyle w:val="BodyText"/>
              <w:rPr>
                <w:lang w:val="en-NZ"/>
              </w:rPr>
            </w:pPr>
            <w:r w:rsidRPr="0013755D">
              <w:t>Refer to the following Performance Criteria for examples of application:</w:t>
            </w:r>
          </w:p>
        </w:tc>
      </w:tr>
      <w:tr w:rsidTr="003D06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3.4; 3.6</w:t>
            </w:r>
          </w:p>
        </w:tc>
      </w:tr>
      <w:tr w:rsidTr="003D06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755D">
            <w:pPr>
              <w:pStyle w:val="BodyText"/>
              <w:rPr>
                <w:lang w:val="en-NZ"/>
              </w:rPr>
            </w:pPr>
            <w:r w:rsidRPr="0013755D">
              <w:t>Refer to the following Performance Criteria for examples of application:</w:t>
            </w:r>
          </w:p>
        </w:tc>
      </w:tr>
      <w:tr w:rsidTr="003D06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1.4; 1.9; 3.6</w:t>
            </w:r>
          </w:p>
        </w:tc>
      </w:tr>
      <w:tr w:rsidTr="003D06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Planning and organising the meaningful work task</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Refer to the following Performance Criteria for examples of application:</w:t>
            </w:r>
          </w:p>
        </w:tc>
      </w:tr>
      <w:tr w:rsidTr="003D06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1.4; 1.5; 1.7; 1.9</w:t>
            </w:r>
          </w:p>
        </w:tc>
      </w:tr>
      <w:tr w:rsidTr="003D06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55D">
            <w:pPr>
              <w:pStyle w:val="BodyText"/>
              <w:rPr>
                <w:lang w:val="en-NZ"/>
              </w:rPr>
            </w:pPr>
            <w:r w:rsidRPr="0013755D">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755D">
            <w:pPr>
              <w:pStyle w:val="BodyText"/>
              <w:rPr>
                <w:lang w:val="en-NZ"/>
              </w:rPr>
            </w:pPr>
            <w:r w:rsidRPr="0013755D">
              <w:t>Refer to the following Performance Criteria for examples of application:</w:t>
            </w:r>
          </w:p>
        </w:tc>
      </w:tr>
      <w:tr w:rsidTr="003D06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3755D" w:rsidP="0013755D">
            <w:pPr>
              <w:pStyle w:val="BodyText"/>
            </w:pPr>
            <w:r w:rsidRPr="0013755D">
              <w:t>2.6</w:t>
            </w:r>
          </w:p>
        </w:tc>
      </w:tr>
    </w:tbl>
    <w:p w:rsidR="003D06D6" w:rsidP="0013755D">
      <w:pPr>
        <w:pStyle w:val="BodyText"/>
      </w:pPr>
    </w:p>
    <w:p w:rsidR="003D06D6" w:rsidP="0013755D">
      <w:pPr>
        <w:pStyle w:val="BodyText"/>
      </w:pPr>
    </w:p>
    <w:p w:rsidR="00000000" w:rsidRPr="0013755D" w:rsidP="0013755D">
      <w:pPr>
        <w:pStyle w:val="Heading1"/>
      </w:pPr>
      <w:bookmarkStart w:id="11" w:name="O_255822"/>
      <w:bookmarkEnd w:id="11"/>
      <w:r w:rsidRPr="0013755D">
        <w:t>Range Statement</w:t>
      </w:r>
    </w:p>
    <w:tbl>
      <w:tblPr>
        <w:tblW w:w="0" w:type="auto"/>
        <w:tblLayout w:type="fixed"/>
        <w:tblCellMar>
          <w:left w:w="62" w:type="dxa"/>
          <w:right w:w="62" w:type="dxa"/>
        </w:tblCellMar>
        <w:tblLook w:val="0000"/>
      </w:tblPr>
      <w:tblGrid>
        <w:gridCol w:w="8460"/>
      </w:tblGrid>
      <w:tr w:rsidTr="003D06D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rPr>
                <w:rStyle w:val="SpecialBold"/>
              </w:rPr>
              <w:t>RANGE STATEMENT</w:t>
            </w:r>
          </w:p>
        </w:tc>
      </w:tr>
      <w:tr w:rsidTr="003D06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rPr>
                <w:rStyle w:val="SpecialBold"/>
              </w:rPr>
              <w:t>7</w:t>
            </w:r>
            <w:r w:rsidRPr="0013755D">
              <w:t xml:space="preserve">) This relates to the competency standard unit as a whole providing the range of contexts and conditions </w:t>
            </w:r>
            <w:r w:rsidRPr="0013755D">
              <w:t>to which the Performance Criteria apply. It allows for different work environments and situations that will affect performance.</w:t>
            </w:r>
          </w:p>
        </w:tc>
      </w:tr>
      <w:tr w:rsidTr="003D06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t>This Competency Standard Unit shall/may be demonstrated in relation to performing minor m</w:t>
            </w:r>
            <w:r w:rsidRPr="0013755D">
              <w:t>aintenance on gas processing/storage facilities and equipment.</w:t>
            </w:r>
          </w:p>
          <w:p w:rsidR="00000000" w:rsidRPr="0013755D" w:rsidP="0013755D">
            <w:pPr>
              <w:pStyle w:val="BodyText"/>
            </w:pPr>
            <w:r w:rsidRPr="0013755D">
              <w:t>The following constants and variables included in the element/Performance Criteria in this unit are fully described in the Definitions Section of this volume and form an integral part of the Ra</w:t>
            </w:r>
            <w:r w:rsidRPr="0013755D">
              <w:t xml:space="preserve">nge Statement of this unit: </w:t>
            </w:r>
          </w:p>
          <w:p w:rsidR="00000000" w:rsidRPr="0013755D" w:rsidP="0013755D">
            <w:pPr>
              <w:pStyle w:val="BodyText"/>
            </w:pPr>
            <w:r w:rsidRPr="0013755D">
              <w:t xml:space="preserve">Pressure vessels and fittings </w:t>
            </w:r>
          </w:p>
          <w:p w:rsidR="00000000" w:rsidRPr="0013755D" w:rsidP="0013755D">
            <w:pPr>
              <w:pStyle w:val="BodyText"/>
            </w:pPr>
            <w:r w:rsidRPr="0013755D">
              <w:t xml:space="preserve">Types of variations or irregularities </w:t>
            </w:r>
          </w:p>
          <w:p w:rsidR="00000000" w:rsidRPr="0013755D" w:rsidP="0013755D">
            <w:pPr>
              <w:pStyle w:val="BodyText"/>
            </w:pPr>
            <w:r w:rsidRPr="0013755D">
              <w:t xml:space="preserve">Appropriate parts </w:t>
            </w:r>
          </w:p>
          <w:p w:rsidR="00000000" w:rsidRPr="0013755D" w:rsidP="0013755D">
            <w:pPr>
              <w:pStyle w:val="BodyText"/>
            </w:pPr>
            <w:r w:rsidRPr="0013755D">
              <w:t xml:space="preserve">Types of adjustments </w:t>
            </w:r>
          </w:p>
          <w:p w:rsidR="00000000" w:rsidRPr="0013755D" w:rsidP="0013755D">
            <w:pPr>
              <w:pStyle w:val="BodyText"/>
            </w:pPr>
            <w:r w:rsidRPr="0013755D">
              <w:t xml:space="preserve">Documents </w:t>
            </w:r>
          </w:p>
          <w:p w:rsidR="00000000" w:rsidRPr="0013755D" w:rsidP="0013755D">
            <w:pPr>
              <w:pStyle w:val="BodyText"/>
            </w:pPr>
            <w:r w:rsidRPr="0013755D">
              <w:t>Documentation (3)</w:t>
            </w:r>
          </w:p>
        </w:tc>
      </w:tr>
    </w:tbl>
    <w:p w:rsidR="003D06D6" w:rsidP="0013755D">
      <w:pPr>
        <w:pStyle w:val="BodyText"/>
      </w:pPr>
    </w:p>
    <w:p w:rsidR="003D06D6" w:rsidP="0013755D">
      <w:pPr>
        <w:pStyle w:val="BodyText"/>
      </w:pPr>
    </w:p>
    <w:p w:rsidR="00000000" w:rsidRPr="0013755D" w:rsidP="0013755D">
      <w:pPr>
        <w:pStyle w:val="Heading1"/>
      </w:pPr>
      <w:bookmarkStart w:id="12" w:name="O_296835"/>
      <w:bookmarkEnd w:id="12"/>
      <w:r w:rsidRPr="0013755D">
        <w:t>Unit Sector(s)</w:t>
      </w:r>
    </w:p>
    <w:p w:rsidR="00000000" w:rsidRPr="0013755D" w:rsidP="0013755D">
      <w:pPr>
        <w:pStyle w:val="BodyText"/>
      </w:pPr>
      <w:r w:rsidRPr="0013755D">
        <w:t>Not Applicable</w:t>
      </w:r>
    </w:p>
    <w:p w:rsidR="00000000" w:rsidRPr="0013755D" w:rsidP="0013755D">
      <w:pPr>
        <w:pStyle w:val="AllowPageBreak"/>
      </w:pPr>
    </w:p>
    <w:p w:rsidR="00000000" w:rsidRPr="0013755D" w:rsidP="0013755D">
      <w:pPr>
        <w:pStyle w:val="Heading1"/>
      </w:pPr>
      <w:bookmarkStart w:id="13" w:name="O_229669"/>
      <w:bookmarkEnd w:id="13"/>
      <w:r w:rsidRPr="0013755D">
        <w:t>Literacy and numera</w:t>
      </w:r>
      <w:r w:rsidRPr="0013755D">
        <w:t>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D06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2</w:t>
            </w:r>
            <w:r w:rsidRPr="0013755D">
              <w:t>.</w:t>
            </w:r>
            <w:r w:rsidRPr="0013755D">
              <w:rPr>
                <w:rStyle w:val="SpecialBold"/>
              </w:rPr>
              <w:t>2</w:t>
            </w:r>
            <w:r w:rsidRPr="0013755D">
              <w:t xml:space="preserve">) </w:t>
            </w:r>
          </w:p>
          <w:p w:rsidR="00000000" w:rsidP="0013755D">
            <w:pPr>
              <w:pStyle w:val="BodyText"/>
              <w:rPr>
                <w:lang w:val="en-NZ"/>
              </w:rPr>
            </w:pPr>
            <w:r w:rsidRPr="0013755D">
              <w:t>Participants are best equipped to achieve this unit if they have reading, writing and numeracy skills indicated by the following scales. Description of each scale is given in Volume 2, Part 3 'Literacy and Numer</w:t>
            </w:r>
            <w:r w:rsidRPr="0013755D">
              <w:t>acy'</w:t>
            </w:r>
          </w:p>
        </w:tc>
      </w:tr>
      <w:tr w:rsidTr="003D06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Reading</w:t>
            </w:r>
          </w:p>
        </w:tc>
        <w:tc>
          <w:tcPr>
            <w:tcW w:w="805"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3</w:t>
            </w:r>
          </w:p>
        </w:tc>
        <w:tc>
          <w:tcPr>
            <w:tcW w:w="1184"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Writing</w:t>
            </w:r>
          </w:p>
        </w:tc>
        <w:tc>
          <w:tcPr>
            <w:tcW w:w="805"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3</w:t>
            </w:r>
          </w:p>
        </w:tc>
        <w:tc>
          <w:tcPr>
            <w:tcW w:w="1172"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t>Numeracy</w:t>
            </w:r>
          </w:p>
        </w:tc>
        <w:tc>
          <w:tcPr>
            <w:tcW w:w="805" w:type="dxa"/>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t>3</w:t>
            </w:r>
          </w:p>
        </w:tc>
      </w:tr>
    </w:tbl>
    <w:p w:rsidR="003D06D6" w:rsidP="0013755D">
      <w:pPr>
        <w:pStyle w:val="BodyText"/>
      </w:pPr>
    </w:p>
    <w:p w:rsidR="003D06D6" w:rsidP="0013755D">
      <w:pPr>
        <w:pStyle w:val="BodyText"/>
      </w:pPr>
    </w:p>
    <w:p w:rsidR="00000000" w:rsidRPr="0013755D" w:rsidP="0013755D">
      <w:pPr>
        <w:pStyle w:val="Heading1"/>
      </w:pPr>
      <w:bookmarkStart w:id="14" w:name="O_229672"/>
      <w:bookmarkEnd w:id="14"/>
      <w:r w:rsidRPr="0013755D">
        <w:t>Competency Field</w:t>
      </w:r>
    </w:p>
    <w:tbl>
      <w:tblPr>
        <w:tblW w:w="0" w:type="auto"/>
        <w:tblLayout w:type="fixed"/>
        <w:tblCellMar>
          <w:left w:w="62" w:type="dxa"/>
          <w:right w:w="62" w:type="dxa"/>
        </w:tblCellMar>
        <w:tblLook w:val="0000"/>
      </w:tblPr>
      <w:tblGrid>
        <w:gridCol w:w="2700"/>
        <w:gridCol w:w="5760"/>
      </w:tblGrid>
      <w:tr w:rsidTr="003D06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3755D">
            <w:pPr>
              <w:pStyle w:val="BodyText"/>
              <w:rPr>
                <w:lang w:val="en-NZ"/>
              </w:rPr>
            </w:pPr>
            <w:r w:rsidRPr="0013755D">
              <w:rPr>
                <w:rStyle w:val="SpecialBold"/>
              </w:rPr>
              <w:t>4</w:t>
            </w:r>
            <w:r w:rsidRPr="0013755D">
              <w:t>)</w:t>
            </w:r>
          </w:p>
        </w:tc>
      </w:tr>
      <w:tr w:rsidTr="003D06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755D" w:rsidP="0013755D">
            <w:pPr>
              <w:pStyle w:val="BodyText"/>
            </w:pPr>
            <w:r w:rsidRPr="0013755D">
              <w:t>LPG.</w:t>
            </w:r>
          </w:p>
        </w:tc>
      </w:tr>
    </w:tbl>
    <w:p w:rsidR="003D06D6" w:rsidP="0013755D">
      <w:pPr>
        <w:pStyle w:val="BodyText"/>
      </w:pPr>
    </w:p>
    <w:p w:rsidR="003D06D6" w:rsidP="0013755D">
      <w:pPr>
        <w:pStyle w:val="BodyText"/>
      </w:pPr>
    </w:p>
    <w:p w:rsidR="00000000" w:rsidRPr="0013755D" w:rsidP="0013755D"/>
    <w:sectPr w:rsidSect="001375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06D6" w:rsidP="003D06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6D6" w:rsidP="001375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D06D6" w:rsidP="001375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D06D6" w:rsidP="001375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5D" w:rsidRPr="003D06D6" w:rsidP="003D06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6D6" w:rsidRPr="002D2AF8" w:rsidP="0013755D">
    <w:pPr>
      <w:pStyle w:val="Header"/>
      <w:framePr w:wrap="around"/>
    </w:pPr>
    <w:r>
      <w:fldChar w:fldCharType="begin"/>
    </w:r>
    <w:r>
      <w:instrText xml:space="preserve"> TITLE   \* MERGEFORMAT </w:instrText>
    </w:r>
    <w:r>
      <w:fldChar w:fldCharType="separate"/>
    </w:r>
    <w:r>
      <w:t>UEGNSG608A Perform minor maintenance on gas processing/storage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D06D6" w:rsidP="001375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B476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84B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2C45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5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55D"/>
    <w:pPr>
      <w:spacing w:before="360" w:after="60"/>
      <w:outlineLvl w:val="0"/>
    </w:pPr>
    <w:rPr>
      <w:sz w:val="32"/>
    </w:rPr>
  </w:style>
  <w:style w:type="paragraph" w:styleId="Heading2">
    <w:name w:val="heading 2"/>
    <w:basedOn w:val="HeadingBase"/>
    <w:next w:val="BodyText"/>
    <w:link w:val="Heading2Char"/>
    <w:qFormat/>
    <w:rsid w:val="0013755D"/>
    <w:pPr>
      <w:keepLines/>
      <w:spacing w:before="240" w:after="120"/>
      <w:outlineLvl w:val="1"/>
    </w:pPr>
    <w:rPr>
      <w:sz w:val="28"/>
      <w:szCs w:val="40"/>
    </w:rPr>
  </w:style>
  <w:style w:type="paragraph" w:styleId="Heading3">
    <w:name w:val="heading 3"/>
    <w:basedOn w:val="HeadingBase"/>
    <w:next w:val="BodyText"/>
    <w:link w:val="Heading3Char"/>
    <w:qFormat/>
    <w:rsid w:val="0013755D"/>
    <w:pPr>
      <w:spacing w:before="180" w:after="120"/>
      <w:outlineLvl w:val="2"/>
    </w:pPr>
    <w:rPr>
      <w:spacing w:val="-10"/>
      <w:kern w:val="32"/>
    </w:rPr>
  </w:style>
  <w:style w:type="paragraph" w:styleId="Heading4">
    <w:name w:val="heading 4"/>
    <w:basedOn w:val="HeadingBase"/>
    <w:next w:val="BodyText"/>
    <w:link w:val="Heading4Char"/>
    <w:qFormat/>
    <w:rsid w:val="0013755D"/>
    <w:pPr>
      <w:spacing w:before="160" w:after="120"/>
      <w:outlineLvl w:val="3"/>
    </w:pPr>
    <w:rPr>
      <w:sz w:val="22"/>
    </w:rPr>
  </w:style>
  <w:style w:type="paragraph" w:styleId="Heading5">
    <w:name w:val="heading 5"/>
    <w:basedOn w:val="HeadingBase"/>
    <w:next w:val="Normal"/>
    <w:link w:val="Heading5Char"/>
    <w:qFormat/>
    <w:rsid w:val="0013755D"/>
    <w:pPr>
      <w:spacing w:before="80"/>
      <w:outlineLvl w:val="4"/>
    </w:pPr>
    <w:rPr>
      <w:color w:val="918585"/>
      <w:sz w:val="20"/>
    </w:rPr>
  </w:style>
  <w:style w:type="paragraph" w:styleId="Heading6">
    <w:name w:val="heading 6"/>
    <w:basedOn w:val="HeadingBase"/>
    <w:next w:val="Normal"/>
    <w:link w:val="Heading6Char"/>
    <w:qFormat/>
    <w:rsid w:val="0013755D"/>
    <w:pPr>
      <w:spacing w:before="60"/>
      <w:outlineLvl w:val="5"/>
    </w:pPr>
    <w:rPr>
      <w:color w:val="918585"/>
      <w:sz w:val="20"/>
    </w:rPr>
  </w:style>
  <w:style w:type="paragraph" w:styleId="Heading7">
    <w:name w:val="heading 7"/>
    <w:basedOn w:val="Normal"/>
    <w:next w:val="Normal"/>
    <w:link w:val="Heading7Char"/>
    <w:qFormat/>
    <w:rsid w:val="0013755D"/>
    <w:pPr>
      <w:ind w:left="720"/>
      <w:outlineLvl w:val="6"/>
    </w:pPr>
    <w:rPr>
      <w:i/>
    </w:rPr>
  </w:style>
  <w:style w:type="paragraph" w:styleId="Heading8">
    <w:name w:val="heading 8"/>
    <w:basedOn w:val="Normal"/>
    <w:next w:val="Normal"/>
    <w:link w:val="Heading8Char"/>
    <w:qFormat/>
    <w:rsid w:val="0013755D"/>
    <w:pPr>
      <w:ind w:left="720"/>
      <w:outlineLvl w:val="7"/>
    </w:pPr>
    <w:rPr>
      <w:i/>
    </w:rPr>
  </w:style>
  <w:style w:type="paragraph" w:styleId="Heading9">
    <w:name w:val="heading 9"/>
    <w:basedOn w:val="Normal"/>
    <w:next w:val="Normal"/>
    <w:link w:val="Heading9Char"/>
    <w:qFormat/>
    <w:rsid w:val="0013755D"/>
    <w:pPr>
      <w:ind w:left="720"/>
      <w:outlineLvl w:val="8"/>
    </w:pPr>
    <w:rPr>
      <w:i/>
    </w:rPr>
  </w:style>
  <w:style w:type="character" w:default="1" w:styleId="DefaultParagraphFont">
    <w:name w:val="Default Paragraph Font"/>
    <w:uiPriority w:val="1"/>
    <w:unhideWhenUsed/>
    <w:rsid w:val="001375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55D"/>
  </w:style>
  <w:style w:type="character" w:customStyle="1" w:styleId="Heading1Char">
    <w:name w:val="Heading 1 Char"/>
    <w:basedOn w:val="DefaultParagraphFont"/>
    <w:link w:val="Heading1"/>
    <w:rsid w:val="0013755D"/>
    <w:rPr>
      <w:rFonts w:ascii="Times New Roman" w:eastAsia="Times New Roman" w:hAnsi="Times New Roman" w:cs="Times New Roman"/>
      <w:b/>
      <w:sz w:val="32"/>
      <w:szCs w:val="20"/>
      <w:lang w:eastAsia="en-US"/>
    </w:rPr>
  </w:style>
  <w:style w:type="paragraph" w:styleId="BodyText">
    <w:name w:val="Body Text"/>
    <w:basedOn w:val="Normal"/>
    <w:link w:val="BodyTextChar"/>
    <w:rsid w:val="001375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755D"/>
    <w:rPr>
      <w:rFonts w:ascii="Times New Roman" w:eastAsia="Times New Roman" w:hAnsi="Times New Roman" w:cs="Times New Roman"/>
      <w:sz w:val="24"/>
      <w:lang w:eastAsia="en-US"/>
    </w:rPr>
  </w:style>
  <w:style w:type="paragraph" w:styleId="Footer">
    <w:name w:val="footer"/>
    <w:basedOn w:val="Normal"/>
    <w:link w:val="FooterChar"/>
    <w:rsid w:val="001375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55D"/>
    <w:rPr>
      <w:rFonts w:ascii="Times New Roman" w:eastAsia="Times New Roman" w:hAnsi="Times New Roman" w:cs="Times New Roman"/>
      <w:sz w:val="16"/>
      <w:lang w:eastAsia="en-US"/>
    </w:rPr>
  </w:style>
  <w:style w:type="paragraph" w:styleId="ListBullet">
    <w:name w:val="List Bullet"/>
    <w:basedOn w:val="List"/>
    <w:rsid w:val="0013755D"/>
    <w:pPr>
      <w:numPr>
        <w:numId w:val="13"/>
      </w:numPr>
      <w:tabs>
        <w:tab w:val="clear" w:pos="340"/>
      </w:tabs>
      <w:spacing w:before="40" w:after="40"/>
    </w:pPr>
  </w:style>
  <w:style w:type="character" w:customStyle="1" w:styleId="SpecialBold">
    <w:name w:val="Special Bold"/>
    <w:basedOn w:val="DefaultParagraphFont"/>
    <w:rsid w:val="0013755D"/>
    <w:rPr>
      <w:b/>
      <w:spacing w:val="0"/>
    </w:rPr>
  </w:style>
  <w:style w:type="paragraph" w:styleId="ListBullet2">
    <w:name w:val="List Bullet 2"/>
    <w:basedOn w:val="List2"/>
    <w:rsid w:val="0013755D"/>
    <w:pPr>
      <w:numPr>
        <w:numId w:val="14"/>
      </w:numPr>
      <w:tabs>
        <w:tab w:val="clear" w:pos="680"/>
      </w:tabs>
    </w:pPr>
  </w:style>
  <w:style w:type="paragraph" w:customStyle="1" w:styleId="SuperHeading">
    <w:name w:val="SuperHeading"/>
    <w:basedOn w:val="Normal"/>
    <w:rsid w:val="0013755D"/>
    <w:pPr>
      <w:spacing w:before="240" w:after="120"/>
      <w:outlineLvl w:val="0"/>
    </w:pPr>
    <w:rPr>
      <w:rFonts w:ascii="Times New Roman" w:hAnsi="Times New Roman"/>
      <w:b/>
      <w:sz w:val="28"/>
    </w:rPr>
  </w:style>
  <w:style w:type="paragraph" w:customStyle="1" w:styleId="AllowPageBreak">
    <w:name w:val="AllowPageBreak"/>
    <w:rsid w:val="001375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75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5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5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5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5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5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5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55D"/>
    <w:rPr>
      <w:rFonts w:ascii="Courier New" w:eastAsia="Times New Roman" w:hAnsi="Courier New" w:cs="Times New Roman"/>
      <w:i/>
      <w:szCs w:val="20"/>
      <w:lang w:eastAsia="en-US"/>
    </w:rPr>
  </w:style>
  <w:style w:type="paragraph" w:customStyle="1" w:styleId="HeadingBase">
    <w:name w:val="Heading Base"/>
    <w:rsid w:val="001375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55D"/>
    <w:pPr>
      <w:tabs>
        <w:tab w:val="right" w:leader="dot" w:pos="9072"/>
      </w:tabs>
      <w:ind w:left="567"/>
    </w:pPr>
    <w:rPr>
      <w:szCs w:val="22"/>
    </w:rPr>
  </w:style>
  <w:style w:type="paragraph" w:customStyle="1" w:styleId="TOCBase">
    <w:name w:val="TOC Base"/>
    <w:rsid w:val="001375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55D"/>
    <w:pPr>
      <w:tabs>
        <w:tab w:val="right" w:leader="dot" w:pos="9072"/>
      </w:tabs>
      <w:spacing w:before="40" w:after="40"/>
      <w:ind w:left="284"/>
    </w:pPr>
    <w:rPr>
      <w:rFonts w:ascii="Times New Roman" w:hAnsi="Times New Roman"/>
    </w:rPr>
  </w:style>
  <w:style w:type="paragraph" w:styleId="TOC1">
    <w:name w:val="toc 1"/>
    <w:basedOn w:val="TOCBase"/>
    <w:next w:val="Normal"/>
    <w:rsid w:val="001375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755D"/>
    <w:pPr>
      <w:spacing w:before="5040"/>
      <w:jc w:val="center"/>
    </w:pPr>
    <w:rPr>
      <w:sz w:val="48"/>
      <w:szCs w:val="72"/>
      <w:lang w:val="en-US"/>
    </w:rPr>
  </w:style>
  <w:style w:type="character" w:customStyle="1" w:styleId="TitleChar">
    <w:name w:val="Title Char"/>
    <w:basedOn w:val="DefaultParagraphFont"/>
    <w:link w:val="Title"/>
    <w:rsid w:val="001375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55D"/>
    <w:pPr>
      <w:tabs>
        <w:tab w:val="left" w:pos="3600"/>
        <w:tab w:val="left" w:pos="3958"/>
      </w:tabs>
    </w:pPr>
  </w:style>
  <w:style w:type="paragraph" w:styleId="List">
    <w:name w:val="List"/>
    <w:basedOn w:val="BodyText"/>
    <w:next w:val="BodyText"/>
    <w:rsid w:val="0013755D"/>
    <w:pPr>
      <w:tabs>
        <w:tab w:val="left" w:pos="340"/>
      </w:tabs>
      <w:spacing w:before="60" w:after="60"/>
      <w:ind w:left="340" w:hanging="340"/>
    </w:pPr>
  </w:style>
  <w:style w:type="paragraph" w:customStyle="1" w:styleId="Note">
    <w:name w:val="Note"/>
    <w:basedOn w:val="BodyText"/>
    <w:rsid w:val="001375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55D"/>
    <w:pPr>
      <w:framePr w:wrap="auto" w:hAnchor="text" w:y="6049"/>
    </w:pPr>
    <w:rPr>
      <w:color w:val="000000"/>
      <w:sz w:val="40"/>
    </w:rPr>
  </w:style>
  <w:style w:type="paragraph" w:customStyle="1" w:styleId="TOCTitle">
    <w:name w:val="TOCTitle"/>
    <w:basedOn w:val="Heading1"/>
    <w:rsid w:val="0013755D"/>
    <w:pPr>
      <w:spacing w:after="240"/>
      <w:jc w:val="center"/>
      <w:outlineLvl w:val="9"/>
    </w:pPr>
    <w:rPr>
      <w:caps/>
    </w:rPr>
  </w:style>
  <w:style w:type="paragraph" w:customStyle="1" w:styleId="Version">
    <w:name w:val="Version"/>
    <w:rsid w:val="001375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55D"/>
    <w:pPr>
      <w:keepNext w:val="0"/>
      <w:tabs>
        <w:tab w:val="right" w:pos="4176"/>
      </w:tabs>
      <w:ind w:left="198" w:hanging="198"/>
    </w:pPr>
    <w:rPr>
      <w:rFonts w:ascii="Garamond" w:hAnsi="Garamond"/>
    </w:rPr>
  </w:style>
  <w:style w:type="paragraph" w:styleId="IndexHeading">
    <w:name w:val="index heading"/>
    <w:basedOn w:val="Normal"/>
    <w:next w:val="Index1"/>
    <w:semiHidden/>
    <w:rsid w:val="0013755D"/>
    <w:pPr>
      <w:spacing w:before="120" w:after="120"/>
    </w:pPr>
    <w:rPr>
      <w:rFonts w:ascii="Arial" w:hAnsi="Arial"/>
      <w:b/>
      <w:color w:val="918585"/>
      <w:sz w:val="24"/>
    </w:rPr>
  </w:style>
  <w:style w:type="paragraph" w:styleId="Header">
    <w:name w:val="header"/>
    <w:basedOn w:val="Normal"/>
    <w:link w:val="HeaderChar"/>
    <w:rsid w:val="001375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55D"/>
    <w:rPr>
      <w:rFonts w:ascii="Times New Roman" w:eastAsia="Times New Roman" w:hAnsi="Times New Roman" w:cs="Times New Roman"/>
      <w:sz w:val="16"/>
      <w:szCs w:val="20"/>
      <w:lang w:val="en-GB" w:eastAsia="en-US"/>
    </w:rPr>
  </w:style>
  <w:style w:type="paragraph" w:customStyle="1" w:styleId="Chapter">
    <w:name w:val="Chapter"/>
    <w:basedOn w:val="Normal"/>
    <w:rsid w:val="0013755D"/>
    <w:pPr>
      <w:spacing w:before="240"/>
    </w:pPr>
    <w:rPr>
      <w:rFonts w:ascii="Times New Roman" w:hAnsi="Times New Roman"/>
      <w:smallCaps/>
      <w:spacing w:val="80"/>
      <w:sz w:val="28"/>
    </w:rPr>
  </w:style>
  <w:style w:type="paragraph" w:customStyle="1" w:styleId="InChapter">
    <w:name w:val="InChapter"/>
    <w:basedOn w:val="Heading3"/>
    <w:rsid w:val="0013755D"/>
    <w:pPr>
      <w:spacing w:after="240"/>
      <w:outlineLvl w:val="9"/>
    </w:pPr>
    <w:rPr>
      <w:noProof/>
    </w:rPr>
  </w:style>
  <w:style w:type="paragraph" w:styleId="Index2">
    <w:name w:val="index 2"/>
    <w:basedOn w:val="Normal"/>
    <w:next w:val="Normal"/>
    <w:semiHidden/>
    <w:rsid w:val="0013755D"/>
    <w:pPr>
      <w:tabs>
        <w:tab w:val="right" w:pos="4176"/>
      </w:tabs>
      <w:ind w:left="568" w:hanging="284"/>
    </w:pPr>
    <w:rPr>
      <w:rFonts w:ascii="Garamond" w:hAnsi="Garamond"/>
    </w:rPr>
  </w:style>
  <w:style w:type="paragraph" w:customStyle="1" w:styleId="Byline">
    <w:name w:val="Byline"/>
    <w:rsid w:val="001375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55D"/>
    <w:pPr>
      <w:tabs>
        <w:tab w:val="clear" w:pos="3600"/>
        <w:tab w:val="clear" w:pos="3958"/>
      </w:tabs>
      <w:jc w:val="right"/>
    </w:pPr>
  </w:style>
  <w:style w:type="character" w:styleId="Emphasis">
    <w:name w:val="Emphasis"/>
    <w:basedOn w:val="DefaultParagraphFont"/>
    <w:qFormat/>
    <w:rsid w:val="0013755D"/>
    <w:rPr>
      <w:i/>
    </w:rPr>
  </w:style>
  <w:style w:type="paragraph" w:styleId="Caption">
    <w:name w:val="caption"/>
    <w:basedOn w:val="BodyText"/>
    <w:next w:val="Normal"/>
    <w:qFormat/>
    <w:rsid w:val="0013755D"/>
    <w:pPr>
      <w:framePr w:w="2268" w:hSpace="181" w:vSpace="181" w:wrap="around" w:vAnchor="text" w:hAnchor="page" w:x="1135" w:y="285" w:anchorLock="1"/>
    </w:pPr>
    <w:rPr>
      <w:i/>
    </w:rPr>
  </w:style>
  <w:style w:type="paragraph" w:customStyle="1" w:styleId="MiniTOCTitle">
    <w:name w:val="MiniTOCTitle"/>
    <w:basedOn w:val="Heading4"/>
    <w:rsid w:val="0013755D"/>
    <w:pPr>
      <w:spacing w:before="240"/>
      <w:outlineLvl w:val="9"/>
    </w:pPr>
    <w:rPr>
      <w:noProof/>
      <w:sz w:val="24"/>
    </w:rPr>
  </w:style>
  <w:style w:type="paragraph" w:customStyle="1" w:styleId="MiniTOCItem">
    <w:name w:val="MiniTOCItem"/>
    <w:basedOn w:val="ListBullet"/>
    <w:rsid w:val="0013755D"/>
    <w:pPr>
      <w:numPr>
        <w:numId w:val="0"/>
      </w:numPr>
      <w:tabs>
        <w:tab w:val="right" w:leader="dot" w:pos="6521"/>
      </w:tabs>
      <w:spacing w:before="0" w:after="0"/>
    </w:pPr>
  </w:style>
  <w:style w:type="paragraph" w:customStyle="1" w:styleId="TOFTitle">
    <w:name w:val="TOFTitle"/>
    <w:basedOn w:val="TOCTitle"/>
    <w:rsid w:val="0013755D"/>
  </w:style>
  <w:style w:type="paragraph" w:styleId="TableofFigures">
    <w:name w:val="table of figures"/>
    <w:basedOn w:val="Normal"/>
    <w:next w:val="Normal"/>
    <w:semiHidden/>
    <w:rsid w:val="0013755D"/>
    <w:pPr>
      <w:tabs>
        <w:tab w:val="right" w:leader="dot" w:pos="9072"/>
      </w:tabs>
      <w:ind w:left="970" w:hanging="403"/>
    </w:pPr>
    <w:rPr>
      <w:rFonts w:ascii="Times New Roman" w:hAnsi="Times New Roman"/>
      <w:b/>
    </w:rPr>
  </w:style>
  <w:style w:type="paragraph" w:styleId="ListNumber">
    <w:name w:val="List Number"/>
    <w:basedOn w:val="List"/>
    <w:rsid w:val="0013755D"/>
    <w:pPr>
      <w:numPr>
        <w:numId w:val="11"/>
      </w:numPr>
    </w:pPr>
  </w:style>
  <w:style w:type="character" w:customStyle="1" w:styleId="WingdingSymbols">
    <w:name w:val="Wingding Symbols"/>
    <w:rsid w:val="0013755D"/>
    <w:rPr>
      <w:rFonts w:ascii="Wingdings" w:hAnsi="Wingdings"/>
    </w:rPr>
  </w:style>
  <w:style w:type="paragraph" w:customStyle="1" w:styleId="TableHeading">
    <w:name w:val="Table Heading"/>
    <w:basedOn w:val="HeadingBase"/>
    <w:rsid w:val="0013755D"/>
    <w:pPr>
      <w:keepLines/>
      <w:pBdr>
        <w:bottom w:val="single" w:sz="6" w:space="1" w:color="918585"/>
      </w:pBdr>
      <w:spacing w:before="240"/>
    </w:pPr>
  </w:style>
  <w:style w:type="character" w:customStyle="1" w:styleId="HotSpot">
    <w:name w:val="HotSpot"/>
    <w:rsid w:val="0013755D"/>
    <w:rPr>
      <w:color w:val="0033CC"/>
      <w:u w:val="none"/>
    </w:rPr>
  </w:style>
  <w:style w:type="paragraph" w:customStyle="1" w:styleId="BodyTextRight">
    <w:name w:val="Body Text Right"/>
    <w:basedOn w:val="BodyText"/>
    <w:rsid w:val="0013755D"/>
    <w:pPr>
      <w:spacing w:before="0" w:after="0"/>
      <w:jc w:val="right"/>
    </w:pPr>
  </w:style>
  <w:style w:type="paragraph" w:styleId="Index3">
    <w:name w:val="index 3"/>
    <w:basedOn w:val="ListNumber2"/>
    <w:next w:val="Normal"/>
    <w:semiHidden/>
    <w:rsid w:val="0013755D"/>
    <w:pPr>
      <w:numPr>
        <w:numId w:val="0"/>
      </w:numPr>
      <w:tabs>
        <w:tab w:val="right" w:leader="dot" w:pos="4176"/>
      </w:tabs>
    </w:pPr>
  </w:style>
  <w:style w:type="paragraph" w:styleId="ListNumber2">
    <w:name w:val="List Number 2"/>
    <w:basedOn w:val="List2"/>
    <w:rsid w:val="0013755D"/>
    <w:pPr>
      <w:numPr>
        <w:numId w:val="10"/>
      </w:numPr>
      <w:tabs>
        <w:tab w:val="clear" w:pos="1060"/>
      </w:tabs>
    </w:pPr>
  </w:style>
  <w:style w:type="paragraph" w:customStyle="1" w:styleId="MarginNote">
    <w:name w:val="Margin Note"/>
    <w:basedOn w:val="BodyText"/>
    <w:rsid w:val="001375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5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5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55D"/>
    <w:rPr>
      <w:sz w:val="32"/>
    </w:rPr>
  </w:style>
  <w:style w:type="paragraph" w:customStyle="1" w:styleId="HeadingProcedure">
    <w:name w:val="Heading Procedure"/>
    <w:basedOn w:val="HeadingBase"/>
    <w:next w:val="Normal"/>
    <w:rsid w:val="0013755D"/>
    <w:pPr>
      <w:tabs>
        <w:tab w:val="left" w:pos="0"/>
      </w:tabs>
      <w:spacing w:before="120" w:after="60"/>
    </w:pPr>
    <w:rPr>
      <w:i/>
      <w:color w:val="918585"/>
      <w:sz w:val="22"/>
    </w:rPr>
  </w:style>
  <w:style w:type="paragraph" w:customStyle="1" w:styleId="TableBodyText">
    <w:name w:val="Table Body Text"/>
    <w:basedOn w:val="BodyText"/>
    <w:rsid w:val="0013755D"/>
    <w:pPr>
      <w:spacing w:before="60" w:after="60"/>
    </w:pPr>
  </w:style>
  <w:style w:type="paragraph" w:styleId="ListContinue">
    <w:name w:val="List Continue"/>
    <w:basedOn w:val="List"/>
    <w:rsid w:val="0013755D"/>
    <w:pPr>
      <w:ind w:firstLine="0"/>
    </w:pPr>
  </w:style>
  <w:style w:type="paragraph" w:customStyle="1" w:styleId="ListNote">
    <w:name w:val="List Note"/>
    <w:basedOn w:val="List"/>
    <w:rsid w:val="0013755D"/>
    <w:pPr>
      <w:pBdr>
        <w:top w:val="single" w:sz="6" w:space="2" w:color="918585"/>
        <w:bottom w:val="single" w:sz="6" w:space="2" w:color="918585"/>
      </w:pBdr>
      <w:tabs>
        <w:tab w:val="left" w:pos="1021"/>
      </w:tabs>
      <w:ind w:firstLine="0"/>
    </w:pPr>
  </w:style>
  <w:style w:type="paragraph" w:customStyle="1" w:styleId="Warning">
    <w:name w:val="Warning"/>
    <w:basedOn w:val="BodyText"/>
    <w:rsid w:val="0013755D"/>
    <w:pPr>
      <w:shd w:val="clear" w:color="auto" w:fill="D9D9D9"/>
      <w:tabs>
        <w:tab w:val="left" w:pos="992"/>
      </w:tabs>
      <w:ind w:left="119" w:right="119"/>
    </w:pPr>
    <w:rPr>
      <w:sz w:val="20"/>
    </w:rPr>
  </w:style>
  <w:style w:type="paragraph" w:customStyle="1" w:styleId="MarginIcons">
    <w:name w:val="Margin Icons"/>
    <w:basedOn w:val="BodyText"/>
    <w:rsid w:val="001375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55D"/>
    <w:rPr>
      <w:rFonts w:ascii="Courier New" w:hAnsi="Courier New"/>
    </w:rPr>
  </w:style>
  <w:style w:type="paragraph" w:customStyle="1" w:styleId="NoteBullet">
    <w:name w:val="Note Bullet"/>
    <w:basedOn w:val="Note"/>
    <w:rsid w:val="0013755D"/>
    <w:pPr>
      <w:tabs>
        <w:tab w:val="clear" w:pos="680"/>
      </w:tabs>
      <w:spacing w:before="60" w:after="60"/>
    </w:pPr>
  </w:style>
  <w:style w:type="paragraph" w:customStyle="1" w:styleId="SubHeading2">
    <w:name w:val="SubHeading2"/>
    <w:basedOn w:val="HeadingBase"/>
    <w:rsid w:val="0013755D"/>
    <w:pPr>
      <w:spacing w:before="240" w:after="60"/>
    </w:pPr>
    <w:rPr>
      <w:sz w:val="20"/>
    </w:rPr>
  </w:style>
  <w:style w:type="paragraph" w:customStyle="1" w:styleId="SubHeading1">
    <w:name w:val="SubHeading1"/>
    <w:basedOn w:val="HeadingBase"/>
    <w:rsid w:val="0013755D"/>
    <w:pPr>
      <w:spacing w:before="240" w:after="60"/>
    </w:pPr>
    <w:rPr>
      <w:color w:val="918585"/>
      <w:sz w:val="22"/>
    </w:rPr>
  </w:style>
  <w:style w:type="paragraph" w:customStyle="1" w:styleId="SideHeading">
    <w:name w:val="Side Heading"/>
    <w:basedOn w:val="HeadingBase"/>
    <w:rsid w:val="001375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55D"/>
    <w:pPr>
      <w:numPr>
        <w:numId w:val="12"/>
      </w:numPr>
    </w:pPr>
  </w:style>
  <w:style w:type="paragraph" w:styleId="PlainText">
    <w:name w:val="Plain Text"/>
    <w:basedOn w:val="Normal"/>
    <w:link w:val="PlainTextChar"/>
    <w:rsid w:val="0013755D"/>
    <w:rPr>
      <w:sz w:val="20"/>
    </w:rPr>
  </w:style>
  <w:style w:type="character" w:customStyle="1" w:styleId="PlainTextChar">
    <w:name w:val="Plain Text Char"/>
    <w:basedOn w:val="DefaultParagraphFont"/>
    <w:link w:val="PlainText"/>
    <w:rsid w:val="0013755D"/>
    <w:rPr>
      <w:rFonts w:ascii="Courier New" w:eastAsia="Times New Roman" w:hAnsi="Courier New" w:cs="Times New Roman"/>
      <w:sz w:val="20"/>
      <w:szCs w:val="20"/>
      <w:lang w:eastAsia="en-US"/>
    </w:rPr>
  </w:style>
  <w:style w:type="character" w:customStyle="1" w:styleId="MenuOption">
    <w:name w:val="Menu Option"/>
    <w:basedOn w:val="DefaultParagraphFont"/>
    <w:rsid w:val="0013755D"/>
    <w:rPr>
      <w:b/>
      <w:smallCaps/>
    </w:rPr>
  </w:style>
  <w:style w:type="paragraph" w:customStyle="1" w:styleId="TableListNumber">
    <w:name w:val="Table List Number"/>
    <w:basedOn w:val="ListNumber"/>
    <w:rsid w:val="0013755D"/>
    <w:pPr>
      <w:numPr>
        <w:numId w:val="0"/>
      </w:numPr>
    </w:pPr>
  </w:style>
  <w:style w:type="paragraph" w:styleId="TOC4">
    <w:name w:val="toc 4"/>
    <w:basedOn w:val="TOCBase"/>
    <w:next w:val="Normal"/>
    <w:semiHidden/>
    <w:rsid w:val="0013755D"/>
    <w:pPr>
      <w:tabs>
        <w:tab w:val="right" w:leader="dot" w:pos="9071"/>
      </w:tabs>
      <w:ind w:left="1701"/>
    </w:pPr>
  </w:style>
  <w:style w:type="paragraph" w:customStyle="1" w:styleId="ListAlpha">
    <w:name w:val="List Alpha"/>
    <w:basedOn w:val="List"/>
    <w:rsid w:val="0013755D"/>
    <w:pPr>
      <w:numPr>
        <w:numId w:val="9"/>
      </w:numPr>
    </w:pPr>
  </w:style>
  <w:style w:type="paragraph" w:customStyle="1" w:styleId="ListAlpha2">
    <w:name w:val="List Alpha 2"/>
    <w:basedOn w:val="List2"/>
    <w:rsid w:val="0013755D"/>
    <w:pPr>
      <w:numPr>
        <w:numId w:val="8"/>
      </w:numPr>
    </w:pPr>
  </w:style>
  <w:style w:type="paragraph" w:styleId="List2">
    <w:name w:val="List 2"/>
    <w:basedOn w:val="BodyText"/>
    <w:rsid w:val="0013755D"/>
    <w:pPr>
      <w:tabs>
        <w:tab w:val="left" w:pos="680"/>
      </w:tabs>
      <w:spacing w:before="60" w:after="60"/>
      <w:ind w:left="680" w:hanging="340"/>
    </w:pPr>
  </w:style>
  <w:style w:type="paragraph" w:styleId="List3">
    <w:name w:val="List 3"/>
    <w:basedOn w:val="BodyText"/>
    <w:rsid w:val="0013755D"/>
    <w:pPr>
      <w:tabs>
        <w:tab w:val="left" w:pos="1021"/>
      </w:tabs>
      <w:spacing w:before="60" w:after="60"/>
      <w:ind w:left="1020" w:hanging="340"/>
    </w:pPr>
  </w:style>
  <w:style w:type="paragraph" w:styleId="List4">
    <w:name w:val="List 4"/>
    <w:basedOn w:val="BodyText"/>
    <w:rsid w:val="0013755D"/>
    <w:pPr>
      <w:tabs>
        <w:tab w:val="left" w:pos="1361"/>
      </w:tabs>
      <w:spacing w:before="60" w:after="60"/>
      <w:ind w:left="1361" w:hanging="340"/>
    </w:pPr>
  </w:style>
  <w:style w:type="paragraph" w:styleId="List5">
    <w:name w:val="List 5"/>
    <w:basedOn w:val="BodyText"/>
    <w:rsid w:val="0013755D"/>
    <w:pPr>
      <w:tabs>
        <w:tab w:val="left" w:pos="1701"/>
      </w:tabs>
      <w:spacing w:before="60" w:after="60"/>
      <w:ind w:left="1701" w:hanging="340"/>
    </w:pPr>
  </w:style>
  <w:style w:type="paragraph" w:styleId="ListBullet3">
    <w:name w:val="List Bullet 3"/>
    <w:basedOn w:val="List3"/>
    <w:rsid w:val="0013755D"/>
    <w:pPr>
      <w:numPr>
        <w:numId w:val="15"/>
      </w:numPr>
      <w:tabs>
        <w:tab w:val="clear" w:pos="1021"/>
      </w:tabs>
      <w:ind w:left="1037" w:hanging="357"/>
    </w:pPr>
  </w:style>
  <w:style w:type="paragraph" w:styleId="ListBullet4">
    <w:name w:val="List Bullet 4"/>
    <w:basedOn w:val="List4"/>
    <w:rsid w:val="0013755D"/>
    <w:pPr>
      <w:numPr>
        <w:numId w:val="3"/>
      </w:numPr>
    </w:pPr>
  </w:style>
  <w:style w:type="paragraph" w:styleId="ListBullet5">
    <w:name w:val="List Bullet 5"/>
    <w:basedOn w:val="List5"/>
    <w:rsid w:val="0013755D"/>
    <w:pPr>
      <w:numPr>
        <w:numId w:val="4"/>
      </w:numPr>
    </w:pPr>
  </w:style>
  <w:style w:type="paragraph" w:styleId="ListContinue2">
    <w:name w:val="List Continue 2"/>
    <w:basedOn w:val="List2"/>
    <w:rsid w:val="0013755D"/>
    <w:pPr>
      <w:ind w:firstLine="0"/>
    </w:pPr>
  </w:style>
  <w:style w:type="paragraph" w:styleId="ListContinue3">
    <w:name w:val="List Continue 3"/>
    <w:basedOn w:val="List3"/>
    <w:rsid w:val="0013755D"/>
    <w:pPr>
      <w:ind w:left="1021" w:firstLine="0"/>
    </w:pPr>
  </w:style>
  <w:style w:type="paragraph" w:styleId="ListContinue4">
    <w:name w:val="List Continue 4"/>
    <w:basedOn w:val="List4"/>
    <w:rsid w:val="0013755D"/>
    <w:pPr>
      <w:ind w:firstLine="0"/>
    </w:pPr>
  </w:style>
  <w:style w:type="paragraph" w:styleId="ListContinue5">
    <w:name w:val="List Continue 5"/>
    <w:basedOn w:val="List5"/>
    <w:rsid w:val="0013755D"/>
    <w:pPr>
      <w:ind w:firstLine="0"/>
    </w:pPr>
  </w:style>
  <w:style w:type="paragraph" w:styleId="ListNumber3">
    <w:name w:val="List Number 3"/>
    <w:basedOn w:val="List3"/>
    <w:rsid w:val="0013755D"/>
    <w:pPr>
      <w:numPr>
        <w:numId w:val="5"/>
      </w:numPr>
    </w:pPr>
  </w:style>
  <w:style w:type="paragraph" w:styleId="ListNumber4">
    <w:name w:val="List Number 4"/>
    <w:basedOn w:val="List4"/>
    <w:rsid w:val="0013755D"/>
    <w:pPr>
      <w:numPr>
        <w:numId w:val="6"/>
      </w:numPr>
    </w:pPr>
  </w:style>
  <w:style w:type="paragraph" w:styleId="ListNumber5">
    <w:name w:val="List Number 5"/>
    <w:basedOn w:val="List5"/>
    <w:rsid w:val="0013755D"/>
    <w:pPr>
      <w:numPr>
        <w:numId w:val="7"/>
      </w:numPr>
    </w:pPr>
  </w:style>
  <w:style w:type="paragraph" w:styleId="BlockText">
    <w:name w:val="Block Text"/>
    <w:basedOn w:val="Normal"/>
    <w:rsid w:val="0013755D"/>
    <w:pPr>
      <w:spacing w:after="120"/>
      <w:ind w:left="1440" w:right="1440"/>
    </w:pPr>
  </w:style>
  <w:style w:type="character" w:customStyle="1" w:styleId="Subscript">
    <w:name w:val="Subscript"/>
    <w:basedOn w:val="DefaultParagraphFont"/>
    <w:rsid w:val="0013755D"/>
    <w:rPr>
      <w:sz w:val="16"/>
      <w:vertAlign w:val="subscript"/>
    </w:rPr>
  </w:style>
  <w:style w:type="character" w:customStyle="1" w:styleId="Superscript">
    <w:name w:val="Superscript"/>
    <w:basedOn w:val="DefaultParagraphFont"/>
    <w:rsid w:val="0013755D"/>
    <w:rPr>
      <w:sz w:val="16"/>
      <w:vertAlign w:val="superscript"/>
    </w:rPr>
  </w:style>
  <w:style w:type="character" w:customStyle="1" w:styleId="Symbols">
    <w:name w:val="Symbols"/>
    <w:basedOn w:val="DefaultParagraphFont"/>
    <w:rsid w:val="0013755D"/>
    <w:rPr>
      <w:rFonts w:ascii="Symbol" w:hAnsi="Symbol"/>
    </w:rPr>
  </w:style>
  <w:style w:type="character" w:customStyle="1" w:styleId="MenuOptions">
    <w:name w:val="Menu Options"/>
    <w:basedOn w:val="DefaultParagraphFont"/>
    <w:rsid w:val="0013755D"/>
    <w:rPr>
      <w:rFonts w:ascii="Arial Narrow" w:hAnsi="Arial Narrow"/>
      <w:smallCaps/>
    </w:rPr>
  </w:style>
  <w:style w:type="character" w:customStyle="1" w:styleId="Buttons">
    <w:name w:val="Buttons"/>
    <w:basedOn w:val="DefaultParagraphFont"/>
    <w:rsid w:val="0013755D"/>
    <w:rPr>
      <w:b/>
    </w:rPr>
  </w:style>
  <w:style w:type="character" w:customStyle="1" w:styleId="Underlined">
    <w:name w:val="Underlined"/>
    <w:basedOn w:val="DefaultParagraphFont"/>
    <w:rsid w:val="0013755D"/>
    <w:rPr>
      <w:u w:val="single"/>
    </w:rPr>
  </w:style>
  <w:style w:type="paragraph" w:customStyle="1" w:styleId="TableBodyTextRight">
    <w:name w:val="Table Body Text Right"/>
    <w:basedOn w:val="TableBodyText"/>
    <w:rsid w:val="0013755D"/>
    <w:pPr>
      <w:widowControl w:val="0"/>
      <w:autoSpaceDE w:val="0"/>
      <w:autoSpaceDN w:val="0"/>
      <w:adjustRightInd w:val="0"/>
      <w:jc w:val="right"/>
    </w:pPr>
    <w:rPr>
      <w:rFonts w:cs="Arial"/>
      <w:szCs w:val="18"/>
    </w:rPr>
  </w:style>
  <w:style w:type="paragraph" w:customStyle="1" w:styleId="CopyrightText">
    <w:name w:val="Copyright Text"/>
    <w:basedOn w:val="BodyText"/>
    <w:rsid w:val="0013755D"/>
    <w:rPr>
      <w:sz w:val="18"/>
    </w:rPr>
  </w:style>
  <w:style w:type="paragraph" w:customStyle="1" w:styleId="BodySmallRight">
    <w:name w:val="Body Small Right"/>
    <w:basedOn w:val="BodyTextRight"/>
    <w:rsid w:val="0013755D"/>
    <w:rPr>
      <w:sz w:val="18"/>
      <w:szCs w:val="18"/>
    </w:rPr>
  </w:style>
  <w:style w:type="paragraph" w:customStyle="1" w:styleId="MarginEdition">
    <w:name w:val="Margin Edition"/>
    <w:basedOn w:val="MarginNote"/>
    <w:rsid w:val="0013755D"/>
    <w:pPr>
      <w:spacing w:before="0" w:after="0"/>
    </w:pPr>
    <w:rPr>
      <w:rFonts w:ascii="Times New Roman" w:hAnsi="Times New Roman"/>
      <w:color w:val="999999"/>
    </w:rPr>
  </w:style>
  <w:style w:type="paragraph" w:customStyle="1" w:styleId="Spacer">
    <w:name w:val="Spacer"/>
    <w:basedOn w:val="Normal"/>
    <w:rsid w:val="0013755D"/>
    <w:rPr>
      <w:sz w:val="2"/>
      <w:szCs w:val="2"/>
    </w:rPr>
  </w:style>
  <w:style w:type="character" w:customStyle="1" w:styleId="Small">
    <w:name w:val="Small"/>
    <w:basedOn w:val="DefaultParagraphFont"/>
    <w:rsid w:val="0013755D"/>
    <w:rPr>
      <w:sz w:val="16"/>
    </w:rPr>
  </w:style>
  <w:style w:type="paragraph" w:customStyle="1" w:styleId="WideTable">
    <w:name w:val="Wide Table"/>
    <w:basedOn w:val="Normal"/>
    <w:rsid w:val="0013755D"/>
    <w:pPr>
      <w:ind w:left="-1418"/>
    </w:pPr>
    <w:rPr>
      <w:sz w:val="2"/>
      <w:szCs w:val="2"/>
    </w:rPr>
  </w:style>
  <w:style w:type="character" w:styleId="PageNumber">
    <w:name w:val="page number"/>
    <w:basedOn w:val="DefaultParagraphFont"/>
    <w:rsid w:val="0013755D"/>
  </w:style>
  <w:style w:type="paragraph" w:styleId="Quote">
    <w:name w:val="Quote"/>
    <w:basedOn w:val="Heading1"/>
    <w:link w:val="QuoteChar"/>
    <w:qFormat/>
    <w:rsid w:val="0013755D"/>
    <w:rPr>
      <w:b w:val="0"/>
      <w:sz w:val="72"/>
      <w:szCs w:val="72"/>
      <w:lang w:val="en-NZ"/>
    </w:rPr>
  </w:style>
  <w:style w:type="character" w:customStyle="1" w:styleId="QuoteChar">
    <w:name w:val="Quote Char"/>
    <w:basedOn w:val="DefaultParagraphFont"/>
    <w:link w:val="Quote"/>
    <w:rsid w:val="001375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55D"/>
    <w:pPr>
      <w:pageBreakBefore/>
    </w:pPr>
  </w:style>
  <w:style w:type="paragraph" w:customStyle="1" w:styleId="Border">
    <w:name w:val="Border"/>
    <w:basedOn w:val="Normal"/>
    <w:qFormat/>
    <w:rsid w:val="001375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55D"/>
    <w:rPr>
      <w:b/>
      <w:bCs/>
      <w:i/>
      <w:iCs/>
      <w:color w:val="auto"/>
    </w:rPr>
  </w:style>
  <w:style w:type="paragraph" w:styleId="IntenseQuote">
    <w:name w:val="Intense Quote"/>
    <w:basedOn w:val="Normal"/>
    <w:next w:val="Normal"/>
    <w:link w:val="IntenseQuoteChar"/>
    <w:uiPriority w:val="30"/>
    <w:qFormat/>
    <w:rsid w:val="001375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5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55D"/>
    <w:rPr>
      <w:smallCaps/>
      <w:color w:val="auto"/>
      <w:u w:val="single"/>
    </w:rPr>
  </w:style>
  <w:style w:type="character" w:styleId="IntenseReference">
    <w:name w:val="Intense Reference"/>
    <w:basedOn w:val="DefaultParagraphFont"/>
    <w:uiPriority w:val="32"/>
    <w:qFormat/>
    <w:rsid w:val="0013755D"/>
    <w:rPr>
      <w:b/>
      <w:bCs/>
      <w:smallCaps/>
      <w:color w:val="auto"/>
      <w:spacing w:val="5"/>
      <w:u w:val="single"/>
    </w:rPr>
  </w:style>
  <w:style w:type="paragraph" w:customStyle="1" w:styleId="2ColumnHeading">
    <w:name w:val="2Column Heading"/>
    <w:basedOn w:val="BodyText"/>
    <w:qFormat/>
    <w:rsid w:val="0013755D"/>
    <w:pPr>
      <w:spacing w:after="60"/>
      <w:ind w:left="-2268"/>
    </w:pPr>
    <w:rPr>
      <w:b/>
    </w:rPr>
  </w:style>
  <w:style w:type="paragraph" w:customStyle="1" w:styleId="Heading1TOC">
    <w:name w:val="Heading1 TOC"/>
    <w:basedOn w:val="Normal"/>
    <w:qFormat/>
    <w:rsid w:val="0013755D"/>
    <w:pPr>
      <w:spacing w:before="240" w:after="120"/>
    </w:pPr>
    <w:rPr>
      <w:rFonts w:ascii="Times New Roman" w:hAnsi="Times New Roman"/>
      <w:b/>
      <w:sz w:val="32"/>
    </w:rPr>
  </w:style>
  <w:style w:type="paragraph" w:customStyle="1" w:styleId="Heading2TOC">
    <w:name w:val="Heading2 TOC"/>
    <w:basedOn w:val="Normal"/>
    <w:qFormat/>
    <w:rsid w:val="0013755D"/>
    <w:pPr>
      <w:spacing w:before="240" w:after="60"/>
    </w:pPr>
    <w:rPr>
      <w:rFonts w:ascii="Times New Roman" w:hAnsi="Times New Roman"/>
      <w:b/>
      <w:sz w:val="28"/>
    </w:rPr>
  </w:style>
  <w:style w:type="character" w:customStyle="1" w:styleId="Underline">
    <w:name w:val="Underline"/>
    <w:basedOn w:val="DefaultParagraphFont"/>
    <w:qFormat/>
    <w:rsid w:val="0013755D"/>
    <w:rPr>
      <w:u w:val="single"/>
    </w:rPr>
  </w:style>
  <w:style w:type="character" w:customStyle="1" w:styleId="BoldandItalics">
    <w:name w:val="Bold and Italics"/>
    <w:qFormat/>
    <w:rsid w:val="0013755D"/>
    <w:rPr>
      <w:b/>
      <w:i/>
      <w:u w:val="none"/>
    </w:rPr>
  </w:style>
  <w:style w:type="paragraph" w:styleId="BalloonText">
    <w:name w:val="Balloon Text"/>
    <w:basedOn w:val="Normal"/>
    <w:link w:val="BalloonTextChar"/>
    <w:rsid w:val="0013755D"/>
    <w:rPr>
      <w:rFonts w:ascii="Tahoma" w:hAnsi="Tahoma" w:cs="Tahoma"/>
      <w:sz w:val="16"/>
      <w:szCs w:val="16"/>
    </w:rPr>
  </w:style>
  <w:style w:type="character" w:customStyle="1" w:styleId="BalloonTextChar">
    <w:name w:val="Balloon Text Char"/>
    <w:basedOn w:val="DefaultParagraphFont"/>
    <w:link w:val="BalloonText"/>
    <w:rsid w:val="001375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5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75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55D"/>
    <w:rPr>
      <w:b/>
      <w:color w:val="660033"/>
      <w:spacing w:val="0"/>
    </w:rPr>
  </w:style>
  <w:style w:type="paragraph" w:customStyle="1" w:styleId="Nameditemlist">
    <w:name w:val="Named item list"/>
    <w:basedOn w:val="BodyText"/>
    <w:qFormat/>
    <w:rsid w:val="001375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2609</Words>
  <Characters>15727</Characters>
  <Application>Microsoft Office Word</Application>
  <DocSecurity>0</DocSecurity>
  <Lines>755</Lines>
  <Paragraphs>305</Paragraphs>
  <ScaleCrop>false</ScaleCrop>
  <Company>Author-it Software Corporation Ltd.</Company>
  <LinksUpToDate>false</LinksUpToDate>
  <CharactersWithSpaces>18070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UEGNSG608A Perform minor maintenance on gas processing/storage facilities and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2012-10-11T21:35:00Z</dcterms:created>
  <dcterms:modified xsi:type="dcterms:W3CDTF">2012-10-11T21:35:00Z</dcterms:modified>
</cp:coreProperties>
</file>