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730D" w:rsidP="0024730D">
      <w:pPr>
        <w:pStyle w:val="Title"/>
      </w:pPr>
      <w:r>
        <w:fldChar w:fldCharType="begin"/>
      </w:r>
      <w:r>
        <w:instrText xml:space="preserve"> TITLE   \* MERGEFORMAT </w:instrText>
      </w:r>
      <w:r>
        <w:fldChar w:fldCharType="separate"/>
      </w:r>
      <w:r>
        <w:t>UEGNSG606A Monitor and control the transfer of LPG</w:t>
      </w:r>
      <w:r>
        <w:fldChar w:fldCharType="end"/>
      </w:r>
    </w:p>
    <w:p w:rsidR="0024730D" w:rsidP="0024730D">
      <w:pPr>
        <w:pStyle w:val="Version"/>
        <w:sectPr w:rsidSect="00BF32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328E" w:rsidP="00BF328E">
      <w:pPr>
        <w:pStyle w:val="SuperHeading"/>
      </w:pPr>
      <w:r w:rsidRPr="00BF328E">
        <w:t>UEGNSG606A Monitor and control the transfer of LPG</w:t>
      </w:r>
    </w:p>
    <w:p w:rsidR="00000000" w:rsidRPr="00BF328E" w:rsidP="00BF328E">
      <w:pPr>
        <w:pStyle w:val="Heading1"/>
      </w:pPr>
      <w:bookmarkStart w:id="1" w:name="O_275139"/>
      <w:bookmarkEnd w:id="1"/>
      <w:r w:rsidRPr="00BF328E">
        <w:t>Modification History</w:t>
      </w:r>
    </w:p>
    <w:p w:rsidR="00000000" w:rsidRPr="00BF328E" w:rsidP="00BF328E">
      <w:pPr>
        <w:pStyle w:val="BodyText"/>
      </w:pPr>
      <w:r w:rsidRPr="00BF328E">
        <w:t>Not Applicable</w:t>
      </w:r>
    </w:p>
    <w:p w:rsidR="00000000" w:rsidRPr="00BF328E" w:rsidP="00BF328E">
      <w:pPr>
        <w:pStyle w:val="AllowPageBreak"/>
      </w:pPr>
    </w:p>
    <w:p w:rsidR="00000000" w:rsidRPr="00BF328E" w:rsidP="00BF328E">
      <w:pPr>
        <w:pStyle w:val="Heading1"/>
      </w:pPr>
      <w:bookmarkStart w:id="2" w:name="O_229655"/>
      <w:bookmarkEnd w:id="2"/>
      <w:r w:rsidRPr="00BF328E">
        <w:t>Unit Descriptor</w:t>
      </w:r>
    </w:p>
    <w:tbl>
      <w:tblPr>
        <w:tblW w:w="0" w:type="auto"/>
        <w:tblLayout w:type="fixed"/>
        <w:tblCellMar>
          <w:left w:w="62" w:type="dxa"/>
          <w:right w:w="62" w:type="dxa"/>
        </w:tblCellMar>
        <w:tblLook w:val="0000"/>
      </w:tblPr>
      <w:tblGrid>
        <w:gridCol w:w="2700"/>
        <w:gridCol w:w="5760"/>
      </w:tblGrid>
      <w:tr w:rsidTr="002473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F328E" w:rsidP="00BF328E">
            <w:pPr>
              <w:pStyle w:val="BodyText"/>
            </w:pPr>
            <w:r w:rsidRPr="00BF328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rPr>
                <w:rStyle w:val="SpecialBold"/>
              </w:rPr>
              <w:t>1</w:t>
            </w:r>
            <w:r w:rsidRPr="00BF328E">
              <w:t xml:space="preserve">) </w:t>
            </w:r>
          </w:p>
        </w:tc>
      </w:tr>
      <w:tr w:rsidTr="002473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F328E" w:rsidP="00BF328E">
            <w:pPr>
              <w:pStyle w:val="BodyText"/>
            </w:pPr>
            <w:r w:rsidRPr="00BF328E">
              <w:t>This Competency Standard Unit covers the safe transfer of liquefied petroleum gas by pipelines and hoses between storage and transport facilities. The competency standard refers to the relevant equipment; transfer of LPG; relevant emergency response proced</w:t>
            </w:r>
            <w:r w:rsidRPr="00BF328E">
              <w:t>ures and relevant documentation to be developed.</w:t>
            </w:r>
          </w:p>
        </w:tc>
      </w:tr>
    </w:tbl>
    <w:p w:rsidR="0024730D" w:rsidP="00BF328E">
      <w:pPr>
        <w:pStyle w:val="BodyText"/>
      </w:pPr>
    </w:p>
    <w:p w:rsidR="0024730D" w:rsidP="00BF328E">
      <w:pPr>
        <w:pStyle w:val="BodyText"/>
      </w:pPr>
    </w:p>
    <w:p w:rsidR="00000000" w:rsidRPr="00BF328E" w:rsidP="00BF328E">
      <w:pPr>
        <w:pStyle w:val="Heading1"/>
      </w:pPr>
      <w:bookmarkStart w:id="3" w:name="O_229658"/>
      <w:bookmarkEnd w:id="3"/>
      <w:r w:rsidRPr="00BF328E">
        <w:t>Application of the Unit</w:t>
      </w:r>
    </w:p>
    <w:tbl>
      <w:tblPr>
        <w:tblW w:w="0" w:type="auto"/>
        <w:tblLayout w:type="fixed"/>
        <w:tblCellMar>
          <w:left w:w="62" w:type="dxa"/>
          <w:right w:w="62" w:type="dxa"/>
        </w:tblCellMar>
        <w:tblLook w:val="0000"/>
      </w:tblPr>
      <w:tblGrid>
        <w:gridCol w:w="2700"/>
        <w:gridCol w:w="5760"/>
      </w:tblGrid>
      <w:tr w:rsidTr="002473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F328E" w:rsidP="00BF328E">
            <w:pPr>
              <w:pStyle w:val="BodyText"/>
            </w:pPr>
            <w:r w:rsidRPr="00BF328E">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rPr>
                <w:rStyle w:val="SpecialBold"/>
              </w:rPr>
              <w:t>3</w:t>
            </w:r>
            <w:r w:rsidRPr="00BF328E">
              <w:t>)</w:t>
            </w:r>
          </w:p>
        </w:tc>
      </w:tr>
      <w:tr w:rsidTr="002473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F328E" w:rsidP="00BF328E">
            <w:pPr>
              <w:pStyle w:val="BodyText"/>
            </w:pPr>
            <w:r w:rsidRPr="00BF328E">
              <w:t>This competency standard shall apply to work sites where liquefied petroleum gas is transported.</w:t>
            </w:r>
          </w:p>
        </w:tc>
      </w:tr>
    </w:tbl>
    <w:p w:rsidR="0024730D" w:rsidP="00BF328E">
      <w:pPr>
        <w:pStyle w:val="BodyText"/>
      </w:pPr>
    </w:p>
    <w:p w:rsidR="0024730D" w:rsidP="00BF328E">
      <w:pPr>
        <w:pStyle w:val="BodyText"/>
      </w:pPr>
    </w:p>
    <w:p w:rsidR="00000000" w:rsidRPr="00BF328E" w:rsidP="00BF328E">
      <w:pPr>
        <w:pStyle w:val="Heading1"/>
      </w:pPr>
      <w:bookmarkStart w:id="4" w:name="O_229659"/>
      <w:bookmarkEnd w:id="4"/>
      <w:r w:rsidRPr="00BF328E">
        <w:t>Licensing/Regulatory Information</w:t>
      </w:r>
    </w:p>
    <w:tbl>
      <w:tblPr>
        <w:tblW w:w="0" w:type="auto"/>
        <w:tblLayout w:type="fixed"/>
        <w:tblCellMar>
          <w:left w:w="62" w:type="dxa"/>
          <w:right w:w="62" w:type="dxa"/>
        </w:tblCellMar>
        <w:tblLook w:val="0000"/>
      </w:tblPr>
      <w:tblGrid>
        <w:gridCol w:w="2700"/>
        <w:gridCol w:w="5760"/>
      </w:tblGrid>
      <w:tr w:rsidTr="002473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F328E" w:rsidP="00BF328E">
            <w:pPr>
              <w:pStyle w:val="BodyText"/>
            </w:pPr>
            <w:r w:rsidRPr="00BF328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rPr>
                <w:rStyle w:val="SpecialBold"/>
              </w:rPr>
              <w:t>3</w:t>
            </w:r>
            <w:r w:rsidRPr="00BF328E">
              <w:t>.</w:t>
            </w:r>
            <w:r w:rsidRPr="00BF328E">
              <w:rPr>
                <w:rStyle w:val="SpecialBold"/>
              </w:rPr>
              <w:t>1</w:t>
            </w:r>
            <w:r w:rsidRPr="00BF328E">
              <w:t>)</w:t>
            </w:r>
          </w:p>
        </w:tc>
      </w:tr>
      <w:tr w:rsidTr="002473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F328E" w:rsidP="00BF328E">
            <w:pPr>
              <w:pStyle w:val="BodyText"/>
            </w:pPr>
            <w:r w:rsidRPr="00BF328E">
              <w:t>The skills and knowledge described in this unit are not subject to licence regulation other than those directly related to Occupational Health and Safety, gas/electricity/water industry safety and</w:t>
            </w:r>
            <w:r w:rsidRPr="00BF328E">
              <w:t xml:space="preserve"> compliance, industrial relations, environmental protection, telecommunications, anti discrimination and training. Commonwealth, State/Territory or Local Government legislation and regulations may exist that limits the age of operating certain equipment.</w:t>
            </w:r>
          </w:p>
        </w:tc>
      </w:tr>
    </w:tbl>
    <w:p w:rsidR="0024730D" w:rsidP="00BF328E">
      <w:pPr>
        <w:pStyle w:val="BodyText"/>
      </w:pPr>
    </w:p>
    <w:p w:rsidR="0024730D" w:rsidP="00BF328E">
      <w:pPr>
        <w:pStyle w:val="BodyText"/>
      </w:pPr>
    </w:p>
    <w:p w:rsidR="00000000" w:rsidRPr="00BF328E" w:rsidP="00BF328E">
      <w:pPr>
        <w:pStyle w:val="Heading1"/>
      </w:pPr>
      <w:bookmarkStart w:id="5" w:name="O_229656"/>
      <w:bookmarkEnd w:id="5"/>
      <w:r w:rsidRPr="00BF328E">
        <w:t>Pre-Requisites</w:t>
      </w:r>
    </w:p>
    <w:tbl>
      <w:tblPr>
        <w:tblW w:w="0" w:type="auto"/>
        <w:tblLayout w:type="fixed"/>
        <w:tblCellMar>
          <w:left w:w="62" w:type="dxa"/>
          <w:right w:w="62" w:type="dxa"/>
        </w:tblCellMar>
        <w:tblLook w:val="0000"/>
      </w:tblPr>
      <w:tblGrid>
        <w:gridCol w:w="2700"/>
        <w:gridCol w:w="1800"/>
        <w:gridCol w:w="3960"/>
      </w:tblGrid>
      <w:tr w:rsidTr="002473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F328E" w:rsidP="00BF328E">
            <w:pPr>
              <w:pStyle w:val="BodyText"/>
            </w:pPr>
            <w:r w:rsidRPr="00BF328E">
              <w:rPr>
                <w:rStyle w:val="SpecialBold"/>
              </w:rPr>
              <w:t>Prerequisite Unit</w:t>
            </w:r>
            <w:r w:rsidRPr="00BF328E">
              <w:t>(</w:t>
            </w:r>
            <w:r w:rsidRPr="00BF328E">
              <w:rPr>
                <w:rStyle w:val="SpecialBold"/>
              </w:rPr>
              <w:t>s</w:t>
            </w:r>
            <w:r w:rsidRPr="00BF328E">
              <w:t>)</w:t>
            </w:r>
          </w:p>
        </w:tc>
        <w:tc>
          <w:tcPr>
            <w:tcW w:w="5760" w:type="dxa"/>
            <w:gridSpan w:val="2"/>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rPr>
                <w:rStyle w:val="SpecialBold"/>
              </w:rPr>
              <w:t>2</w:t>
            </w:r>
            <w:r w:rsidRPr="00BF328E">
              <w:t xml:space="preserve">) </w:t>
            </w:r>
          </w:p>
        </w:tc>
      </w:tr>
      <w:tr w:rsidTr="002473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F328E" w:rsidP="00BF328E">
            <w:pPr>
              <w:pStyle w:val="BodyText"/>
            </w:pPr>
            <w:r w:rsidRPr="00BF328E">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rPr>
                <w:rStyle w:val="SpecialBold"/>
              </w:rPr>
              <w:t>2</w:t>
            </w:r>
            <w:r w:rsidRPr="00BF328E">
              <w:t>.</w:t>
            </w:r>
            <w:r w:rsidRPr="00BF328E">
              <w:rPr>
                <w:rStyle w:val="SpecialBold"/>
              </w:rPr>
              <w:t>1</w:t>
            </w:r>
            <w:r w:rsidRPr="00BF328E">
              <w:t xml:space="preserve">) </w:t>
            </w:r>
          </w:p>
        </w:tc>
      </w:tr>
      <w:tr w:rsidTr="002473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Granting of competency in this unit shall be made only after competency in the following unit(s) has/have been confirmed:</w:t>
            </w:r>
          </w:p>
        </w:tc>
      </w:tr>
      <w:tr w:rsidTr="002473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Nil</w:t>
            </w:r>
          </w:p>
        </w:tc>
        <w:tc>
          <w:tcPr>
            <w:tcW w:w="3960" w:type="dxa"/>
            <w:tcBorders>
              <w:top w:val="nil"/>
              <w:left w:val="nil"/>
              <w:bottom w:val="nil"/>
              <w:right w:val="nil"/>
            </w:tcBorders>
            <w:tcMar>
              <w:top w:w="0" w:type="dxa"/>
              <w:left w:w="62" w:type="dxa"/>
              <w:bottom w:w="0" w:type="dxa"/>
              <w:right w:w="62" w:type="dxa"/>
            </w:tcMar>
          </w:tcPr>
          <w:p w:rsidR="00000000" w:rsidRPr="00BF328E" w:rsidP="00BF328E">
            <w:pPr>
              <w:pStyle w:val="BodyText"/>
            </w:pPr>
          </w:p>
        </w:tc>
      </w:tr>
    </w:tbl>
    <w:p w:rsidR="0024730D" w:rsidP="00BF328E">
      <w:pPr>
        <w:pStyle w:val="BodyText"/>
      </w:pPr>
    </w:p>
    <w:p w:rsidR="0024730D" w:rsidP="00BF328E">
      <w:pPr>
        <w:pStyle w:val="BodyText"/>
      </w:pPr>
    </w:p>
    <w:p w:rsidR="00000000" w:rsidRPr="00BF328E" w:rsidP="00BF328E">
      <w:pPr>
        <w:pStyle w:val="Heading1"/>
      </w:pPr>
      <w:bookmarkStart w:id="6" w:name="O_285388"/>
      <w:bookmarkEnd w:id="6"/>
      <w:r w:rsidRPr="00BF328E">
        <w:t>Employability Skills Information</w:t>
      </w:r>
    </w:p>
    <w:p w:rsidR="00000000" w:rsidRPr="00BF328E" w:rsidP="00BF328E">
      <w:pPr>
        <w:pStyle w:val="BodyText"/>
      </w:pPr>
      <w:r w:rsidRPr="00BF328E">
        <w:t>Refer to the Evidence Guide</w:t>
      </w:r>
    </w:p>
    <w:p w:rsidR="00000000" w:rsidRPr="00BF328E" w:rsidP="00BF328E">
      <w:pPr>
        <w:pStyle w:val="AllowPageBreak"/>
      </w:pPr>
    </w:p>
    <w:p w:rsidR="00000000" w:rsidRPr="00BF328E" w:rsidP="00BF328E">
      <w:pPr>
        <w:pStyle w:val="Heading1"/>
      </w:pPr>
      <w:bookmarkStart w:id="7" w:name="O_293185"/>
      <w:bookmarkEnd w:id="7"/>
      <w:r w:rsidRPr="00BF328E">
        <w:t>Elements and Performance Criteria Pre-Content</w:t>
      </w:r>
    </w:p>
    <w:tbl>
      <w:tblPr>
        <w:tblW w:w="0" w:type="auto"/>
        <w:tblLayout w:type="fixed"/>
        <w:tblCellMar>
          <w:left w:w="62" w:type="dxa"/>
          <w:right w:w="62" w:type="dxa"/>
        </w:tblCellMar>
        <w:tblLook w:val="0000"/>
      </w:tblPr>
      <w:tblGrid>
        <w:gridCol w:w="2700"/>
        <w:gridCol w:w="5760"/>
      </w:tblGrid>
      <w:tr w:rsidTr="002473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rPr>
                <w:rStyle w:val="SpecialBold"/>
              </w:rPr>
              <w:t>5</w:t>
            </w:r>
            <w:r w:rsidRPr="00BF328E">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BF328E" w:rsidP="00BF328E">
            <w:pPr>
              <w:pStyle w:val="BodyText"/>
            </w:pPr>
            <w:r w:rsidRPr="00BF328E">
              <w:t>Performance Criteria describe the required performance nee</w:t>
            </w:r>
            <w:r w:rsidRPr="00BF328E">
              <w:t>ded to demonstrate achievement of the element. Assessment of performance is to be consistent with the Evidence Guide.</w:t>
            </w:r>
          </w:p>
        </w:tc>
      </w:tr>
    </w:tbl>
    <w:p w:rsidR="00000000" w:rsidRPr="00BF328E" w:rsidP="00BF328E">
      <w:pPr>
        <w:pStyle w:val="BodyText"/>
      </w:pPr>
    </w:p>
    <w:p w:rsidR="00000000" w:rsidRPr="00BF328E" w:rsidP="00BF328E">
      <w:pPr>
        <w:pStyle w:val="AllowPageBreak"/>
      </w:pPr>
    </w:p>
    <w:p w:rsidR="00000000" w:rsidRPr="00BF328E" w:rsidP="00BF328E">
      <w:pPr>
        <w:pStyle w:val="Heading1"/>
      </w:pPr>
      <w:bookmarkStart w:id="8" w:name="O_239853"/>
      <w:bookmarkEnd w:id="8"/>
      <w:r w:rsidRPr="00BF328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4730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F328E" w:rsidP="00BF328E">
            <w:pPr>
              <w:pStyle w:val="BodyText"/>
            </w:pPr>
            <w:r w:rsidRPr="00BF328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rPr>
                <w:rStyle w:val="SpecialBold"/>
              </w:rPr>
              <w:t>PERFORMANCE CRITERIA</w:t>
            </w:r>
          </w:p>
        </w:tc>
      </w:tr>
      <w:tr w:rsidTr="002473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1</w:t>
            </w:r>
          </w:p>
        </w:tc>
        <w:tc>
          <w:tcPr>
            <w:tcW w:w="2296" w:type="dxa"/>
            <w:vMerge w:val="restart"/>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 xml:space="preserve">Plan and prepare for transfer of LPG </w:t>
            </w:r>
          </w:p>
        </w:tc>
        <w:tc>
          <w:tcPr>
            <w:tcW w:w="900"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1.1</w:t>
            </w:r>
          </w:p>
        </w:tc>
        <w:tc>
          <w:tcPr>
            <w:tcW w:w="4860"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Availability of equipment is determined against work schedule(s) and established procedures and material lists are received, analysed and confirmed if necessary by site inspection</w:t>
            </w:r>
          </w:p>
        </w:tc>
      </w:tr>
      <w:tr w:rsidTr="002473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1.2</w:t>
            </w:r>
          </w:p>
        </w:tc>
        <w:tc>
          <w:tcPr>
            <w:tcW w:w="4860"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Relevant requirements and established procedures for the work are com</w:t>
            </w:r>
            <w:r w:rsidRPr="00BF328E">
              <w:t>municated to all persons and identified for all work sites</w:t>
            </w:r>
          </w:p>
        </w:tc>
      </w:tr>
      <w:tr w:rsidTr="002473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1.3</w:t>
            </w:r>
          </w:p>
        </w:tc>
        <w:tc>
          <w:tcPr>
            <w:tcW w:w="4860"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 xml:space="preserve">OHS, environmental and sustainable energy policies and procedures related to requirements and established procedures for monitoring and controlling </w:t>
            </w:r>
            <w:r w:rsidRPr="00BF328E">
              <w:t xml:space="preserve">the transfer of LPG are obtained and confirmed for the purposes of the work performed and communicated </w:t>
            </w:r>
          </w:p>
        </w:tc>
      </w:tr>
      <w:tr w:rsidTr="002473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1.4</w:t>
            </w:r>
          </w:p>
        </w:tc>
        <w:tc>
          <w:tcPr>
            <w:tcW w:w="4860"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Work is prioritised and sequenced following consultation with others for completion within acceptable timeframes and in accordance with establish</w:t>
            </w:r>
            <w:r w:rsidRPr="00BF328E">
              <w:t>ed procedures</w:t>
            </w:r>
          </w:p>
        </w:tc>
      </w:tr>
      <w:tr w:rsidTr="002473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1.5</w:t>
            </w:r>
          </w:p>
        </w:tc>
        <w:tc>
          <w:tcPr>
            <w:tcW w:w="4860"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Risk control measures for identified hazards are prioritised, implemented and monitored against the work schedule</w:t>
            </w:r>
          </w:p>
        </w:tc>
      </w:tr>
      <w:tr w:rsidTr="002473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1.6</w:t>
            </w:r>
          </w:p>
        </w:tc>
        <w:tc>
          <w:tcPr>
            <w:tcW w:w="4860"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Equipment is checked and relevant work permits are obtained to access, isolate/de-energise systems and perform work according to requirements and established procedures</w:t>
            </w:r>
          </w:p>
        </w:tc>
      </w:tr>
      <w:tr w:rsidTr="002473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1.7</w:t>
            </w:r>
          </w:p>
        </w:tc>
        <w:tc>
          <w:tcPr>
            <w:tcW w:w="4860"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Pipelines and hoses are connected and personal protective equipment required for</w:t>
            </w:r>
            <w:r w:rsidRPr="00BF328E">
              <w:t xml:space="preserve"> the job are identified, scheduled and obtained and confirmed in working order</w:t>
            </w:r>
          </w:p>
        </w:tc>
      </w:tr>
      <w:tr w:rsidTr="002473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1.8</w:t>
            </w:r>
          </w:p>
        </w:tc>
        <w:tc>
          <w:tcPr>
            <w:tcW w:w="4860"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Relevant persons at worksite are confirmed to be current in First Aid and other related work procedures according to requirements</w:t>
            </w:r>
          </w:p>
        </w:tc>
      </w:tr>
      <w:tr w:rsidTr="002473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1.9</w:t>
            </w:r>
          </w:p>
        </w:tc>
        <w:tc>
          <w:tcPr>
            <w:tcW w:w="4860"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 xml:space="preserve">Liaison and communication issues </w:t>
            </w:r>
            <w:r w:rsidRPr="00BF328E">
              <w:t>with authorised persons, authorities, clients and land owners are resolved and activities coordinated to carry out work</w:t>
            </w:r>
          </w:p>
        </w:tc>
      </w:tr>
      <w:tr w:rsidTr="002473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1.10</w:t>
            </w:r>
          </w:p>
        </w:tc>
        <w:tc>
          <w:tcPr>
            <w:tcW w:w="4860"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Site is prepared and valves are operated according to the work schedule and to minimise risk and damage to property, commerce and individuals in accordance with established procedures</w:t>
            </w:r>
          </w:p>
        </w:tc>
      </w:tr>
      <w:tr w:rsidTr="002473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1.11</w:t>
            </w:r>
          </w:p>
        </w:tc>
        <w:tc>
          <w:tcPr>
            <w:tcW w:w="4860"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Persons participating in the work, including plant operators and</w:t>
            </w:r>
            <w:r w:rsidRPr="00BF328E">
              <w:t xml:space="preserve"> contractors are fully briefed and respective responsibilities confirmed where applicable in accordance with established procedures </w:t>
            </w:r>
          </w:p>
        </w:tc>
      </w:tr>
      <w:tr w:rsidTr="002473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2</w:t>
            </w:r>
          </w:p>
        </w:tc>
        <w:tc>
          <w:tcPr>
            <w:tcW w:w="2296"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Transfer of LPG</w:t>
            </w:r>
          </w:p>
        </w:tc>
        <w:tc>
          <w:tcPr>
            <w:tcW w:w="900"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2.1</w:t>
            </w:r>
          </w:p>
        </w:tc>
        <w:tc>
          <w:tcPr>
            <w:tcW w:w="4860"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 xml:space="preserve">OHS policies and procedures and safe work practices are followed to eliminate or </w:t>
            </w:r>
            <w:r w:rsidRPr="00BF328E">
              <w:t>minimise incidents and hazards</w:t>
            </w:r>
          </w:p>
        </w:tc>
      </w:tr>
      <w:tr w:rsidTr="002473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2.2</w:t>
            </w:r>
          </w:p>
        </w:tc>
        <w:tc>
          <w:tcPr>
            <w:tcW w:w="4860"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Lifting, climbing, working in confined spaces and/or aloft, and use of power tools, techniques and practices are safely followed and currency according to requirements confirmed</w:t>
            </w:r>
          </w:p>
        </w:tc>
      </w:tr>
      <w:tr w:rsidTr="002473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2.3</w:t>
            </w:r>
          </w:p>
        </w:tc>
        <w:tc>
          <w:tcPr>
            <w:tcW w:w="4860"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Apply Essential Knowledge and Ass</w:t>
            </w:r>
            <w:r w:rsidRPr="00BF328E">
              <w:t>ociated Skills for the monitoring and control of the transfer of LPG to ensure completion in an agreed timeframe and to quality standards with a minimum of waste according to requirements</w:t>
            </w:r>
          </w:p>
        </w:tc>
      </w:tr>
      <w:tr w:rsidTr="002473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2.4</w:t>
            </w:r>
          </w:p>
        </w:tc>
        <w:tc>
          <w:tcPr>
            <w:tcW w:w="4860"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The monitoring and transfer of LPG is carried out in accordan</w:t>
            </w:r>
            <w:r w:rsidRPr="00BF328E">
              <w:t xml:space="preserve">ce with the work schedule and to established procedures </w:t>
            </w:r>
          </w:p>
        </w:tc>
      </w:tr>
      <w:tr w:rsidTr="002473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2.5</w:t>
            </w:r>
          </w:p>
        </w:tc>
        <w:tc>
          <w:tcPr>
            <w:tcW w:w="4860"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 xml:space="preserve">Transfer equipment is operated and identified hazards, OHS risks and control measures are monitored and preventative action taken in accordance with requirements and established procedures </w:t>
            </w:r>
          </w:p>
        </w:tc>
      </w:tr>
      <w:tr w:rsidTr="002473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2.6</w:t>
            </w:r>
          </w:p>
        </w:tc>
        <w:tc>
          <w:tcPr>
            <w:tcW w:w="4860"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 xml:space="preserve">Pressure limits and liquid levels are monitored and unplanned events in the monitoring and control transfer of LPG are undertaken with the scope of established procedures </w:t>
            </w:r>
          </w:p>
        </w:tc>
      </w:tr>
      <w:tr w:rsidTr="002473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2.7</w:t>
            </w:r>
          </w:p>
        </w:tc>
        <w:tc>
          <w:tcPr>
            <w:tcW w:w="4860"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Emergency response is selected and applied and known solutions to a vari</w:t>
            </w:r>
            <w:r w:rsidRPr="00BF328E">
              <w:t>ety of problems are applied using Essential Knowledge and Associated Skills</w:t>
            </w:r>
          </w:p>
        </w:tc>
      </w:tr>
      <w:tr w:rsidTr="002473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2.8</w:t>
            </w:r>
          </w:p>
        </w:tc>
        <w:tc>
          <w:tcPr>
            <w:tcW w:w="4860"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Ongoing checks of quality of the work are undertaken in accordance with given instructions and established procedures</w:t>
            </w:r>
          </w:p>
        </w:tc>
      </w:tr>
      <w:tr w:rsidTr="002473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3</w:t>
            </w:r>
          </w:p>
        </w:tc>
        <w:tc>
          <w:tcPr>
            <w:tcW w:w="2296"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Complete shutdown process</w:t>
            </w:r>
          </w:p>
        </w:tc>
        <w:tc>
          <w:tcPr>
            <w:tcW w:w="900"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3.1</w:t>
            </w:r>
          </w:p>
        </w:tc>
        <w:tc>
          <w:tcPr>
            <w:tcW w:w="4860"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Work undertaken is checked against works schedule for conformance with requirements and anomalies reported in accordance with established procedures</w:t>
            </w:r>
          </w:p>
        </w:tc>
      </w:tr>
      <w:tr w:rsidTr="002473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3.2</w:t>
            </w:r>
          </w:p>
        </w:tc>
        <w:tc>
          <w:tcPr>
            <w:tcW w:w="4860"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Accidents and injuries are reported in accordance with requirements and established procedures where</w:t>
            </w:r>
            <w:r w:rsidRPr="00BF328E">
              <w:t xml:space="preserve"> applicable</w:t>
            </w:r>
          </w:p>
        </w:tc>
      </w:tr>
      <w:tr w:rsidTr="002473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3.3</w:t>
            </w:r>
          </w:p>
        </w:tc>
        <w:tc>
          <w:tcPr>
            <w:tcW w:w="4860"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Work site is rehabilitated, cleaned up and made safe in accordance with given instructions and established procedures</w:t>
            </w:r>
          </w:p>
        </w:tc>
      </w:tr>
      <w:tr w:rsidTr="002473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3.4</w:t>
            </w:r>
          </w:p>
        </w:tc>
        <w:tc>
          <w:tcPr>
            <w:tcW w:w="4860"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Tools, equipment and any surplus resources and materials are, where appropriate, cleaned, checked and returned to storage in accordance with established procedures</w:t>
            </w:r>
          </w:p>
        </w:tc>
      </w:tr>
      <w:tr w:rsidTr="002473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3.5</w:t>
            </w:r>
          </w:p>
        </w:tc>
        <w:tc>
          <w:tcPr>
            <w:tcW w:w="4860"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Relevant work permit(s) are signed off and equipment is returned to service in accord</w:t>
            </w:r>
            <w:r w:rsidRPr="00BF328E">
              <w:t>ance with requirements</w:t>
            </w:r>
          </w:p>
        </w:tc>
      </w:tr>
      <w:tr w:rsidTr="002473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3.6</w:t>
            </w:r>
          </w:p>
        </w:tc>
        <w:tc>
          <w:tcPr>
            <w:tcW w:w="4860"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 xml:space="preserve">Emergency shutdown procedures are applied in the event of serious equipment failure or operational parameters being exceeded in accordance with standard operating procedures </w:t>
            </w:r>
          </w:p>
        </w:tc>
      </w:tr>
      <w:tr w:rsidTr="002473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3.7</w:t>
            </w:r>
          </w:p>
        </w:tc>
        <w:tc>
          <w:tcPr>
            <w:tcW w:w="4860" w:type="dxa"/>
            <w:tcBorders>
              <w:top w:val="nil"/>
              <w:left w:val="nil"/>
              <w:bottom w:val="nil"/>
              <w:right w:val="nil"/>
            </w:tcBorders>
            <w:tcMar>
              <w:top w:w="0" w:type="dxa"/>
              <w:left w:w="62" w:type="dxa"/>
              <w:bottom w:w="0" w:type="dxa"/>
              <w:right w:w="62" w:type="dxa"/>
            </w:tcMar>
          </w:tcPr>
          <w:p w:rsidR="00000000" w:rsidRPr="00BF328E" w:rsidP="00BF328E">
            <w:pPr>
              <w:pStyle w:val="BodyText"/>
            </w:pPr>
            <w:r w:rsidRPr="00BF328E">
              <w:t>Work completion records, reports as installe</w:t>
            </w:r>
            <w:r w:rsidRPr="00BF328E">
              <w:t>d drawings and documentation and information are finalised and processed and appropriate persons notified</w:t>
            </w:r>
          </w:p>
        </w:tc>
      </w:tr>
    </w:tbl>
    <w:p w:rsidR="0024730D" w:rsidP="00BF328E">
      <w:pPr>
        <w:pStyle w:val="BodyText"/>
      </w:pPr>
    </w:p>
    <w:p w:rsidR="0024730D" w:rsidP="00BF328E">
      <w:pPr>
        <w:pStyle w:val="BodyText"/>
      </w:pPr>
    </w:p>
    <w:p w:rsidR="00000000" w:rsidRPr="00BF328E" w:rsidP="00BF328E">
      <w:pPr>
        <w:pStyle w:val="Heading1"/>
      </w:pPr>
      <w:bookmarkStart w:id="9" w:name="O_263644"/>
      <w:bookmarkEnd w:id="9"/>
      <w:r w:rsidRPr="00BF328E">
        <w:t>Required Skills and Knowledge</w:t>
      </w:r>
    </w:p>
    <w:tbl>
      <w:tblPr>
        <w:tblW w:w="0" w:type="auto"/>
        <w:tblLayout w:type="fixed"/>
        <w:tblCellMar>
          <w:left w:w="62" w:type="dxa"/>
          <w:right w:w="62" w:type="dxa"/>
        </w:tblCellMar>
        <w:tblLook w:val="0000"/>
      </w:tblPr>
      <w:tblGrid>
        <w:gridCol w:w="2700"/>
        <w:gridCol w:w="1080"/>
        <w:gridCol w:w="4680"/>
      </w:tblGrid>
      <w:tr w:rsidTr="0024730D">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rPr>
                <w:rStyle w:val="SpecialBold"/>
              </w:rPr>
              <w:t>REQUIRED SKILLS AND KNOWLEDGE</w:t>
            </w:r>
          </w:p>
        </w:tc>
      </w:tr>
      <w:tr w:rsidTr="0024730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rPr>
                <w:rStyle w:val="SpecialBold"/>
              </w:rPr>
              <w:t>6</w:t>
            </w:r>
            <w:r w:rsidRPr="00BF328E">
              <w:t>) This describes the essential skills and knowledge and their level, required for this unit.</w:t>
            </w:r>
          </w:p>
        </w:tc>
      </w:tr>
      <w:tr w:rsidTr="0024730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Evidence shall show that knowledge has been acquired of safe working practices for monitoring and controlling the transfer of LPG. The extent of the essential k</w:t>
            </w:r>
            <w:r w:rsidRPr="00BF328E">
              <w:t>nowledge and associated skills (EKAS) required is given in Volume 2 - Part 2.2 EKAS.  It forms an integral part of this unit.</w:t>
            </w:r>
          </w:p>
        </w:tc>
      </w:tr>
      <w:tr w:rsidTr="002473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G 3.6.1</w:t>
            </w:r>
          </w:p>
        </w:tc>
        <w:tc>
          <w:tcPr>
            <w:tcW w:w="4680"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Working safely in an LPG environment</w:t>
            </w:r>
          </w:p>
        </w:tc>
      </w:tr>
      <w:tr w:rsidTr="002473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G 3.6.2</w:t>
            </w:r>
          </w:p>
        </w:tc>
        <w:tc>
          <w:tcPr>
            <w:tcW w:w="4680"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Understanding the correct use of plant and equipment in an LPG environment</w:t>
            </w:r>
          </w:p>
        </w:tc>
      </w:tr>
      <w:tr w:rsidTr="002473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G 3.6.3</w:t>
            </w:r>
          </w:p>
        </w:tc>
        <w:tc>
          <w:tcPr>
            <w:tcW w:w="4680"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Static electricity</w:t>
            </w:r>
          </w:p>
        </w:tc>
      </w:tr>
      <w:tr w:rsidTr="002473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G 3.6.4</w:t>
            </w:r>
          </w:p>
        </w:tc>
        <w:tc>
          <w:tcPr>
            <w:tcW w:w="4680" w:type="dxa"/>
            <w:tcBorders>
              <w:top w:val="nil"/>
              <w:left w:val="nil"/>
              <w:bottom w:val="nil"/>
              <w:right w:val="nil"/>
            </w:tcBorders>
            <w:tcMar>
              <w:top w:w="0" w:type="dxa"/>
              <w:left w:w="62" w:type="dxa"/>
              <w:bottom w:w="0" w:type="dxa"/>
              <w:right w:w="62" w:type="dxa"/>
            </w:tcMar>
          </w:tcPr>
          <w:p w:rsidR="00000000" w:rsidRPr="00BF328E" w:rsidP="00BF328E">
            <w:pPr>
              <w:pStyle w:val="BodyText"/>
            </w:pPr>
            <w:r w:rsidRPr="00BF328E">
              <w:t>LPG communication including the recording of LPG information</w:t>
            </w:r>
          </w:p>
        </w:tc>
      </w:tr>
    </w:tbl>
    <w:p w:rsidR="0024730D" w:rsidP="00BF328E">
      <w:pPr>
        <w:pStyle w:val="BodyText"/>
      </w:pPr>
    </w:p>
    <w:p w:rsidR="0024730D" w:rsidP="00BF328E">
      <w:pPr>
        <w:pStyle w:val="BodyText"/>
      </w:pPr>
    </w:p>
    <w:p w:rsidR="00000000" w:rsidRPr="00BF328E" w:rsidP="00BF328E">
      <w:pPr>
        <w:pStyle w:val="Heading1"/>
      </w:pPr>
      <w:bookmarkStart w:id="10" w:name="O_247836"/>
      <w:bookmarkEnd w:id="10"/>
      <w:r w:rsidRPr="00BF328E">
        <w:t>Evidence Guide</w:t>
      </w:r>
    </w:p>
    <w:tbl>
      <w:tblPr>
        <w:tblW w:w="0" w:type="auto"/>
        <w:tblLayout w:type="fixed"/>
        <w:tblCellMar>
          <w:left w:w="62" w:type="dxa"/>
          <w:right w:w="62" w:type="dxa"/>
        </w:tblCellMar>
        <w:tblLook w:val="0000"/>
      </w:tblPr>
      <w:tblGrid>
        <w:gridCol w:w="326"/>
        <w:gridCol w:w="1834"/>
        <w:gridCol w:w="360"/>
        <w:gridCol w:w="1080"/>
        <w:gridCol w:w="360"/>
        <w:gridCol w:w="1620"/>
        <w:gridCol w:w="1317"/>
        <w:gridCol w:w="1563"/>
      </w:tblGrid>
      <w:tr w:rsidTr="0024730D">
        <w:tblPrEx>
          <w:tblW w:w="0" w:type="auto"/>
          <w:tblLayout w:type="fixed"/>
          <w:tblCellMar>
            <w:left w:w="62" w:type="dxa"/>
            <w:right w:w="62" w:type="dxa"/>
          </w:tblCellMar>
          <w:tblLook w:val="0000"/>
        </w:tblPrEx>
        <w:trPr>
          <w:tblHeader/>
        </w:trPr>
        <w:tc>
          <w:tcPr>
            <w:tcW w:w="8460" w:type="dxa"/>
            <w:gridSpan w:val="8"/>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rPr>
                <w:rStyle w:val="SpecialBold"/>
              </w:rPr>
              <w:t>EVIDENCE GUIDE</w:t>
            </w:r>
          </w:p>
        </w:tc>
      </w:tr>
      <w:tr w:rsidTr="0024730D">
        <w:tblPrEx>
          <w:tblW w:w="0" w:type="auto"/>
          <w:tblLayout w:type="fixed"/>
          <w:tblCellMar>
            <w:left w:w="62" w:type="dxa"/>
            <w:right w:w="62" w:type="dxa"/>
          </w:tblCellMar>
          <w:tblLook w:val="0000"/>
        </w:tblPrEx>
        <w:tc>
          <w:tcPr>
            <w:tcW w:w="8460" w:type="dxa"/>
            <w:gridSpan w:val="8"/>
            <w:tcBorders>
              <w:top w:val="nil"/>
              <w:left w:val="nil"/>
              <w:bottom w:val="nil"/>
              <w:right w:val="nil"/>
            </w:tcBorders>
            <w:tcMar>
              <w:top w:w="0" w:type="dxa"/>
              <w:left w:w="62" w:type="dxa"/>
              <w:bottom w:w="0" w:type="dxa"/>
              <w:right w:w="62" w:type="dxa"/>
            </w:tcMar>
          </w:tcPr>
          <w:p w:rsidR="00000000" w:rsidRPr="00BF328E" w:rsidP="00BF328E">
            <w:pPr>
              <w:pStyle w:val="BodyText"/>
            </w:pPr>
            <w:r w:rsidRPr="00BF328E">
              <w:rPr>
                <w:rStyle w:val="SpecialBold"/>
              </w:rPr>
              <w:t>8</w:t>
            </w:r>
            <w:r w:rsidRPr="00BF328E">
              <w:t xml:space="preserve">) </w:t>
            </w:r>
          </w:p>
          <w:p w:rsidR="00000000" w:rsidP="00BF328E">
            <w:pPr>
              <w:pStyle w:val="BodyText"/>
              <w:rPr>
                <w:lang w:val="en-NZ"/>
              </w:rPr>
            </w:pPr>
            <w:r w:rsidRPr="00BF328E">
              <w:t>The Evidence Guide forms an integral part of this Competency Standard Unit and shall be used in conjunction with all components parts of this unit and performed in accordance with the Assessment Guidelines of this Training Package.</w:t>
            </w:r>
          </w:p>
        </w:tc>
      </w:tr>
      <w:tr w:rsidTr="0024730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BF328E" w:rsidP="00BF328E">
            <w:pPr>
              <w:pStyle w:val="BodyText"/>
            </w:pPr>
            <w:r w:rsidRPr="00BF328E">
              <w:rPr>
                <w:rStyle w:val="SpecialBold"/>
              </w:rPr>
              <w:t>Overview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BF328E" w:rsidP="00BF328E">
            <w:pPr>
              <w:pStyle w:val="BodyText"/>
            </w:pPr>
            <w:r w:rsidRPr="00BF328E">
              <w:rPr>
                <w:rStyle w:val="SpecialBold"/>
              </w:rPr>
              <w:t>8</w:t>
            </w:r>
            <w:r w:rsidRPr="00BF328E">
              <w:t>.</w:t>
            </w:r>
            <w:r w:rsidRPr="00BF328E">
              <w:rPr>
                <w:rStyle w:val="SpecialBold"/>
              </w:rPr>
              <w:t>1</w:t>
            </w:r>
            <w:r w:rsidRPr="00BF328E">
              <w:t xml:space="preserve">) </w:t>
            </w:r>
          </w:p>
          <w:p w:rsidR="00000000" w:rsidRPr="00BF328E" w:rsidP="00BF328E">
            <w:pPr>
              <w:pStyle w:val="BodyText"/>
            </w:pPr>
            <w:r w:rsidRPr="00BF328E">
              <w:t>Longitudinal competency development approaches to assessment, such as Profiling, require data to be reliably gathered in a form that can be consistently interpreted over time. This approach is best utilised in Apprenticeship p</w:t>
            </w:r>
            <w:r w:rsidRPr="00BF328E">
              <w:t>rograms and reduces assessment intervention. It is the Industry's preferred model for apprenticeships. However, where summative (or final) assessment is used it is to include the application of the competency in the normal work environment or, at a minimum</w:t>
            </w:r>
            <w:r w:rsidRPr="00BF328E">
              <w:t>, the application of the competency in a realistically simulated work environment. It is recognised that, in some circumstances, assessment in part or full can occur outside the workplace. However, it must be in accord with Industry and Regulatory policy i</w:t>
            </w:r>
            <w:r w:rsidRPr="00BF328E">
              <w:t>n this regard.</w:t>
            </w:r>
          </w:p>
          <w:p w:rsidR="00000000" w:rsidRPr="00BF328E" w:rsidP="00BF328E">
            <w:pPr>
              <w:pStyle w:val="BodyText"/>
            </w:pPr>
            <w:r w:rsidRPr="00BF328E">
              <w:t xml:space="preserve">Methods chosen for a particular assessment will be influenced by various factors. These include the extent of the assessment, the most effective locations for the assessment activities to take place, access to physical resources, additional </w:t>
            </w:r>
            <w:r w:rsidRPr="00BF328E">
              <w:t>safety measures that may be required and the critical nature of the competencies being assessed.</w:t>
            </w:r>
          </w:p>
          <w:p w:rsidR="00000000" w:rsidRPr="00BF328E" w:rsidP="00BF328E">
            <w:pPr>
              <w:pStyle w:val="BodyText"/>
            </w:pPr>
            <w:r w:rsidRPr="00BF328E">
              <w:t>The critical safety nature of working with electricity, electrical equipment, gas or any other hazardous substance/material carries risk in deeming a person co</w:t>
            </w:r>
            <w:r w:rsidRPr="00BF328E">
              <w:t>mpetent. Hence, sources of evidence need to be 'rich' in nature so as to minimise error in judgment.</w:t>
            </w:r>
          </w:p>
          <w:p w:rsidR="00000000" w:rsidP="00BF328E">
            <w:pPr>
              <w:pStyle w:val="BodyText"/>
              <w:rPr>
                <w:lang w:val="en-NZ"/>
              </w:rPr>
            </w:pPr>
            <w:r w:rsidRPr="00BF328E">
              <w:t>Activities associated with normal every day work have a bearing on the decision as to how much and how detailed the data gathered will contribute to its 'r</w:t>
            </w:r>
            <w:r w:rsidRPr="00BF328E">
              <w:t>ichness'. Some skills are more critical to safety and operational requirements while the same skills may be more or less frequently practiced. These points are raised for the assessors to consider when choosing an assessment method and developing assessmen</w:t>
            </w:r>
            <w:r w:rsidRPr="00BF328E">
              <w:t>t instruments. Sample assessment instruments are included for Assessors in the Assessment Guidelines of this Training Package.</w:t>
            </w:r>
          </w:p>
        </w:tc>
      </w:tr>
      <w:tr w:rsidTr="0024730D">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BF328E" w:rsidP="00BF328E">
            <w:pPr>
              <w:pStyle w:val="BodyText"/>
            </w:pPr>
            <w:r w:rsidRPr="00BF328E">
              <w:rPr>
                <w:rStyle w:val="SpecialBold"/>
              </w:rPr>
              <w:t>Critical aspects of evidence required to demonstrate competency in this unit</w:t>
            </w:r>
          </w:p>
        </w:tc>
        <w:tc>
          <w:tcPr>
            <w:tcW w:w="6300" w:type="dxa"/>
            <w:gridSpan w:val="6"/>
            <w:tcBorders>
              <w:top w:val="nil"/>
              <w:left w:val="nil"/>
              <w:bottom w:val="nil"/>
              <w:right w:val="nil"/>
            </w:tcBorders>
            <w:tcMar>
              <w:top w:w="0" w:type="dxa"/>
              <w:left w:w="62" w:type="dxa"/>
              <w:bottom w:w="0" w:type="dxa"/>
              <w:right w:w="62" w:type="dxa"/>
            </w:tcMar>
          </w:tcPr>
          <w:p w:rsidR="00000000" w:rsidRPr="00BF328E" w:rsidP="00BF328E">
            <w:pPr>
              <w:pStyle w:val="BodyText"/>
            </w:pPr>
            <w:r w:rsidRPr="00BF328E">
              <w:rPr>
                <w:rStyle w:val="SpecialBold"/>
              </w:rPr>
              <w:t>8</w:t>
            </w:r>
            <w:r w:rsidRPr="00BF328E">
              <w:t>.</w:t>
            </w:r>
            <w:r w:rsidRPr="00BF328E">
              <w:rPr>
                <w:rStyle w:val="SpecialBold"/>
              </w:rPr>
              <w:t>2</w:t>
            </w:r>
            <w:r w:rsidRPr="00BF328E">
              <w:t xml:space="preserve">) </w:t>
            </w:r>
          </w:p>
          <w:p w:rsidR="00000000" w:rsidP="00BF328E">
            <w:pPr>
              <w:pStyle w:val="BodyText"/>
              <w:rPr>
                <w:lang w:val="en-NZ"/>
              </w:rPr>
            </w:pPr>
            <w:r w:rsidRPr="00BF328E">
              <w:t>Before the critical aspects of evi</w:t>
            </w:r>
            <w:r w:rsidRPr="00BF328E">
              <w:t>dence are considered all prerequisites shall be met.</w:t>
            </w:r>
          </w:p>
        </w:tc>
      </w:tr>
      <w:tr w:rsidTr="0024730D">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BF328E" w:rsidP="00BF328E">
            <w:pPr>
              <w:pStyle w:val="BodyText"/>
            </w:pPr>
            <w:r w:rsidRPr="00BF328E">
              <w:t>Evidence for competence in this unit shall be considered holistically. Each element and associated Performance Criteria shall be demonstrated on at least two occasions in accordance with the 'Ass</w:t>
            </w:r>
            <w:r w:rsidRPr="00BF328E">
              <w:t>essment Guidelines   UEG06'. Evidence shall also comprise:</w:t>
            </w:r>
          </w:p>
          <w:p w:rsidR="00000000" w:rsidP="00BF328E">
            <w:pPr>
              <w:pStyle w:val="ListBullet"/>
              <w:rPr>
                <w:lang w:val="en-NZ"/>
              </w:rPr>
            </w:pPr>
            <w:r w:rsidRPr="00BF328E">
              <w:t>A representative body of Performance Criteria demonstrated within the timeframes typically expected of the discipline, work function and industrial environment. In particular this shall incorporat</w:t>
            </w:r>
            <w:r w:rsidRPr="00BF328E">
              <w:t>e evidence that shows a candidate is able to:</w:t>
            </w:r>
          </w:p>
        </w:tc>
      </w:tr>
      <w:tr w:rsidTr="0024730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BF328E">
            <w:pPr>
              <w:pStyle w:val="BodyText"/>
              <w:rPr>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BF328E" w:rsidP="00BF328E">
            <w:pPr>
              <w:pStyle w:val="ListBullet2"/>
            </w:pPr>
            <w:r w:rsidRPr="00BF328E">
              <w:t>Implement Occupational Health and Safety workplace procedures and practices including the use of risk control measures as specified in the Performance Criteria and range</w:t>
            </w:r>
          </w:p>
          <w:p w:rsidR="00000000" w:rsidRPr="00BF328E" w:rsidP="00BF328E">
            <w:pPr>
              <w:pStyle w:val="ListBullet2"/>
            </w:pPr>
            <w:r w:rsidRPr="00BF328E">
              <w:t>Apply sustainable energy principles and practices as specified in the Performance Criteria and range</w:t>
            </w:r>
          </w:p>
          <w:p w:rsidR="00000000" w:rsidRPr="00BF328E" w:rsidP="00BF328E">
            <w:pPr>
              <w:pStyle w:val="ListBullet2"/>
            </w:pPr>
            <w:r w:rsidRPr="00BF328E">
              <w:t>Demonstrate an understanding of the essential knowledge and associated skills as described in this unit to such an extent that the learner's performance ou</w:t>
            </w:r>
            <w:r w:rsidRPr="00BF328E">
              <w:t>tcome is reported in accordance with the preferred approach; namely a percentile graded result, where required by the regulated environment</w:t>
            </w:r>
          </w:p>
          <w:p w:rsidR="00000000" w:rsidRPr="00BF328E" w:rsidP="00BF328E">
            <w:pPr>
              <w:pStyle w:val="ListBullet2"/>
            </w:pPr>
            <w:r w:rsidRPr="00BF328E">
              <w:t>Demonstrate an appropriate level of skills enabling employment</w:t>
            </w:r>
          </w:p>
          <w:p w:rsidR="00000000" w:rsidP="00BF328E">
            <w:pPr>
              <w:pStyle w:val="ListBullet2"/>
              <w:rPr>
                <w:lang w:val="en-NZ"/>
              </w:rPr>
            </w:pPr>
            <w:r w:rsidRPr="00BF328E">
              <w:t>Conduct work observing the relevant Anti discriminati</w:t>
            </w:r>
            <w:r w:rsidRPr="00BF328E">
              <w:t>on legislation, regulations, polices and workplace procedures</w:t>
            </w:r>
          </w:p>
        </w:tc>
      </w:tr>
      <w:tr w:rsidTr="0024730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BF328E">
            <w:pPr>
              <w:pStyle w:val="BodyText"/>
              <w:rPr>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BF328E">
            <w:pPr>
              <w:pStyle w:val="ListBullet2"/>
              <w:rPr>
                <w:lang w:val="en-NZ"/>
              </w:rPr>
            </w:pPr>
            <w:r w:rsidRPr="00BF328E">
              <w:t>Demonstrate performance across a representative range of contexts from the prescribed items below.</w:t>
            </w:r>
          </w:p>
        </w:tc>
      </w:tr>
      <w:tr w:rsidTr="0024730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BF328E">
            <w:pPr>
              <w:pStyle w:val="BodyText"/>
              <w:keepNext w:val="0"/>
              <w:keepLines w:val="0"/>
              <w:contextualSpacing w:val="0"/>
            </w:pPr>
          </w:p>
        </w:tc>
        <w:tc>
          <w:tcPr>
            <w:tcW w:w="5940"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28E">
            <w:pPr>
              <w:pStyle w:val="BodyText"/>
              <w:rPr>
                <w:lang w:val="en-NZ"/>
              </w:rPr>
            </w:pPr>
            <w:r w:rsidRPr="00BF328E">
              <w:rPr>
                <w:rStyle w:val="SpecialBold"/>
              </w:rPr>
              <w:t>Range of tools</w:t>
            </w:r>
            <w:r w:rsidRPr="00BF328E">
              <w:t>/</w:t>
            </w:r>
            <w:r w:rsidRPr="00BF328E">
              <w:rPr>
                <w:rStyle w:val="SpecialBold"/>
              </w:rPr>
              <w:t>equipment</w:t>
            </w:r>
            <w:r w:rsidRPr="00BF328E">
              <w:t>/</w:t>
            </w:r>
            <w:r w:rsidRPr="00BF328E">
              <w:rPr>
                <w:rStyle w:val="SpecialBold"/>
              </w:rPr>
              <w:t>materials</w:t>
            </w:r>
            <w:r w:rsidRPr="00BF328E">
              <w:t>/</w:t>
            </w:r>
            <w:r w:rsidRPr="00BF328E">
              <w:rPr>
                <w:rStyle w:val="SpecialBold"/>
              </w:rPr>
              <w:t>procedures</w:t>
            </w:r>
            <w:r w:rsidRPr="00BF328E">
              <w:t>/</w:t>
            </w:r>
            <w:r w:rsidRPr="00BF328E">
              <w:br/>
            </w:r>
            <w:r w:rsidRPr="00BF328E">
              <w:rPr>
                <w:rStyle w:val="SpecialBold"/>
              </w:rPr>
              <w:t>workplaces</w:t>
            </w:r>
            <w:r w:rsidRPr="00BF328E">
              <w:t>/</w:t>
            </w:r>
            <w:r w:rsidRPr="00BF328E">
              <w:rPr>
                <w:rStyle w:val="SpecialBold"/>
              </w:rPr>
              <w:t>other variables</w:t>
            </w:r>
          </w:p>
        </w:tc>
      </w:tr>
      <w:tr w:rsidTr="0024730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BF328E">
            <w:pPr>
              <w:pStyle w:val="BodyText"/>
              <w:keepNext w:val="0"/>
              <w:keepLines w:val="0"/>
              <w:contextualSpacing w:val="0"/>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328E" w:rsidP="00BF328E">
            <w:pPr>
              <w:pStyle w:val="BodyText"/>
            </w:pPr>
            <w:r w:rsidRPr="00BF328E">
              <w:rPr>
                <w:rStyle w:val="SpecialBold"/>
              </w:rPr>
              <w:t>Group No</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328E" w:rsidP="00BF328E">
            <w:pPr>
              <w:pStyle w:val="BodyText"/>
            </w:pPr>
            <w:r w:rsidRPr="00BF328E">
              <w:rPr>
                <w:rStyle w:val="SpecialBold"/>
              </w:rPr>
              <w:t>The minimum number of items on which skill is to be demonstrated</w:t>
            </w:r>
          </w:p>
        </w:tc>
        <w:tc>
          <w:tcPr>
            <w:tcW w:w="28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28E">
            <w:pPr>
              <w:pStyle w:val="BodyText"/>
              <w:rPr>
                <w:lang w:val="en-NZ"/>
              </w:rPr>
            </w:pPr>
            <w:r w:rsidRPr="00BF328E">
              <w:rPr>
                <w:rStyle w:val="SpecialBold"/>
              </w:rPr>
              <w:t>Item List</w:t>
            </w:r>
          </w:p>
        </w:tc>
      </w:tr>
      <w:tr w:rsidTr="0024730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28E">
            <w:pPr>
              <w:pStyle w:val="BodyText"/>
              <w:rPr>
                <w:lang w:val="en-NZ"/>
              </w:rPr>
            </w:pPr>
            <w:r w:rsidRPr="00BF328E">
              <w:t>A</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28E">
            <w:pPr>
              <w:pStyle w:val="BodyText"/>
              <w:rPr>
                <w:lang w:val="en-NZ"/>
              </w:rPr>
            </w:pPr>
            <w:r w:rsidRPr="00BF328E">
              <w:t>At least 4</w:t>
            </w:r>
          </w:p>
        </w:tc>
        <w:tc>
          <w:tcPr>
            <w:tcW w:w="28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328E" w:rsidP="00BF328E">
            <w:pPr>
              <w:pStyle w:val="BodyText"/>
            </w:pPr>
            <w:r w:rsidRPr="00BF328E">
              <w:t>Pumps and compressors</w:t>
            </w:r>
          </w:p>
          <w:p w:rsidR="00000000" w:rsidRPr="00BF328E" w:rsidP="00BF328E">
            <w:pPr>
              <w:pStyle w:val="BodyText"/>
            </w:pPr>
            <w:r w:rsidRPr="00BF328E">
              <w:t>Pipes</w:t>
            </w:r>
          </w:p>
          <w:p w:rsidR="00000000" w:rsidRPr="00BF328E" w:rsidP="00BF328E">
            <w:pPr>
              <w:pStyle w:val="BodyText"/>
            </w:pPr>
            <w:r w:rsidRPr="00BF328E">
              <w:t>Hoses</w:t>
            </w:r>
          </w:p>
          <w:p w:rsidR="00000000" w:rsidRPr="00BF328E" w:rsidP="00BF328E">
            <w:pPr>
              <w:pStyle w:val="BodyText"/>
            </w:pPr>
            <w:r w:rsidRPr="00BF328E">
              <w:t>Valves</w:t>
            </w:r>
          </w:p>
          <w:p w:rsidR="00000000" w:rsidRPr="00BF328E" w:rsidP="00BF328E">
            <w:pPr>
              <w:pStyle w:val="BodyText"/>
            </w:pPr>
            <w:r w:rsidRPr="00BF328E">
              <w:t>Gauges</w:t>
            </w:r>
          </w:p>
          <w:p w:rsidR="00000000" w:rsidRPr="00BF328E" w:rsidP="00BF328E">
            <w:pPr>
              <w:pStyle w:val="BodyText"/>
            </w:pPr>
            <w:r w:rsidRPr="00BF328E">
              <w:t>Tank connections and fittings</w:t>
            </w:r>
          </w:p>
          <w:p w:rsidR="00000000" w:rsidP="00BF328E">
            <w:pPr>
              <w:pStyle w:val="BodyText"/>
              <w:rPr>
                <w:lang w:val="en-NZ"/>
              </w:rPr>
            </w:pPr>
            <w:r w:rsidRPr="00BF328E">
              <w:t>Articulated arms earthing clamps and connections</w:t>
            </w:r>
          </w:p>
        </w:tc>
      </w:tr>
      <w:tr w:rsidTr="0024730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28E">
            <w:pPr>
              <w:pStyle w:val="BodyText"/>
              <w:rPr>
                <w:lang w:val="en-NZ"/>
              </w:rPr>
            </w:pPr>
            <w:r w:rsidRPr="00BF328E">
              <w:t>B</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28E">
            <w:pPr>
              <w:pStyle w:val="BodyText"/>
              <w:rPr>
                <w:lang w:val="en-NZ"/>
              </w:rPr>
            </w:pPr>
            <w:r w:rsidRPr="00BF328E">
              <w:t>At least 3</w:t>
            </w:r>
          </w:p>
        </w:tc>
        <w:tc>
          <w:tcPr>
            <w:tcW w:w="28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328E" w:rsidP="00BF328E">
            <w:pPr>
              <w:pStyle w:val="BodyText"/>
            </w:pPr>
            <w:r w:rsidRPr="00BF328E">
              <w:t>Transfer of LPG undertaken by:</w:t>
            </w:r>
          </w:p>
          <w:p w:rsidR="00000000" w:rsidRPr="00BF328E" w:rsidP="00BF328E">
            <w:pPr>
              <w:pStyle w:val="BodyText"/>
            </w:pPr>
            <w:r w:rsidRPr="00BF328E">
              <w:t>Tank to tanker</w:t>
            </w:r>
          </w:p>
          <w:p w:rsidR="00000000" w:rsidRPr="00BF328E" w:rsidP="00BF328E">
            <w:pPr>
              <w:pStyle w:val="BodyText"/>
            </w:pPr>
            <w:r w:rsidRPr="00BF328E">
              <w:t>Ship to storage terminal</w:t>
            </w:r>
          </w:p>
          <w:p w:rsidR="00000000" w:rsidRPr="00BF328E" w:rsidP="00BF328E">
            <w:pPr>
              <w:pStyle w:val="BodyText"/>
            </w:pPr>
            <w:r w:rsidRPr="00BF328E">
              <w:t>Tanker to tank</w:t>
            </w:r>
          </w:p>
          <w:p w:rsidR="00000000" w:rsidP="00BF328E">
            <w:pPr>
              <w:pStyle w:val="BodyText"/>
              <w:rPr>
                <w:lang w:val="en-NZ"/>
              </w:rPr>
            </w:pPr>
            <w:r w:rsidRPr="00BF328E">
              <w:t>Tank to tank</w:t>
            </w:r>
          </w:p>
        </w:tc>
      </w:tr>
      <w:tr w:rsidTr="0024730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28E">
            <w:pPr>
              <w:pStyle w:val="BodyText"/>
              <w:rPr>
                <w:lang w:val="en-NZ"/>
              </w:rPr>
            </w:pPr>
            <w:r w:rsidRPr="00BF328E">
              <w:t>C</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28E">
            <w:pPr>
              <w:pStyle w:val="BodyText"/>
              <w:rPr>
                <w:lang w:val="en-NZ"/>
              </w:rPr>
            </w:pPr>
            <w:r w:rsidRPr="00BF328E">
              <w:t>At least 3</w:t>
            </w:r>
          </w:p>
        </w:tc>
        <w:tc>
          <w:tcPr>
            <w:tcW w:w="28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328E" w:rsidP="00BF328E">
            <w:pPr>
              <w:pStyle w:val="BodyText"/>
            </w:pPr>
            <w:r w:rsidRPr="00BF328E">
              <w:t>Documentation:</w:t>
            </w:r>
          </w:p>
          <w:p w:rsidR="00000000" w:rsidRPr="00BF328E" w:rsidP="00BF328E">
            <w:pPr>
              <w:pStyle w:val="BodyText"/>
            </w:pPr>
            <w:r w:rsidRPr="00BF328E">
              <w:t>OHS, environmental and associated legislative requirements</w:t>
            </w:r>
          </w:p>
          <w:p w:rsidR="00000000" w:rsidRPr="00BF328E" w:rsidP="00BF328E">
            <w:pPr>
              <w:pStyle w:val="BodyText"/>
            </w:pPr>
            <w:r w:rsidRPr="00BF328E">
              <w:t>Australian Dangerous Goods Codes</w:t>
            </w:r>
          </w:p>
          <w:p w:rsidR="00000000" w:rsidRPr="00BF328E" w:rsidP="00BF328E">
            <w:pPr>
              <w:pStyle w:val="BodyText"/>
            </w:pPr>
            <w:r w:rsidRPr="00BF328E">
              <w:t>Manufacturer's specifications</w:t>
            </w:r>
          </w:p>
          <w:p w:rsidR="00000000" w:rsidRPr="00BF328E" w:rsidP="00BF328E">
            <w:pPr>
              <w:pStyle w:val="BodyText"/>
            </w:pPr>
            <w:r w:rsidRPr="00BF328E">
              <w:t>Australian Standards</w:t>
            </w:r>
          </w:p>
          <w:p w:rsidR="00000000" w:rsidP="00BF328E">
            <w:pPr>
              <w:pStyle w:val="BodyText"/>
              <w:rPr>
                <w:lang w:val="en-NZ"/>
              </w:rPr>
            </w:pPr>
            <w:r w:rsidRPr="00BF328E">
              <w:t>Trucks, rail or ships may be used to unload tankers</w:t>
            </w:r>
          </w:p>
        </w:tc>
      </w:tr>
      <w:tr w:rsidTr="0024730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28E">
            <w:pPr>
              <w:pStyle w:val="BodyText"/>
              <w:rPr>
                <w:lang w:val="en-NZ"/>
              </w:rPr>
            </w:pPr>
            <w:r w:rsidRPr="00BF328E">
              <w:t>D</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28E">
            <w:pPr>
              <w:pStyle w:val="BodyText"/>
              <w:rPr>
                <w:lang w:val="en-NZ"/>
              </w:rPr>
            </w:pPr>
            <w:r w:rsidRPr="00BF328E">
              <w:t>At least one occasion</w:t>
            </w:r>
          </w:p>
        </w:tc>
        <w:tc>
          <w:tcPr>
            <w:tcW w:w="28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28E">
            <w:pPr>
              <w:pStyle w:val="BodyText"/>
              <w:rPr>
                <w:lang w:val="en-NZ"/>
              </w:rPr>
            </w:pPr>
            <w:r w:rsidRPr="00BF328E">
              <w:t xml:space="preserve">Deal with an unplanned event by drawing on essential knowledge and associated skills to provide appropriate solutions incorporated in the holistic </w:t>
            </w:r>
            <w:r w:rsidRPr="00BF328E">
              <w:t xml:space="preserve">assessment with the above listed items </w:t>
            </w:r>
          </w:p>
        </w:tc>
      </w:tr>
      <w:tr w:rsidTr="0024730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BF328E" w:rsidP="00BF328E">
            <w:pPr>
              <w:pStyle w:val="BodyText"/>
            </w:pPr>
            <w:r w:rsidRPr="00BF328E">
              <w:rPr>
                <w:rStyle w:val="SpecialBold"/>
              </w:rPr>
              <w:t>Context of and specific resources for assessment</w:t>
            </w:r>
          </w:p>
        </w:tc>
        <w:tc>
          <w:tcPr>
            <w:tcW w:w="6300" w:type="dxa"/>
            <w:gridSpan w:val="6"/>
            <w:tcBorders>
              <w:top w:val="nil"/>
              <w:left w:val="nil"/>
              <w:bottom w:val="nil"/>
              <w:right w:val="nil"/>
            </w:tcBorders>
            <w:tcMar>
              <w:top w:w="0" w:type="dxa"/>
              <w:left w:w="62" w:type="dxa"/>
              <w:bottom w:w="0" w:type="dxa"/>
              <w:right w:w="62" w:type="dxa"/>
            </w:tcMar>
          </w:tcPr>
          <w:p w:rsidR="00000000" w:rsidRPr="00BF328E" w:rsidP="00BF328E">
            <w:pPr>
              <w:pStyle w:val="BodyText"/>
            </w:pPr>
            <w:r w:rsidRPr="00BF328E">
              <w:rPr>
                <w:rStyle w:val="SpecialBold"/>
              </w:rPr>
              <w:t>8</w:t>
            </w:r>
            <w:r w:rsidRPr="00BF328E">
              <w:t>.</w:t>
            </w:r>
            <w:r w:rsidRPr="00BF328E">
              <w:rPr>
                <w:rStyle w:val="SpecialBold"/>
              </w:rPr>
              <w:t>3</w:t>
            </w:r>
            <w:r w:rsidRPr="00BF328E">
              <w:t xml:space="preserve">) </w:t>
            </w:r>
          </w:p>
          <w:p w:rsidR="00000000" w:rsidRPr="00BF328E" w:rsidP="00BF328E">
            <w:pPr>
              <w:pStyle w:val="BodyText"/>
            </w:pPr>
            <w:r w:rsidRPr="00BF328E">
              <w:t>This unit should be assessed as it relates to normal work practice using procedures, information and resources typical of a workplace. This should include:</w:t>
            </w:r>
          </w:p>
          <w:p w:rsidR="00000000" w:rsidRPr="00BF328E" w:rsidP="00BF328E">
            <w:pPr>
              <w:pStyle w:val="ListBullet"/>
            </w:pPr>
            <w:r w:rsidRPr="00BF328E">
              <w:t>O</w:t>
            </w:r>
            <w:r w:rsidRPr="00BF328E">
              <w:t>HS policy and work procedures and instructions.</w:t>
            </w:r>
          </w:p>
          <w:p w:rsidR="00000000" w:rsidRPr="00BF328E" w:rsidP="00BF328E">
            <w:pPr>
              <w:pStyle w:val="ListBullet"/>
            </w:pPr>
            <w:r w:rsidRPr="00BF328E">
              <w:t>Suitable work environment, facilities, equipment and materials to undertake actual work as prescribed by this Competency Standard Unit.</w:t>
            </w:r>
          </w:p>
          <w:p w:rsidR="00000000" w:rsidRPr="00BF328E" w:rsidP="00BF328E">
            <w:pPr>
              <w:pStyle w:val="ListBullet"/>
            </w:pPr>
            <w:r w:rsidRPr="00BF328E">
              <w:t>Appropriate environmental regulation and work practices.</w:t>
            </w:r>
          </w:p>
          <w:p w:rsidR="00000000" w:rsidRPr="00BF328E" w:rsidP="00BF328E">
            <w:pPr>
              <w:pStyle w:val="ListBullet"/>
            </w:pPr>
            <w:r w:rsidRPr="00BF328E">
              <w:t>Appropriate organisational requirements.</w:t>
            </w:r>
          </w:p>
          <w:p w:rsidR="00000000" w:rsidP="00BF328E">
            <w:pPr>
              <w:pStyle w:val="ListBullet"/>
              <w:rPr>
                <w:lang w:val="en-NZ"/>
              </w:rPr>
            </w:pPr>
            <w:r w:rsidRPr="00BF328E">
              <w:t>Appropriate work environment, equipment and tools.</w:t>
            </w:r>
          </w:p>
        </w:tc>
      </w:tr>
      <w:tr w:rsidTr="0024730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 xml:space="preserve">In addition to the resources listed above, in Context of and specific resources for assessment, evidence should show demonstrated competency </w:t>
            </w:r>
            <w:r w:rsidRPr="00BF328E">
              <w:t>in monitoring and controlling the transfer of LPG.</w:t>
            </w:r>
          </w:p>
        </w:tc>
      </w:tr>
      <w:tr w:rsidTr="0024730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Assessment of this competency must also be undertaken in either an actual workplace or under a simulated work environment. Assessment must also integrate the Key Competencies in section 6.7 of this</w:t>
            </w:r>
            <w:r w:rsidRPr="00BF328E">
              <w:t xml:space="preserve"> competency standard.</w:t>
            </w:r>
          </w:p>
        </w:tc>
      </w:tr>
      <w:tr w:rsidTr="0024730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BF328E" w:rsidP="00BF328E">
            <w:pPr>
              <w:pStyle w:val="BodyText"/>
            </w:pPr>
            <w:r w:rsidRPr="00BF328E">
              <w:rPr>
                <w:rStyle w:val="SpecialBold"/>
              </w:rPr>
              <w:t>Method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BF328E" w:rsidP="00BF328E">
            <w:pPr>
              <w:pStyle w:val="BodyText"/>
            </w:pPr>
            <w:r w:rsidRPr="00BF328E">
              <w:rPr>
                <w:rStyle w:val="SpecialBold"/>
              </w:rPr>
              <w:t>8</w:t>
            </w:r>
            <w:r w:rsidRPr="00BF328E">
              <w:t>.</w:t>
            </w:r>
            <w:r w:rsidRPr="00BF328E">
              <w:rPr>
                <w:rStyle w:val="SpecialBold"/>
              </w:rPr>
              <w:t>4</w:t>
            </w:r>
            <w:r w:rsidRPr="00BF328E">
              <w:t xml:space="preserve">) </w:t>
            </w:r>
          </w:p>
          <w:p w:rsidR="00000000" w:rsidRPr="00BF328E" w:rsidP="00BF328E">
            <w:pPr>
              <w:pStyle w:val="BodyText"/>
            </w:pPr>
            <w:r w:rsidRPr="00BF328E">
              <w:t>This Competency Standard Unit shall be assessed by methods given in Volume 1, Part 3 'Assessment Guidelines'.</w:t>
            </w:r>
          </w:p>
          <w:p w:rsidR="00000000" w:rsidP="00BF328E">
            <w:pPr>
              <w:pStyle w:val="BodyText"/>
              <w:rPr>
                <w:lang w:val="en-NZ"/>
              </w:rPr>
            </w:pPr>
            <w:r w:rsidRPr="00BF328E">
              <w:rPr>
                <w:rStyle w:val="SpecialBold"/>
              </w:rPr>
              <w:t>Note</w:t>
            </w:r>
            <w:r w:rsidRPr="00BF328E">
              <w:t>: Competent performance with inherent safe working practices is expected in the Industry to which this Competency Standard Unit applies. This requires that the specified Essential Knowledge and Associated Skills are assessed in a structured environment whi</w:t>
            </w:r>
            <w:r w:rsidRPr="00BF328E">
              <w:t>ch is primarily intended for learning/assessment and incorporates all necessary equipment and facilities for learners to develop and demonstrate the essential knowledge and associated skills described in this unit.</w:t>
            </w:r>
          </w:p>
        </w:tc>
      </w:tr>
      <w:tr w:rsidTr="0024730D">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BF328E" w:rsidP="00BF328E">
            <w:pPr>
              <w:pStyle w:val="BodyText"/>
            </w:pPr>
            <w:r w:rsidRPr="00BF328E">
              <w:rPr>
                <w:rStyle w:val="SpecialBold"/>
              </w:rPr>
              <w:t>Concurrent assessment and relations</w:t>
            </w:r>
            <w:r w:rsidRPr="00BF328E">
              <w:rPr>
                <w:rStyle w:val="SpecialBold"/>
              </w:rPr>
              <w:t>hip with other units</w:t>
            </w:r>
          </w:p>
        </w:tc>
        <w:tc>
          <w:tcPr>
            <w:tcW w:w="6300" w:type="dxa"/>
            <w:gridSpan w:val="6"/>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rPr>
                <w:rStyle w:val="SpecialBold"/>
              </w:rPr>
              <w:t>8</w:t>
            </w:r>
            <w:r w:rsidRPr="00BF328E">
              <w:t>.</w:t>
            </w:r>
            <w:r w:rsidRPr="00BF328E">
              <w:rPr>
                <w:rStyle w:val="SpecialBold"/>
              </w:rPr>
              <w:t>5</w:t>
            </w:r>
            <w:r w:rsidRPr="00BF328E">
              <w:t xml:space="preserve">) </w:t>
            </w:r>
          </w:p>
        </w:tc>
      </w:tr>
      <w:tr w:rsidTr="0024730D">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 xml:space="preserve">There are no recommended concurrent assessments with this unit, however in some cases efficiencies may be gained in terms of learning and assessment </w:t>
            </w:r>
            <w:r w:rsidRPr="00BF328E">
              <w:t>effort being concurrently managed with allied Competency Standard Units where listed.</w:t>
            </w:r>
          </w:p>
        </w:tc>
      </w:tr>
      <w:tr w:rsidTr="0024730D">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UEGNSG102A</w:t>
            </w:r>
          </w:p>
        </w:tc>
        <w:tc>
          <w:tcPr>
            <w:tcW w:w="4500" w:type="dxa"/>
            <w:gridSpan w:val="3"/>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Carry out work activities in a utilities industry work environment</w:t>
            </w:r>
          </w:p>
        </w:tc>
      </w:tr>
      <w:tr w:rsidTr="0024730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UEGNSG103A</w:t>
            </w:r>
          </w:p>
        </w:tc>
        <w:tc>
          <w:tcPr>
            <w:tcW w:w="4500" w:type="dxa"/>
            <w:gridSpan w:val="3"/>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 xml:space="preserve">Comply with workplace OHS procedures and practices </w:t>
            </w:r>
          </w:p>
        </w:tc>
      </w:tr>
      <w:tr w:rsidTr="0024730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UEGNSG104A</w:t>
            </w:r>
          </w:p>
        </w:tc>
        <w:tc>
          <w:tcPr>
            <w:tcW w:w="4500" w:type="dxa"/>
            <w:gridSpan w:val="3"/>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Comply with environmental policies and procedures</w:t>
            </w:r>
          </w:p>
        </w:tc>
      </w:tr>
      <w:tr w:rsidTr="0024730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UEGNSG105A</w:t>
            </w:r>
          </w:p>
        </w:tc>
        <w:tc>
          <w:tcPr>
            <w:tcW w:w="4500" w:type="dxa"/>
            <w:gridSpan w:val="3"/>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Establish the work site</w:t>
            </w:r>
          </w:p>
        </w:tc>
      </w:tr>
      <w:tr w:rsidTr="0024730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BSBCMN302A</w:t>
            </w:r>
          </w:p>
        </w:tc>
        <w:tc>
          <w:tcPr>
            <w:tcW w:w="4500" w:type="dxa"/>
            <w:gridSpan w:val="3"/>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Organise personal work priorities and professional development</w:t>
            </w:r>
          </w:p>
        </w:tc>
      </w:tr>
      <w:tr w:rsidTr="0024730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BSBFLM312A</w:t>
            </w:r>
          </w:p>
        </w:tc>
        <w:tc>
          <w:tcPr>
            <w:tcW w:w="4500" w:type="dxa"/>
            <w:gridSpan w:val="3"/>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 xml:space="preserve">Contribute to team effectiveness </w:t>
            </w:r>
          </w:p>
        </w:tc>
      </w:tr>
      <w:tr w:rsidTr="0024730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BSBFLM303A</w:t>
            </w:r>
          </w:p>
        </w:tc>
        <w:tc>
          <w:tcPr>
            <w:tcW w:w="4500" w:type="dxa"/>
            <w:gridSpan w:val="3"/>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Contribute to effective workplace relationships</w:t>
            </w:r>
          </w:p>
        </w:tc>
      </w:tr>
      <w:tr w:rsidTr="0024730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BSBCMN311A</w:t>
            </w:r>
          </w:p>
        </w:tc>
        <w:tc>
          <w:tcPr>
            <w:tcW w:w="4500" w:type="dxa"/>
            <w:gridSpan w:val="3"/>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Maintain workplace safety</w:t>
            </w:r>
          </w:p>
        </w:tc>
      </w:tr>
      <w:tr w:rsidTr="0024730D">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BF328E" w:rsidP="00BF328E">
            <w:pPr>
              <w:pStyle w:val="BodyText"/>
            </w:pPr>
            <w:r w:rsidRPr="00BF328E">
              <w:rPr>
                <w:rStyle w:val="SpecialBold"/>
              </w:rPr>
              <w:t>Key Competencies</w:t>
            </w:r>
          </w:p>
        </w:tc>
        <w:tc>
          <w:tcPr>
            <w:tcW w:w="6300" w:type="dxa"/>
            <w:gridSpan w:val="6"/>
            <w:tcBorders>
              <w:top w:val="nil"/>
              <w:left w:val="nil"/>
              <w:bottom w:val="nil"/>
              <w:right w:val="nil"/>
            </w:tcBorders>
            <w:tcMar>
              <w:top w:w="0" w:type="dxa"/>
              <w:left w:w="62" w:type="dxa"/>
              <w:bottom w:w="0" w:type="dxa"/>
              <w:right w:w="62" w:type="dxa"/>
            </w:tcMar>
          </w:tcPr>
          <w:p w:rsidR="00000000" w:rsidRPr="00BF328E" w:rsidP="00BF328E">
            <w:pPr>
              <w:pStyle w:val="BodyText"/>
            </w:pPr>
            <w:r w:rsidRPr="00BF328E">
              <w:rPr>
                <w:rStyle w:val="SpecialBold"/>
              </w:rPr>
              <w:t>8</w:t>
            </w:r>
            <w:r w:rsidRPr="00BF328E">
              <w:t>.</w:t>
            </w:r>
            <w:r w:rsidRPr="00BF328E">
              <w:rPr>
                <w:rStyle w:val="SpecialBold"/>
              </w:rPr>
              <w:t>6</w:t>
            </w:r>
            <w:r w:rsidRPr="00BF328E">
              <w:t xml:space="preserve">) </w:t>
            </w:r>
          </w:p>
          <w:p w:rsidR="00000000" w:rsidP="00BF328E">
            <w:pPr>
              <w:pStyle w:val="BodyText"/>
              <w:rPr>
                <w:lang w:val="en-NZ"/>
              </w:rPr>
            </w:pPr>
            <w:r w:rsidRPr="00BF328E">
              <w:t>Evidence that particular Key Competencies have been achieved within this Competency Standard Unit is in the context of the following Performance Criteria of evidence. See Volume 2, Part 4 for an explanation of Key Competencies and levels of this Training P</w:t>
            </w:r>
            <w:r w:rsidRPr="00BF328E">
              <w:t>ackage.</w:t>
            </w:r>
          </w:p>
        </w:tc>
      </w:tr>
      <w:tr w:rsidTr="0024730D">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328E" w:rsidP="00BF328E">
            <w:pPr>
              <w:pStyle w:val="BodyText"/>
            </w:pPr>
            <w:r w:rsidRPr="00BF328E">
              <w:rPr>
                <w:rStyle w:val="SpecialBold"/>
              </w:rPr>
              <w:t>Key Competencies</w:t>
            </w: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328E" w:rsidP="00BF328E">
            <w:pPr>
              <w:pStyle w:val="BodyText"/>
            </w:pPr>
            <w:r w:rsidRPr="00BF328E">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28E">
            <w:pPr>
              <w:pStyle w:val="BodyText"/>
              <w:rPr>
                <w:lang w:val="en-NZ"/>
              </w:rPr>
            </w:pPr>
            <w:r w:rsidRPr="00BF328E">
              <w:rPr>
                <w:rStyle w:val="SpecialBold"/>
              </w:rPr>
              <w:t>Performance Level</w:t>
            </w:r>
          </w:p>
        </w:tc>
      </w:tr>
      <w:tr w:rsidTr="0024730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28E">
            <w:pPr>
              <w:pStyle w:val="BodyText"/>
              <w:rPr>
                <w:lang w:val="en-NZ"/>
              </w:rPr>
            </w:pPr>
            <w:r w:rsidRPr="00BF328E">
              <w:t>How are ideas and information communicated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F328E">
            <w:pPr>
              <w:pStyle w:val="BodyText"/>
              <w:rPr>
                <w:lang w:val="en-NZ"/>
              </w:rPr>
            </w:pPr>
            <w:r w:rsidRPr="00BF328E">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328E" w:rsidP="00BF328E">
            <w:pPr>
              <w:pStyle w:val="BodyText"/>
            </w:pPr>
          </w:p>
          <w:p w:rsidR="00000000" w:rsidP="00BF328E">
            <w:pPr>
              <w:pStyle w:val="BodyText"/>
              <w:rPr>
                <w:lang w:val="en-NZ"/>
              </w:rPr>
            </w:pPr>
            <w:r w:rsidRPr="00BF328E">
              <w:t>3</w:t>
            </w:r>
          </w:p>
        </w:tc>
      </w:tr>
      <w:tr w:rsidTr="0024730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F328E">
            <w:pPr>
              <w:pStyle w:val="BodyText"/>
              <w:rPr>
                <w:lang w:val="en-NZ"/>
              </w:rPr>
            </w:pPr>
            <w:r w:rsidRPr="00BF328E">
              <w:t>1.8; 3.2</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28E">
            <w:pPr>
              <w:pStyle w:val="BodyText"/>
              <w:rPr>
                <w:lang w:val="en-NZ"/>
              </w:rPr>
            </w:pPr>
          </w:p>
        </w:tc>
      </w:tr>
      <w:tr w:rsidTr="0024730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28E">
            <w:pPr>
              <w:pStyle w:val="BodyText"/>
              <w:rPr>
                <w:lang w:val="en-NZ"/>
              </w:rPr>
            </w:pPr>
            <w:r w:rsidRPr="00BF328E">
              <w:t>How can information be collected, analysed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F328E">
            <w:pPr>
              <w:pStyle w:val="BodyText"/>
              <w:rPr>
                <w:lang w:val="en-NZ"/>
              </w:rPr>
            </w:pPr>
            <w:r w:rsidRPr="00BF328E">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328E" w:rsidP="00BF328E">
            <w:pPr>
              <w:pStyle w:val="BodyText"/>
            </w:pPr>
          </w:p>
          <w:p w:rsidR="00000000" w:rsidP="00BF328E">
            <w:pPr>
              <w:pStyle w:val="BodyText"/>
              <w:rPr>
                <w:lang w:val="en-NZ"/>
              </w:rPr>
            </w:pPr>
            <w:r w:rsidRPr="00BF328E">
              <w:t>2</w:t>
            </w:r>
          </w:p>
        </w:tc>
      </w:tr>
      <w:tr w:rsidTr="0024730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F328E">
            <w:pPr>
              <w:pStyle w:val="BodyText"/>
              <w:rPr>
                <w:lang w:val="en-NZ"/>
              </w:rPr>
            </w:pPr>
            <w:r w:rsidRPr="00BF328E">
              <w:t>1.1; 1.5</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28E">
            <w:pPr>
              <w:pStyle w:val="BodyText"/>
              <w:rPr>
                <w:lang w:val="en-NZ"/>
              </w:rPr>
            </w:pPr>
          </w:p>
        </w:tc>
      </w:tr>
      <w:tr w:rsidTr="0024730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28E">
            <w:pPr>
              <w:pStyle w:val="BodyText"/>
              <w:rPr>
                <w:lang w:val="en-NZ"/>
              </w:rPr>
            </w:pPr>
            <w:r w:rsidRPr="00BF328E">
              <w:t>How are activities planned and organised?</w:t>
            </w: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28E">
            <w:pPr>
              <w:pStyle w:val="BodyText"/>
              <w:rPr>
                <w:lang w:val="en-NZ"/>
              </w:rPr>
            </w:pPr>
            <w:r w:rsidRPr="00BF328E">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328E" w:rsidP="00BF328E">
            <w:pPr>
              <w:pStyle w:val="BodyText"/>
            </w:pPr>
          </w:p>
          <w:p w:rsidR="00000000" w:rsidP="00BF328E">
            <w:pPr>
              <w:pStyle w:val="BodyText"/>
              <w:rPr>
                <w:lang w:val="en-NZ"/>
              </w:rPr>
            </w:pPr>
            <w:r w:rsidRPr="00BF328E">
              <w:t>2</w:t>
            </w:r>
          </w:p>
        </w:tc>
      </w:tr>
      <w:tr w:rsidTr="0024730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28E">
            <w:pPr>
              <w:pStyle w:val="BodyText"/>
              <w:rPr>
                <w:lang w:val="en-NZ"/>
              </w:rPr>
            </w:pPr>
            <w:r w:rsidRPr="00BF328E">
              <w:t>1.10; 2.6</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28E">
            <w:pPr>
              <w:pStyle w:val="BodyText"/>
              <w:rPr>
                <w:lang w:val="en-NZ"/>
              </w:rPr>
            </w:pPr>
          </w:p>
        </w:tc>
      </w:tr>
      <w:tr w:rsidTr="0024730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28E">
            <w:pPr>
              <w:pStyle w:val="BodyText"/>
              <w:rPr>
                <w:lang w:val="en-NZ"/>
              </w:rPr>
            </w:pPr>
            <w:r w:rsidRPr="00BF328E">
              <w:t>How is team work used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F328E">
            <w:pPr>
              <w:pStyle w:val="BodyText"/>
              <w:rPr>
                <w:lang w:val="en-NZ"/>
              </w:rPr>
            </w:pPr>
            <w:r w:rsidRPr="00BF328E">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328E" w:rsidP="00BF328E">
            <w:pPr>
              <w:pStyle w:val="BodyText"/>
            </w:pPr>
          </w:p>
          <w:p w:rsidR="00000000" w:rsidP="00BF328E">
            <w:pPr>
              <w:pStyle w:val="BodyText"/>
              <w:rPr>
                <w:lang w:val="en-NZ"/>
              </w:rPr>
            </w:pPr>
            <w:r w:rsidRPr="00BF328E">
              <w:t>1</w:t>
            </w:r>
          </w:p>
        </w:tc>
      </w:tr>
      <w:tr w:rsidTr="0024730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F328E">
            <w:pPr>
              <w:pStyle w:val="BodyText"/>
              <w:rPr>
                <w:lang w:val="en-NZ"/>
              </w:rPr>
            </w:pPr>
            <w:r w:rsidRPr="00BF328E">
              <w:t>1.9; 1.11</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28E">
            <w:pPr>
              <w:pStyle w:val="BodyText"/>
              <w:rPr>
                <w:lang w:val="en-NZ"/>
              </w:rPr>
            </w:pPr>
          </w:p>
        </w:tc>
      </w:tr>
      <w:tr w:rsidTr="0024730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28E">
            <w:pPr>
              <w:pStyle w:val="BodyText"/>
              <w:rPr>
                <w:lang w:val="en-NZ"/>
              </w:rPr>
            </w:pPr>
            <w:r w:rsidRPr="00BF328E">
              <w:t>How are mathematical ideas and techniques used?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F328E">
            <w:pPr>
              <w:pStyle w:val="BodyText"/>
              <w:rPr>
                <w:lang w:val="en-NZ"/>
              </w:rPr>
            </w:pPr>
            <w:r w:rsidRPr="00BF328E">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328E" w:rsidP="00BF328E">
            <w:pPr>
              <w:pStyle w:val="BodyText"/>
            </w:pPr>
          </w:p>
          <w:p w:rsidR="00000000" w:rsidP="00BF328E">
            <w:pPr>
              <w:pStyle w:val="BodyText"/>
              <w:rPr>
                <w:lang w:val="en-NZ"/>
              </w:rPr>
            </w:pPr>
            <w:r w:rsidRPr="00BF328E">
              <w:t>N/A</w:t>
            </w:r>
          </w:p>
        </w:tc>
      </w:tr>
      <w:tr w:rsidTr="0024730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28E">
            <w:pPr>
              <w:pStyle w:val="BodyText"/>
              <w:rPr>
                <w:lang w:val="en-NZ"/>
              </w:rPr>
            </w:pPr>
          </w:p>
        </w:tc>
      </w:tr>
      <w:tr w:rsidTr="0024730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28E">
            <w:pPr>
              <w:pStyle w:val="BodyText"/>
              <w:rPr>
                <w:lang w:val="en-NZ"/>
              </w:rPr>
            </w:pPr>
            <w:r w:rsidRPr="00BF328E">
              <w:t>How are problem solving skills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F328E">
            <w:pPr>
              <w:pStyle w:val="BodyText"/>
              <w:rPr>
                <w:lang w:val="en-NZ"/>
              </w:rPr>
            </w:pPr>
            <w:r w:rsidRPr="00BF328E">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328E" w:rsidP="00BF328E">
            <w:pPr>
              <w:pStyle w:val="BodyText"/>
            </w:pPr>
          </w:p>
          <w:p w:rsidR="00000000" w:rsidP="00BF328E">
            <w:pPr>
              <w:pStyle w:val="BodyText"/>
              <w:rPr>
                <w:lang w:val="en-NZ"/>
              </w:rPr>
            </w:pPr>
            <w:r w:rsidRPr="00BF328E">
              <w:t>2</w:t>
            </w:r>
          </w:p>
        </w:tc>
      </w:tr>
      <w:tr w:rsidTr="0024730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F328E">
            <w:pPr>
              <w:pStyle w:val="BodyText"/>
              <w:rPr>
                <w:lang w:val="en-NZ"/>
              </w:rPr>
            </w:pPr>
            <w:r w:rsidRPr="00BF328E">
              <w:t>2.6; 2.7</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28E">
            <w:pPr>
              <w:pStyle w:val="BodyText"/>
              <w:rPr>
                <w:lang w:val="en-NZ"/>
              </w:rPr>
            </w:pPr>
          </w:p>
        </w:tc>
      </w:tr>
      <w:tr w:rsidTr="0024730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28E">
            <w:pPr>
              <w:pStyle w:val="BodyText"/>
              <w:rPr>
                <w:lang w:val="en-NZ"/>
              </w:rPr>
            </w:pPr>
            <w:r w:rsidRPr="00BF328E">
              <w:t>How is use of technology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F328E">
            <w:pPr>
              <w:pStyle w:val="BodyText"/>
              <w:rPr>
                <w:lang w:val="en-NZ"/>
              </w:rPr>
            </w:pPr>
            <w:r w:rsidRPr="00BF328E">
              <w:t>Refer to the following Performance Criteria for examples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328E" w:rsidP="00BF328E">
            <w:pPr>
              <w:pStyle w:val="BodyText"/>
            </w:pPr>
          </w:p>
          <w:p w:rsidR="00000000" w:rsidP="00BF328E">
            <w:pPr>
              <w:pStyle w:val="BodyText"/>
              <w:rPr>
                <w:lang w:val="en-NZ"/>
              </w:rPr>
            </w:pPr>
            <w:r w:rsidRPr="00BF328E">
              <w:t>2</w:t>
            </w:r>
          </w:p>
        </w:tc>
      </w:tr>
      <w:tr w:rsidTr="0024730D">
        <w:tblPrEx>
          <w:tblW w:w="0" w:type="auto"/>
          <w:tblLayout w:type="fixed"/>
          <w:tblCellMar>
            <w:left w:w="62" w:type="dxa"/>
            <w:right w:w="62" w:type="dxa"/>
          </w:tblCellMar>
          <w:tblLook w:val="0000"/>
        </w:tblPrEx>
        <w:trPr>
          <w:gridAfter w:val="1"/>
          <w:wAfter w:w="1563" w:type="dxa"/>
        </w:trPr>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F328E">
            <w:pPr>
              <w:pStyle w:val="BodyText"/>
              <w:rPr>
                <w:lang w:val="en-NZ"/>
              </w:rPr>
            </w:pPr>
            <w:r w:rsidRPr="00BF328E">
              <w:t>3.4</w:t>
            </w:r>
          </w:p>
        </w:tc>
      </w:tr>
      <w:tr w:rsidTr="0024730D">
        <w:tblPrEx>
          <w:tblW w:w="0" w:type="auto"/>
          <w:tblLayout w:type="fixed"/>
          <w:tblCellMar>
            <w:left w:w="62" w:type="dxa"/>
            <w:right w:w="62" w:type="dxa"/>
          </w:tblCellMar>
          <w:tblLook w:val="0000"/>
        </w:tblPrEx>
        <w:tc>
          <w:tcPr>
            <w:tcW w:w="2160" w:type="dxa"/>
            <w:gridSpan w:val="2"/>
            <w:tcBorders>
              <w:top w:val="single" w:sz="6" w:space="0" w:color="auto"/>
              <w:left w:val="nil"/>
              <w:bottom w:val="single" w:sz="6" w:space="0" w:color="auto"/>
              <w:right w:val="nil"/>
            </w:tcBorders>
            <w:tcMar>
              <w:top w:w="0" w:type="dxa"/>
              <w:left w:w="62" w:type="dxa"/>
              <w:bottom w:w="0" w:type="dxa"/>
              <w:right w:w="62" w:type="dxa"/>
            </w:tcMar>
          </w:tcPr>
          <w:p w:rsidR="00000000" w:rsidRPr="00BF328E" w:rsidP="00BF328E">
            <w:pPr>
              <w:pStyle w:val="BodyText"/>
            </w:pPr>
            <w:r w:rsidRPr="00BF328E">
              <w:rPr>
                <w:rStyle w:val="SpecialBold"/>
              </w:rPr>
              <w:t>Skills Enabling Employment</w:t>
            </w:r>
          </w:p>
        </w:tc>
        <w:tc>
          <w:tcPr>
            <w:tcW w:w="6300" w:type="dxa"/>
            <w:gridSpan w:val="6"/>
            <w:tcBorders>
              <w:top w:val="nil"/>
              <w:left w:val="nil"/>
              <w:bottom w:val="single" w:sz="6" w:space="0" w:color="auto"/>
              <w:right w:val="nil"/>
            </w:tcBorders>
            <w:tcMar>
              <w:top w:w="0" w:type="dxa"/>
              <w:left w:w="62" w:type="dxa"/>
              <w:bottom w:w="0" w:type="dxa"/>
              <w:right w:w="62" w:type="dxa"/>
            </w:tcMar>
          </w:tcPr>
          <w:p w:rsidR="00000000" w:rsidRPr="00BF328E" w:rsidP="00BF328E">
            <w:pPr>
              <w:pStyle w:val="BodyText"/>
            </w:pPr>
            <w:r w:rsidRPr="00BF328E">
              <w:rPr>
                <w:rStyle w:val="SpecialBold"/>
              </w:rPr>
              <w:t>8</w:t>
            </w:r>
            <w:r w:rsidRPr="00BF328E">
              <w:t>.</w:t>
            </w:r>
            <w:r w:rsidRPr="00BF328E">
              <w:rPr>
                <w:rStyle w:val="SpecialBold"/>
              </w:rPr>
              <w:t>7</w:t>
            </w:r>
            <w:r w:rsidRPr="00BF328E">
              <w:t xml:space="preserve">) </w:t>
            </w:r>
          </w:p>
          <w:p w:rsidR="00000000" w:rsidP="00BF328E">
            <w:pPr>
              <w:pStyle w:val="BodyText"/>
              <w:rPr>
                <w:lang w:val="en-NZ"/>
              </w:rPr>
            </w:pPr>
            <w:r w:rsidRPr="00BF328E">
              <w:t xml:space="preserve">Evidence that competency in this unit incorporates skills enabling employment is in the context of the following performance. See Volume 2, Part 5 for definitions and an explanation of skills enabling employment. </w:t>
            </w:r>
          </w:p>
        </w:tc>
      </w:tr>
      <w:tr w:rsidTr="0024730D">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328E" w:rsidP="00BF328E">
            <w:pPr>
              <w:pStyle w:val="BodyText"/>
            </w:pPr>
            <w:r w:rsidRPr="00BF328E">
              <w:rPr>
                <w:rStyle w:val="SpecialBold"/>
              </w:rPr>
              <w:t>Skills for Employment</w:t>
            </w:r>
          </w:p>
        </w:tc>
        <w:tc>
          <w:tcPr>
            <w:tcW w:w="6300"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28E">
            <w:pPr>
              <w:pStyle w:val="BodyText"/>
              <w:rPr>
                <w:lang w:val="en-NZ"/>
              </w:rPr>
            </w:pPr>
            <w:r w:rsidRPr="00BF328E">
              <w:rPr>
                <w:rStyle w:val="SpecialBold"/>
              </w:rPr>
              <w:t>Example of Application</w:t>
            </w:r>
          </w:p>
        </w:tc>
      </w:tr>
      <w:tr w:rsidTr="0024730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28E">
            <w:pPr>
              <w:pStyle w:val="BodyText"/>
              <w:rPr>
                <w:lang w:val="en-NZ"/>
              </w:rPr>
            </w:pPr>
            <w:r w:rsidRPr="00BF328E">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28E">
            <w:pPr>
              <w:pStyle w:val="BodyText"/>
              <w:rPr>
                <w:lang w:val="en-NZ"/>
              </w:rPr>
            </w:pPr>
            <w:r w:rsidRPr="00BF328E">
              <w:t>Developing and using skills within a real workplace</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F328E">
            <w:pPr>
              <w:pStyle w:val="BodyText"/>
              <w:rPr>
                <w:lang w:val="en-NZ"/>
              </w:rPr>
            </w:pPr>
            <w:r w:rsidRPr="00BF328E">
              <w:t>Refer to the following Performance Criteria for examples of application:</w:t>
            </w:r>
          </w:p>
        </w:tc>
      </w:tr>
      <w:tr w:rsidTr="0024730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F328E">
            <w:pPr>
              <w:pStyle w:val="BodyText"/>
              <w:rPr>
                <w:lang w:val="en-NZ"/>
              </w:rPr>
            </w:pPr>
            <w:r w:rsidRPr="00BF328E">
              <w:t>All</w:t>
            </w:r>
          </w:p>
        </w:tc>
      </w:tr>
      <w:tr w:rsidTr="0024730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28E">
            <w:pPr>
              <w:pStyle w:val="BodyText"/>
              <w:rPr>
                <w:lang w:val="en-NZ"/>
              </w:rPr>
            </w:pPr>
            <w:r w:rsidRPr="00BF328E">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28E">
            <w:pPr>
              <w:pStyle w:val="BodyText"/>
              <w:rPr>
                <w:lang w:val="en-NZ"/>
              </w:rPr>
            </w:pPr>
            <w:r w:rsidRPr="00BF328E">
              <w:t>Learning to learn in the workplace</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F328E">
            <w:pPr>
              <w:pStyle w:val="BodyText"/>
              <w:rPr>
                <w:lang w:val="en-NZ"/>
              </w:rPr>
            </w:pPr>
            <w:r w:rsidRPr="00BF328E">
              <w:t>Refer to the following Performance Criteria for examples of application:</w:t>
            </w:r>
          </w:p>
        </w:tc>
      </w:tr>
      <w:tr w:rsidTr="0024730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F328E">
            <w:pPr>
              <w:pStyle w:val="BodyText"/>
              <w:rPr>
                <w:lang w:val="en-NZ"/>
              </w:rPr>
            </w:pPr>
            <w:r w:rsidRPr="00BF328E">
              <w:t>2.6; 2.7</w:t>
            </w:r>
          </w:p>
        </w:tc>
      </w:tr>
      <w:tr w:rsidTr="0024730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28E">
            <w:pPr>
              <w:pStyle w:val="BodyText"/>
              <w:rPr>
                <w:lang w:val="en-NZ"/>
              </w:rPr>
            </w:pPr>
            <w:r w:rsidRPr="00BF328E">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28E">
            <w:pPr>
              <w:pStyle w:val="BodyText"/>
              <w:rPr>
                <w:lang w:val="en-NZ"/>
              </w:rPr>
            </w:pPr>
            <w:r w:rsidRPr="00BF328E">
              <w:t>Reflecting on the outcome and process of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F328E">
            <w:pPr>
              <w:pStyle w:val="BodyText"/>
              <w:rPr>
                <w:lang w:val="en-NZ"/>
              </w:rPr>
            </w:pPr>
            <w:r w:rsidRPr="00BF328E">
              <w:t>Refer to the following Performance Criteria for examples of application:</w:t>
            </w:r>
          </w:p>
        </w:tc>
      </w:tr>
      <w:tr w:rsidTr="0024730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F328E">
            <w:pPr>
              <w:pStyle w:val="BodyText"/>
              <w:rPr>
                <w:lang w:val="en-NZ"/>
              </w:rPr>
            </w:pPr>
            <w:r w:rsidRPr="00BF328E">
              <w:t>3.4; 3.6</w:t>
            </w:r>
          </w:p>
        </w:tc>
      </w:tr>
      <w:tr w:rsidTr="0024730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28E">
            <w:pPr>
              <w:pStyle w:val="BodyText"/>
              <w:rPr>
                <w:lang w:val="en-NZ"/>
              </w:rPr>
            </w:pPr>
            <w:r w:rsidRPr="00BF328E">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28E">
            <w:pPr>
              <w:pStyle w:val="BodyText"/>
              <w:rPr>
                <w:lang w:val="en-NZ"/>
              </w:rPr>
            </w:pPr>
            <w:r w:rsidRPr="00BF328E">
              <w:t>Interacting and understanding of the context of the work task</w:t>
            </w:r>
          </w:p>
        </w:tc>
        <w:tc>
          <w:tcPr>
            <w:tcW w:w="6300"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28E">
            <w:pPr>
              <w:pStyle w:val="BodyText"/>
              <w:rPr>
                <w:lang w:val="en-NZ"/>
              </w:rPr>
            </w:pPr>
            <w:r w:rsidRPr="00BF328E">
              <w:t>Refer to the following Performance Criteria for examples of application:</w:t>
            </w:r>
          </w:p>
        </w:tc>
      </w:tr>
      <w:tr w:rsidTr="0024730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28E">
            <w:pPr>
              <w:pStyle w:val="BodyText"/>
              <w:rPr>
                <w:lang w:val="en-NZ"/>
              </w:rPr>
            </w:pPr>
            <w:r w:rsidRPr="00BF328E">
              <w:t>1.4; 1.9; 3.6</w:t>
            </w:r>
          </w:p>
        </w:tc>
      </w:tr>
      <w:tr w:rsidTr="0024730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28E">
            <w:pPr>
              <w:pStyle w:val="BodyText"/>
              <w:rPr>
                <w:lang w:val="en-NZ"/>
              </w:rPr>
            </w:pPr>
            <w:r w:rsidRPr="00BF328E">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28E">
            <w:pPr>
              <w:pStyle w:val="BodyText"/>
              <w:rPr>
                <w:lang w:val="en-NZ"/>
              </w:rPr>
            </w:pPr>
            <w:r w:rsidRPr="00BF328E">
              <w:t>Planning and organising the meaningful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F328E">
            <w:pPr>
              <w:pStyle w:val="BodyText"/>
              <w:rPr>
                <w:lang w:val="en-NZ"/>
              </w:rPr>
            </w:pPr>
            <w:r w:rsidRPr="00BF328E">
              <w:t>Refer to the following Performance Criteria for examples of application:</w:t>
            </w:r>
          </w:p>
        </w:tc>
      </w:tr>
      <w:tr w:rsidTr="0024730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F328E">
            <w:pPr>
              <w:pStyle w:val="BodyText"/>
              <w:rPr>
                <w:lang w:val="en-NZ"/>
              </w:rPr>
            </w:pPr>
            <w:r w:rsidRPr="00BF328E">
              <w:t>1.4; 1.5; 1.7; 1.9</w:t>
            </w:r>
          </w:p>
        </w:tc>
      </w:tr>
      <w:tr w:rsidTr="0024730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28E">
            <w:pPr>
              <w:pStyle w:val="BodyText"/>
              <w:rPr>
                <w:lang w:val="en-NZ"/>
              </w:rPr>
            </w:pPr>
            <w:r w:rsidRPr="00BF328E">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328E">
            <w:pPr>
              <w:pStyle w:val="BodyText"/>
              <w:rPr>
                <w:lang w:val="en-NZ"/>
              </w:rPr>
            </w:pPr>
            <w:r w:rsidRPr="00BF328E">
              <w:t>Performing the work task in non-routine or contingent situations</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F328E">
            <w:pPr>
              <w:pStyle w:val="BodyText"/>
              <w:rPr>
                <w:lang w:val="en-NZ"/>
              </w:rPr>
            </w:pPr>
            <w:r w:rsidRPr="00BF328E">
              <w:t>Refer to the following Performance Criteria for examples of application:</w:t>
            </w:r>
          </w:p>
        </w:tc>
      </w:tr>
      <w:tr w:rsidTr="0024730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BF328E" w:rsidP="00BF328E">
            <w:pPr>
              <w:pStyle w:val="BodyText"/>
            </w:pPr>
            <w:r w:rsidRPr="00BF328E">
              <w:t>2.6</w:t>
            </w:r>
          </w:p>
        </w:tc>
      </w:tr>
    </w:tbl>
    <w:p w:rsidR="0024730D" w:rsidP="00BF328E">
      <w:pPr>
        <w:pStyle w:val="BodyText"/>
      </w:pPr>
    </w:p>
    <w:p w:rsidR="0024730D" w:rsidP="00BF328E">
      <w:pPr>
        <w:pStyle w:val="BodyText"/>
      </w:pPr>
    </w:p>
    <w:p w:rsidR="00000000" w:rsidRPr="00BF328E" w:rsidP="00BF328E">
      <w:pPr>
        <w:pStyle w:val="Heading1"/>
      </w:pPr>
      <w:bookmarkStart w:id="11" w:name="O_255820"/>
      <w:bookmarkEnd w:id="11"/>
      <w:r w:rsidRPr="00BF328E">
        <w:t>Range Statement</w:t>
      </w:r>
    </w:p>
    <w:tbl>
      <w:tblPr>
        <w:tblW w:w="0" w:type="auto"/>
        <w:tblLayout w:type="fixed"/>
        <w:tblCellMar>
          <w:left w:w="62" w:type="dxa"/>
          <w:right w:w="62" w:type="dxa"/>
        </w:tblCellMar>
        <w:tblLook w:val="0000"/>
      </w:tblPr>
      <w:tblGrid>
        <w:gridCol w:w="8460"/>
      </w:tblGrid>
      <w:tr w:rsidTr="0024730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rPr>
                <w:rStyle w:val="SpecialBold"/>
              </w:rPr>
              <w:t>RANGE STATEMENT</w:t>
            </w:r>
          </w:p>
        </w:tc>
      </w:tr>
      <w:tr w:rsidTr="0024730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rPr>
                <w:rStyle w:val="SpecialBold"/>
              </w:rPr>
              <w:t>7</w:t>
            </w:r>
            <w:r w:rsidRPr="00BF328E">
              <w:t xml:space="preserve">) This relates to the competency standard unit as a whole providing the range of contexts and conditions </w:t>
            </w:r>
            <w:r w:rsidRPr="00BF328E">
              <w:t>to which the Performance Criteria apply. It allows for different work environments and situations that will affect performance.</w:t>
            </w:r>
          </w:p>
        </w:tc>
      </w:tr>
      <w:tr w:rsidTr="0024730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F328E" w:rsidP="00BF328E">
            <w:pPr>
              <w:pStyle w:val="BodyText"/>
            </w:pPr>
            <w:r w:rsidRPr="00BF328E">
              <w:t>This Competency Standard Unit shall/may be demonstrated in relation to the monitoring and control of the transfer of LPG.</w:t>
            </w:r>
          </w:p>
          <w:p w:rsidR="00000000" w:rsidRPr="00BF328E" w:rsidP="00BF328E">
            <w:pPr>
              <w:pStyle w:val="BodyText"/>
            </w:pPr>
            <w:r w:rsidRPr="00BF328E">
              <w:t>The following constants and variables included in the element/Performance Criteria in this unit are fully described in the Definitions Section of this volume and form an integral part of the Range Statement of this unit:</w:t>
            </w:r>
          </w:p>
          <w:p w:rsidR="00000000" w:rsidRPr="00BF328E" w:rsidP="00BF328E">
            <w:pPr>
              <w:pStyle w:val="BodyText"/>
            </w:pPr>
            <w:r w:rsidRPr="00BF328E">
              <w:t>Equipment (3)</w:t>
            </w:r>
          </w:p>
          <w:p w:rsidR="00000000" w:rsidRPr="00BF328E" w:rsidP="00BF328E">
            <w:pPr>
              <w:pStyle w:val="BodyText"/>
            </w:pPr>
            <w:r w:rsidRPr="00BF328E">
              <w:t xml:space="preserve">Transfer of LPG </w:t>
            </w:r>
          </w:p>
          <w:p w:rsidR="00000000" w:rsidRPr="00BF328E" w:rsidP="00BF328E">
            <w:pPr>
              <w:pStyle w:val="BodyText"/>
            </w:pPr>
            <w:r w:rsidRPr="00BF328E">
              <w:t>Tran</w:t>
            </w:r>
            <w:r w:rsidRPr="00BF328E">
              <w:t>sfer equipment (3)</w:t>
            </w:r>
          </w:p>
          <w:p w:rsidR="00000000" w:rsidRPr="00BF328E" w:rsidP="00BF328E">
            <w:pPr>
              <w:pStyle w:val="BodyText"/>
            </w:pPr>
            <w:r w:rsidRPr="00BF328E">
              <w:t xml:space="preserve">Emergency response </w:t>
            </w:r>
          </w:p>
          <w:p w:rsidR="00000000" w:rsidRPr="00BF328E" w:rsidP="00BF328E">
            <w:pPr>
              <w:pStyle w:val="BodyText"/>
            </w:pPr>
            <w:r w:rsidRPr="00BF328E">
              <w:t>Documentation (3)</w:t>
            </w:r>
          </w:p>
        </w:tc>
      </w:tr>
    </w:tbl>
    <w:p w:rsidR="0024730D" w:rsidP="00BF328E">
      <w:pPr>
        <w:pStyle w:val="BodyText"/>
      </w:pPr>
    </w:p>
    <w:p w:rsidR="0024730D" w:rsidP="00BF328E">
      <w:pPr>
        <w:pStyle w:val="BodyText"/>
      </w:pPr>
    </w:p>
    <w:p w:rsidR="00000000" w:rsidRPr="00BF328E" w:rsidP="00BF328E">
      <w:pPr>
        <w:pStyle w:val="Heading1"/>
      </w:pPr>
      <w:bookmarkStart w:id="12" w:name="O_296833"/>
      <w:bookmarkEnd w:id="12"/>
      <w:r w:rsidRPr="00BF328E">
        <w:t>Unit Sector(s)</w:t>
      </w:r>
    </w:p>
    <w:p w:rsidR="00000000" w:rsidRPr="00BF328E" w:rsidP="00BF328E">
      <w:pPr>
        <w:pStyle w:val="BodyText"/>
      </w:pPr>
      <w:r w:rsidRPr="00BF328E">
        <w:t>Not Applicable</w:t>
      </w:r>
    </w:p>
    <w:p w:rsidR="00000000" w:rsidRPr="00BF328E" w:rsidP="00BF328E">
      <w:pPr>
        <w:pStyle w:val="AllowPageBreak"/>
      </w:pPr>
    </w:p>
    <w:p w:rsidR="00000000" w:rsidRPr="00BF328E" w:rsidP="00BF328E">
      <w:pPr>
        <w:pStyle w:val="Heading1"/>
      </w:pPr>
      <w:bookmarkStart w:id="13" w:name="O_229657"/>
      <w:bookmarkEnd w:id="13"/>
      <w:r w:rsidRPr="00BF328E">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2473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F328E" w:rsidP="00BF328E">
            <w:pPr>
              <w:pStyle w:val="BodyText"/>
            </w:pPr>
            <w:r w:rsidRPr="00BF328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BF328E" w:rsidP="00BF328E">
            <w:pPr>
              <w:pStyle w:val="BodyText"/>
            </w:pPr>
            <w:r w:rsidRPr="00BF328E">
              <w:rPr>
                <w:rStyle w:val="SpecialBold"/>
              </w:rPr>
              <w:t>2</w:t>
            </w:r>
            <w:r w:rsidRPr="00BF328E">
              <w:t>.</w:t>
            </w:r>
            <w:r w:rsidRPr="00BF328E">
              <w:rPr>
                <w:rStyle w:val="SpecialBold"/>
              </w:rPr>
              <w:t>2</w:t>
            </w:r>
            <w:r w:rsidRPr="00BF328E">
              <w:t xml:space="preserve">) </w:t>
            </w:r>
          </w:p>
          <w:p w:rsidR="00000000" w:rsidP="00BF328E">
            <w:pPr>
              <w:pStyle w:val="BodyText"/>
              <w:rPr>
                <w:lang w:val="en-NZ"/>
              </w:rPr>
            </w:pPr>
            <w:r w:rsidRPr="00BF328E">
              <w:t xml:space="preserve">Participants are best </w:t>
            </w:r>
            <w:r w:rsidRPr="00BF328E">
              <w:t>equipped to achieve this unit if they have reading, writing and numeracy skills indicated by the following scales. Description of each scale is given in Volume 2, Part 3 'Literacy and Numeracy'</w:t>
            </w:r>
          </w:p>
        </w:tc>
      </w:tr>
      <w:tr w:rsidTr="002473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Reading</w:t>
            </w:r>
          </w:p>
        </w:tc>
        <w:tc>
          <w:tcPr>
            <w:tcW w:w="805"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3</w:t>
            </w:r>
          </w:p>
        </w:tc>
        <w:tc>
          <w:tcPr>
            <w:tcW w:w="1184"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Writing</w:t>
            </w:r>
          </w:p>
        </w:tc>
        <w:tc>
          <w:tcPr>
            <w:tcW w:w="805"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3</w:t>
            </w:r>
          </w:p>
        </w:tc>
        <w:tc>
          <w:tcPr>
            <w:tcW w:w="1172"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t>Numeracy</w:t>
            </w:r>
          </w:p>
        </w:tc>
        <w:tc>
          <w:tcPr>
            <w:tcW w:w="805" w:type="dxa"/>
            <w:tcBorders>
              <w:top w:val="nil"/>
              <w:left w:val="nil"/>
              <w:bottom w:val="nil"/>
              <w:right w:val="nil"/>
            </w:tcBorders>
            <w:tcMar>
              <w:top w:w="0" w:type="dxa"/>
              <w:left w:w="62" w:type="dxa"/>
              <w:bottom w:w="0" w:type="dxa"/>
              <w:right w:w="62" w:type="dxa"/>
            </w:tcMar>
          </w:tcPr>
          <w:p w:rsidR="00000000" w:rsidRPr="00BF328E" w:rsidP="00BF328E">
            <w:pPr>
              <w:pStyle w:val="BodyText"/>
            </w:pPr>
            <w:r w:rsidRPr="00BF328E">
              <w:t>3</w:t>
            </w:r>
          </w:p>
        </w:tc>
      </w:tr>
    </w:tbl>
    <w:p w:rsidR="0024730D" w:rsidP="00BF328E">
      <w:pPr>
        <w:pStyle w:val="BodyText"/>
      </w:pPr>
    </w:p>
    <w:p w:rsidR="0024730D" w:rsidP="00BF328E">
      <w:pPr>
        <w:pStyle w:val="BodyText"/>
      </w:pPr>
    </w:p>
    <w:p w:rsidR="00000000" w:rsidRPr="00BF328E" w:rsidP="00BF328E">
      <w:pPr>
        <w:pStyle w:val="Heading1"/>
      </w:pPr>
      <w:bookmarkStart w:id="14" w:name="O_229660"/>
      <w:bookmarkEnd w:id="14"/>
      <w:r w:rsidRPr="00BF328E">
        <w:t>Competency Field</w:t>
      </w:r>
    </w:p>
    <w:tbl>
      <w:tblPr>
        <w:tblW w:w="0" w:type="auto"/>
        <w:tblLayout w:type="fixed"/>
        <w:tblCellMar>
          <w:left w:w="62" w:type="dxa"/>
          <w:right w:w="62" w:type="dxa"/>
        </w:tblCellMar>
        <w:tblLook w:val="0000"/>
      </w:tblPr>
      <w:tblGrid>
        <w:gridCol w:w="2700"/>
        <w:gridCol w:w="5760"/>
      </w:tblGrid>
      <w:tr w:rsidTr="002473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F328E" w:rsidP="00BF328E">
            <w:pPr>
              <w:pStyle w:val="BodyText"/>
            </w:pPr>
            <w:r w:rsidRPr="00BF328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F328E">
            <w:pPr>
              <w:pStyle w:val="BodyText"/>
              <w:rPr>
                <w:lang w:val="en-NZ"/>
              </w:rPr>
            </w:pPr>
            <w:r w:rsidRPr="00BF328E">
              <w:rPr>
                <w:rStyle w:val="SpecialBold"/>
              </w:rPr>
              <w:t>4</w:t>
            </w:r>
            <w:r w:rsidRPr="00BF328E">
              <w:t>)</w:t>
            </w:r>
          </w:p>
        </w:tc>
      </w:tr>
      <w:tr w:rsidTr="002473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F328E" w:rsidP="00BF328E">
            <w:pPr>
              <w:pStyle w:val="BodyText"/>
            </w:pPr>
            <w:r w:rsidRPr="00BF328E">
              <w:t>LPG.</w:t>
            </w:r>
          </w:p>
        </w:tc>
      </w:tr>
    </w:tbl>
    <w:p w:rsidR="0024730D" w:rsidP="00BF328E">
      <w:pPr>
        <w:pStyle w:val="BodyText"/>
      </w:pPr>
    </w:p>
    <w:p w:rsidR="0024730D" w:rsidP="00BF328E">
      <w:pPr>
        <w:pStyle w:val="BodyText"/>
      </w:pPr>
    </w:p>
    <w:p w:rsidR="00000000" w:rsidRPr="00BF328E" w:rsidP="00BF328E"/>
    <w:sectPr w:rsidSect="00BF32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2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730D" w:rsidP="002473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2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30D" w:rsidP="00BF32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4730D" w:rsidP="00BF32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4730D" w:rsidP="00BF32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2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730D" w:rsidP="0024730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2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30D" w:rsidP="00BF328E">
    <w:pPr>
      <w:pStyle w:val="Header"/>
      <w:framePr w:wrap="around"/>
    </w:pPr>
    <w:r>
      <w:fldChar w:fldCharType="begin"/>
    </w:r>
    <w:r>
      <w:instrText xml:space="preserve"> TITLE   \* MERGEFORMAT </w:instrText>
    </w:r>
    <w:r>
      <w:fldChar w:fldCharType="separate"/>
    </w:r>
    <w:r>
      <w:t>UEGNSG606A Monitor and control the transfer of LPG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4730D" w:rsidP="00BF328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6848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E21A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82C3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328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328E"/>
    <w:pPr>
      <w:spacing w:before="360" w:after="60"/>
      <w:outlineLvl w:val="0"/>
    </w:pPr>
    <w:rPr>
      <w:sz w:val="32"/>
    </w:rPr>
  </w:style>
  <w:style w:type="paragraph" w:styleId="Heading2">
    <w:name w:val="heading 2"/>
    <w:basedOn w:val="HeadingBase"/>
    <w:next w:val="BodyText"/>
    <w:link w:val="Heading2Char"/>
    <w:qFormat/>
    <w:rsid w:val="00BF328E"/>
    <w:pPr>
      <w:keepLines/>
      <w:spacing w:before="240" w:after="120"/>
      <w:outlineLvl w:val="1"/>
    </w:pPr>
    <w:rPr>
      <w:sz w:val="28"/>
      <w:szCs w:val="40"/>
    </w:rPr>
  </w:style>
  <w:style w:type="paragraph" w:styleId="Heading3">
    <w:name w:val="heading 3"/>
    <w:basedOn w:val="HeadingBase"/>
    <w:next w:val="BodyText"/>
    <w:link w:val="Heading3Char"/>
    <w:qFormat/>
    <w:rsid w:val="00BF328E"/>
    <w:pPr>
      <w:spacing w:before="180" w:after="120"/>
      <w:outlineLvl w:val="2"/>
    </w:pPr>
    <w:rPr>
      <w:spacing w:val="-10"/>
      <w:kern w:val="32"/>
    </w:rPr>
  </w:style>
  <w:style w:type="paragraph" w:styleId="Heading4">
    <w:name w:val="heading 4"/>
    <w:basedOn w:val="HeadingBase"/>
    <w:next w:val="BodyText"/>
    <w:link w:val="Heading4Char"/>
    <w:qFormat/>
    <w:rsid w:val="00BF328E"/>
    <w:pPr>
      <w:spacing w:before="160" w:after="120"/>
      <w:outlineLvl w:val="3"/>
    </w:pPr>
    <w:rPr>
      <w:sz w:val="22"/>
    </w:rPr>
  </w:style>
  <w:style w:type="paragraph" w:styleId="Heading5">
    <w:name w:val="heading 5"/>
    <w:basedOn w:val="HeadingBase"/>
    <w:next w:val="Normal"/>
    <w:link w:val="Heading5Char"/>
    <w:qFormat/>
    <w:rsid w:val="00BF328E"/>
    <w:pPr>
      <w:spacing w:before="80"/>
      <w:outlineLvl w:val="4"/>
    </w:pPr>
    <w:rPr>
      <w:color w:val="918585"/>
      <w:sz w:val="20"/>
    </w:rPr>
  </w:style>
  <w:style w:type="paragraph" w:styleId="Heading6">
    <w:name w:val="heading 6"/>
    <w:basedOn w:val="HeadingBase"/>
    <w:next w:val="Normal"/>
    <w:link w:val="Heading6Char"/>
    <w:qFormat/>
    <w:rsid w:val="00BF328E"/>
    <w:pPr>
      <w:spacing w:before="60"/>
      <w:outlineLvl w:val="5"/>
    </w:pPr>
    <w:rPr>
      <w:color w:val="918585"/>
      <w:sz w:val="20"/>
    </w:rPr>
  </w:style>
  <w:style w:type="paragraph" w:styleId="Heading7">
    <w:name w:val="heading 7"/>
    <w:basedOn w:val="Normal"/>
    <w:next w:val="Normal"/>
    <w:link w:val="Heading7Char"/>
    <w:qFormat/>
    <w:rsid w:val="00BF328E"/>
    <w:pPr>
      <w:ind w:left="720"/>
      <w:outlineLvl w:val="6"/>
    </w:pPr>
    <w:rPr>
      <w:i/>
    </w:rPr>
  </w:style>
  <w:style w:type="paragraph" w:styleId="Heading8">
    <w:name w:val="heading 8"/>
    <w:basedOn w:val="Normal"/>
    <w:next w:val="Normal"/>
    <w:link w:val="Heading8Char"/>
    <w:qFormat/>
    <w:rsid w:val="00BF328E"/>
    <w:pPr>
      <w:ind w:left="720"/>
      <w:outlineLvl w:val="7"/>
    </w:pPr>
    <w:rPr>
      <w:i/>
    </w:rPr>
  </w:style>
  <w:style w:type="paragraph" w:styleId="Heading9">
    <w:name w:val="heading 9"/>
    <w:basedOn w:val="Normal"/>
    <w:next w:val="Normal"/>
    <w:link w:val="Heading9Char"/>
    <w:qFormat/>
    <w:rsid w:val="00BF328E"/>
    <w:pPr>
      <w:ind w:left="720"/>
      <w:outlineLvl w:val="8"/>
    </w:pPr>
    <w:rPr>
      <w:i/>
    </w:rPr>
  </w:style>
  <w:style w:type="character" w:default="1" w:styleId="DefaultParagraphFont">
    <w:name w:val="Default Paragraph Font"/>
    <w:uiPriority w:val="1"/>
    <w:unhideWhenUsed/>
    <w:rsid w:val="00BF32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328E"/>
  </w:style>
  <w:style w:type="character" w:customStyle="1" w:styleId="Heading1Char">
    <w:name w:val="Heading 1 Char"/>
    <w:link w:val="Heading1"/>
    <w:rsid w:val="00BF328E"/>
    <w:rPr>
      <w:rFonts w:ascii="Times New Roman" w:eastAsia="Times New Roman" w:hAnsi="Times New Roman" w:cs="Times New Roman"/>
      <w:b/>
      <w:sz w:val="32"/>
      <w:szCs w:val="20"/>
      <w:lang w:eastAsia="en-US"/>
    </w:rPr>
  </w:style>
  <w:style w:type="paragraph" w:styleId="BodyText">
    <w:name w:val="Body Text"/>
    <w:basedOn w:val="Normal"/>
    <w:link w:val="BodyTextChar"/>
    <w:rsid w:val="00BF328E"/>
    <w:pPr>
      <w:spacing w:before="120" w:after="120"/>
      <w:contextualSpacing/>
    </w:pPr>
    <w:rPr>
      <w:rFonts w:ascii="Times New Roman" w:hAnsi="Times New Roman"/>
      <w:sz w:val="24"/>
      <w:szCs w:val="22"/>
    </w:rPr>
  </w:style>
  <w:style w:type="character" w:customStyle="1" w:styleId="BodyTextChar">
    <w:name w:val="Body Text Char"/>
    <w:link w:val="BodyText"/>
    <w:rsid w:val="00BF328E"/>
    <w:rPr>
      <w:rFonts w:ascii="Times New Roman" w:eastAsia="Times New Roman" w:hAnsi="Times New Roman" w:cs="Times New Roman"/>
      <w:sz w:val="24"/>
      <w:lang w:val="en-US" w:eastAsia="en-US"/>
    </w:rPr>
  </w:style>
  <w:style w:type="paragraph" w:styleId="Footer">
    <w:name w:val="footer"/>
    <w:basedOn w:val="Normal"/>
    <w:link w:val="FooterChar"/>
    <w:rsid w:val="00BF32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F328E"/>
    <w:rPr>
      <w:rFonts w:ascii="Times New Roman" w:eastAsia="Times New Roman" w:hAnsi="Times New Roman" w:cs="Times New Roman"/>
      <w:sz w:val="16"/>
      <w:lang w:val="en-US" w:eastAsia="en-US"/>
    </w:rPr>
  </w:style>
  <w:style w:type="paragraph" w:styleId="ListBullet">
    <w:name w:val="List Bullet"/>
    <w:basedOn w:val="List"/>
    <w:rsid w:val="00BF328E"/>
    <w:pPr>
      <w:numPr>
        <w:numId w:val="13"/>
      </w:numPr>
      <w:tabs>
        <w:tab w:val="clear" w:pos="340"/>
      </w:tabs>
      <w:spacing w:before="40" w:after="40"/>
    </w:pPr>
  </w:style>
  <w:style w:type="character" w:customStyle="1" w:styleId="SpecialBold">
    <w:name w:val="Special Bold"/>
    <w:rsid w:val="00BF328E"/>
    <w:rPr>
      <w:b/>
      <w:spacing w:val="0"/>
    </w:rPr>
  </w:style>
  <w:style w:type="paragraph" w:styleId="ListBullet2">
    <w:name w:val="List Bullet 2"/>
    <w:basedOn w:val="List2"/>
    <w:rsid w:val="00BF328E"/>
    <w:pPr>
      <w:numPr>
        <w:numId w:val="14"/>
      </w:numPr>
      <w:tabs>
        <w:tab w:val="clear" w:pos="680"/>
      </w:tabs>
    </w:pPr>
  </w:style>
  <w:style w:type="paragraph" w:styleId="Header">
    <w:name w:val="header"/>
    <w:basedOn w:val="Normal"/>
    <w:link w:val="HeaderChar"/>
    <w:rsid w:val="00BF32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F328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F328E"/>
    <w:pPr>
      <w:spacing w:before="240" w:after="120"/>
      <w:outlineLvl w:val="0"/>
    </w:pPr>
    <w:rPr>
      <w:rFonts w:ascii="Times New Roman" w:hAnsi="Times New Roman"/>
      <w:b/>
      <w:sz w:val="28"/>
    </w:rPr>
  </w:style>
  <w:style w:type="paragraph" w:customStyle="1" w:styleId="AllowPageBreak">
    <w:name w:val="AllowPageBreak"/>
    <w:rsid w:val="00BF32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BF328E"/>
    <w:rPr>
      <w:rFonts w:ascii="Times New Roman" w:eastAsia="Times New Roman" w:hAnsi="Times New Roman" w:cs="Times New Roman"/>
      <w:b/>
      <w:sz w:val="28"/>
      <w:szCs w:val="40"/>
      <w:lang w:eastAsia="en-US"/>
    </w:rPr>
  </w:style>
  <w:style w:type="character" w:customStyle="1" w:styleId="Heading3Char">
    <w:name w:val="Heading 3 Char"/>
    <w:link w:val="Heading3"/>
    <w:rsid w:val="00BF328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F328E"/>
    <w:rPr>
      <w:rFonts w:ascii="Times New Roman" w:eastAsia="Times New Roman" w:hAnsi="Times New Roman" w:cs="Times New Roman"/>
      <w:b/>
      <w:szCs w:val="20"/>
      <w:lang w:eastAsia="en-US"/>
    </w:rPr>
  </w:style>
  <w:style w:type="character" w:customStyle="1" w:styleId="Heading5Char">
    <w:name w:val="Heading 5 Char"/>
    <w:link w:val="Heading5"/>
    <w:rsid w:val="00BF328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F32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328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328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328E"/>
    <w:rPr>
      <w:rFonts w:ascii="Courier New" w:eastAsia="Times New Roman" w:hAnsi="Courier New" w:cs="Times New Roman"/>
      <w:i/>
      <w:szCs w:val="20"/>
      <w:lang w:val="en-US" w:eastAsia="en-US"/>
    </w:rPr>
  </w:style>
  <w:style w:type="paragraph" w:customStyle="1" w:styleId="HeadingBase">
    <w:name w:val="Heading Base"/>
    <w:rsid w:val="00BF32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328E"/>
    <w:pPr>
      <w:tabs>
        <w:tab w:val="right" w:leader="dot" w:pos="9072"/>
      </w:tabs>
      <w:ind w:left="567"/>
    </w:pPr>
    <w:rPr>
      <w:szCs w:val="22"/>
    </w:rPr>
  </w:style>
  <w:style w:type="paragraph" w:customStyle="1" w:styleId="TOCBase">
    <w:name w:val="TOC Base"/>
    <w:rsid w:val="00BF32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328E"/>
    <w:pPr>
      <w:tabs>
        <w:tab w:val="right" w:leader="dot" w:pos="9072"/>
      </w:tabs>
      <w:spacing w:before="40" w:after="40"/>
      <w:ind w:left="284"/>
    </w:pPr>
    <w:rPr>
      <w:rFonts w:ascii="Times New Roman" w:hAnsi="Times New Roman"/>
    </w:rPr>
  </w:style>
  <w:style w:type="paragraph" w:styleId="TOC1">
    <w:name w:val="toc 1"/>
    <w:basedOn w:val="TOCBase"/>
    <w:next w:val="Normal"/>
    <w:rsid w:val="00BF32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328E"/>
    <w:pPr>
      <w:spacing w:before="5040"/>
      <w:jc w:val="center"/>
    </w:pPr>
    <w:rPr>
      <w:sz w:val="48"/>
      <w:szCs w:val="72"/>
      <w:lang w:val="en-US"/>
    </w:rPr>
  </w:style>
  <w:style w:type="character" w:customStyle="1" w:styleId="TitleChar">
    <w:name w:val="Title Char"/>
    <w:link w:val="Title"/>
    <w:rsid w:val="00BF32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328E"/>
    <w:pPr>
      <w:tabs>
        <w:tab w:val="left" w:pos="3600"/>
        <w:tab w:val="left" w:pos="3958"/>
      </w:tabs>
    </w:pPr>
  </w:style>
  <w:style w:type="paragraph" w:styleId="List">
    <w:name w:val="List"/>
    <w:basedOn w:val="BodyText"/>
    <w:next w:val="BodyText"/>
    <w:rsid w:val="00BF328E"/>
    <w:pPr>
      <w:tabs>
        <w:tab w:val="left" w:pos="340"/>
      </w:tabs>
      <w:spacing w:before="60" w:after="60"/>
      <w:ind w:left="340" w:hanging="340"/>
    </w:pPr>
  </w:style>
  <w:style w:type="paragraph" w:customStyle="1" w:styleId="Note">
    <w:name w:val="Note"/>
    <w:basedOn w:val="BodyText"/>
    <w:rsid w:val="00BF32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328E"/>
    <w:pPr>
      <w:framePr w:wrap="auto" w:hAnchor="text" w:y="6049"/>
    </w:pPr>
    <w:rPr>
      <w:color w:val="000000"/>
      <w:sz w:val="40"/>
    </w:rPr>
  </w:style>
  <w:style w:type="paragraph" w:customStyle="1" w:styleId="TOCTitle">
    <w:name w:val="TOCTitle"/>
    <w:basedOn w:val="Heading1"/>
    <w:rsid w:val="00BF328E"/>
    <w:pPr>
      <w:spacing w:after="240"/>
      <w:jc w:val="center"/>
      <w:outlineLvl w:val="9"/>
    </w:pPr>
    <w:rPr>
      <w:caps/>
    </w:rPr>
  </w:style>
  <w:style w:type="paragraph" w:customStyle="1" w:styleId="Version">
    <w:name w:val="Version"/>
    <w:rsid w:val="00BF32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328E"/>
    <w:pPr>
      <w:keepNext w:val="0"/>
      <w:tabs>
        <w:tab w:val="right" w:pos="4176"/>
      </w:tabs>
      <w:ind w:left="198" w:hanging="198"/>
    </w:pPr>
    <w:rPr>
      <w:rFonts w:ascii="Garamond" w:hAnsi="Garamond"/>
    </w:rPr>
  </w:style>
  <w:style w:type="paragraph" w:styleId="IndexHeading">
    <w:name w:val="index heading"/>
    <w:basedOn w:val="Normal"/>
    <w:next w:val="Index1"/>
    <w:semiHidden/>
    <w:rsid w:val="00BF328E"/>
    <w:pPr>
      <w:spacing w:before="120" w:after="120"/>
    </w:pPr>
    <w:rPr>
      <w:rFonts w:ascii="Arial" w:hAnsi="Arial"/>
      <w:b/>
      <w:color w:val="918585"/>
      <w:sz w:val="24"/>
    </w:rPr>
  </w:style>
  <w:style w:type="paragraph" w:customStyle="1" w:styleId="Chapter">
    <w:name w:val="Chapter"/>
    <w:basedOn w:val="Normal"/>
    <w:rsid w:val="00BF328E"/>
    <w:pPr>
      <w:spacing w:before="240"/>
    </w:pPr>
    <w:rPr>
      <w:rFonts w:ascii="Times New Roman" w:hAnsi="Times New Roman"/>
      <w:smallCaps/>
      <w:spacing w:val="80"/>
      <w:sz w:val="28"/>
    </w:rPr>
  </w:style>
  <w:style w:type="paragraph" w:customStyle="1" w:styleId="InChapter">
    <w:name w:val="InChapter"/>
    <w:basedOn w:val="Heading3"/>
    <w:rsid w:val="00BF328E"/>
    <w:pPr>
      <w:spacing w:after="240"/>
      <w:outlineLvl w:val="9"/>
    </w:pPr>
    <w:rPr>
      <w:noProof/>
    </w:rPr>
  </w:style>
  <w:style w:type="paragraph" w:styleId="Index2">
    <w:name w:val="index 2"/>
    <w:basedOn w:val="Normal"/>
    <w:next w:val="Normal"/>
    <w:semiHidden/>
    <w:rsid w:val="00BF328E"/>
    <w:pPr>
      <w:tabs>
        <w:tab w:val="right" w:pos="4176"/>
      </w:tabs>
      <w:ind w:left="568" w:hanging="284"/>
    </w:pPr>
    <w:rPr>
      <w:rFonts w:ascii="Garamond" w:hAnsi="Garamond"/>
    </w:rPr>
  </w:style>
  <w:style w:type="paragraph" w:customStyle="1" w:styleId="Byline">
    <w:name w:val="Byline"/>
    <w:rsid w:val="00BF32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328E"/>
    <w:pPr>
      <w:tabs>
        <w:tab w:val="clear" w:pos="3600"/>
        <w:tab w:val="clear" w:pos="3958"/>
      </w:tabs>
      <w:jc w:val="right"/>
    </w:pPr>
  </w:style>
  <w:style w:type="character" w:styleId="Emphasis">
    <w:name w:val="Emphasis"/>
    <w:qFormat/>
    <w:rsid w:val="00BF328E"/>
    <w:rPr>
      <w:i/>
    </w:rPr>
  </w:style>
  <w:style w:type="paragraph" w:styleId="Caption">
    <w:name w:val="caption"/>
    <w:basedOn w:val="BodyText"/>
    <w:next w:val="Normal"/>
    <w:qFormat/>
    <w:rsid w:val="00BF328E"/>
    <w:pPr>
      <w:framePr w:w="2268" w:hSpace="181" w:vSpace="181" w:wrap="around" w:vAnchor="text" w:hAnchor="page" w:x="1135" w:y="285" w:anchorLock="1"/>
    </w:pPr>
    <w:rPr>
      <w:i/>
    </w:rPr>
  </w:style>
  <w:style w:type="paragraph" w:customStyle="1" w:styleId="MiniTOCTitle">
    <w:name w:val="MiniTOCTitle"/>
    <w:basedOn w:val="Heading4"/>
    <w:rsid w:val="00BF328E"/>
    <w:pPr>
      <w:spacing w:before="240"/>
      <w:outlineLvl w:val="9"/>
    </w:pPr>
    <w:rPr>
      <w:noProof/>
      <w:sz w:val="24"/>
    </w:rPr>
  </w:style>
  <w:style w:type="paragraph" w:customStyle="1" w:styleId="MiniTOCItem">
    <w:name w:val="MiniTOCItem"/>
    <w:basedOn w:val="ListBullet"/>
    <w:rsid w:val="00BF328E"/>
    <w:pPr>
      <w:numPr>
        <w:numId w:val="0"/>
      </w:numPr>
      <w:tabs>
        <w:tab w:val="right" w:leader="dot" w:pos="6521"/>
      </w:tabs>
      <w:spacing w:before="0" w:after="0"/>
    </w:pPr>
  </w:style>
  <w:style w:type="paragraph" w:customStyle="1" w:styleId="TOFTitle">
    <w:name w:val="TOFTitle"/>
    <w:basedOn w:val="TOCTitle"/>
    <w:rsid w:val="00BF328E"/>
  </w:style>
  <w:style w:type="paragraph" w:styleId="TableofFigures">
    <w:name w:val="table of figures"/>
    <w:basedOn w:val="Normal"/>
    <w:next w:val="Normal"/>
    <w:semiHidden/>
    <w:rsid w:val="00BF328E"/>
    <w:pPr>
      <w:tabs>
        <w:tab w:val="right" w:leader="dot" w:pos="9072"/>
      </w:tabs>
      <w:ind w:left="970" w:hanging="403"/>
    </w:pPr>
    <w:rPr>
      <w:rFonts w:ascii="Times New Roman" w:hAnsi="Times New Roman"/>
      <w:b/>
    </w:rPr>
  </w:style>
  <w:style w:type="paragraph" w:styleId="ListNumber">
    <w:name w:val="List Number"/>
    <w:basedOn w:val="List"/>
    <w:rsid w:val="00BF328E"/>
    <w:pPr>
      <w:numPr>
        <w:numId w:val="11"/>
      </w:numPr>
    </w:pPr>
  </w:style>
  <w:style w:type="character" w:customStyle="1" w:styleId="WingdingSymbols">
    <w:name w:val="Wingding Symbols"/>
    <w:rsid w:val="00BF328E"/>
    <w:rPr>
      <w:rFonts w:ascii="Wingdings" w:hAnsi="Wingdings"/>
    </w:rPr>
  </w:style>
  <w:style w:type="paragraph" w:customStyle="1" w:styleId="TableHeading">
    <w:name w:val="Table Heading"/>
    <w:basedOn w:val="HeadingBase"/>
    <w:rsid w:val="00BF328E"/>
    <w:pPr>
      <w:keepLines/>
      <w:pBdr>
        <w:bottom w:val="single" w:sz="6" w:space="1" w:color="918585"/>
      </w:pBdr>
      <w:spacing w:before="240"/>
    </w:pPr>
  </w:style>
  <w:style w:type="character" w:customStyle="1" w:styleId="HotSpot">
    <w:name w:val="HotSpot"/>
    <w:rsid w:val="00BF328E"/>
    <w:rPr>
      <w:color w:val="0033CC"/>
      <w:u w:val="none"/>
    </w:rPr>
  </w:style>
  <w:style w:type="paragraph" w:customStyle="1" w:styleId="BodyTextRight">
    <w:name w:val="Body Text Right"/>
    <w:basedOn w:val="BodyText"/>
    <w:rsid w:val="00BF328E"/>
    <w:pPr>
      <w:spacing w:before="0" w:after="0"/>
      <w:jc w:val="right"/>
    </w:pPr>
  </w:style>
  <w:style w:type="paragraph" w:styleId="Index3">
    <w:name w:val="index 3"/>
    <w:basedOn w:val="ListNumber2"/>
    <w:next w:val="Normal"/>
    <w:semiHidden/>
    <w:rsid w:val="00BF328E"/>
    <w:pPr>
      <w:numPr>
        <w:numId w:val="0"/>
      </w:numPr>
      <w:tabs>
        <w:tab w:val="right" w:leader="dot" w:pos="4176"/>
      </w:tabs>
    </w:pPr>
  </w:style>
  <w:style w:type="paragraph" w:styleId="ListNumber2">
    <w:name w:val="List Number 2"/>
    <w:basedOn w:val="List2"/>
    <w:rsid w:val="00BF328E"/>
    <w:pPr>
      <w:numPr>
        <w:numId w:val="10"/>
      </w:numPr>
      <w:tabs>
        <w:tab w:val="clear" w:pos="1060"/>
      </w:tabs>
    </w:pPr>
  </w:style>
  <w:style w:type="paragraph" w:customStyle="1" w:styleId="MarginNote">
    <w:name w:val="Margin Note"/>
    <w:basedOn w:val="BodyText"/>
    <w:rsid w:val="00BF32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32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F328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328E"/>
    <w:rPr>
      <w:sz w:val="32"/>
    </w:rPr>
  </w:style>
  <w:style w:type="paragraph" w:customStyle="1" w:styleId="HeadingProcedure">
    <w:name w:val="Heading Procedure"/>
    <w:basedOn w:val="HeadingBase"/>
    <w:next w:val="Normal"/>
    <w:rsid w:val="00BF328E"/>
    <w:pPr>
      <w:tabs>
        <w:tab w:val="left" w:pos="0"/>
      </w:tabs>
      <w:spacing w:before="120" w:after="60"/>
    </w:pPr>
    <w:rPr>
      <w:i/>
      <w:color w:val="918585"/>
      <w:sz w:val="22"/>
    </w:rPr>
  </w:style>
  <w:style w:type="paragraph" w:customStyle="1" w:styleId="TableBodyText">
    <w:name w:val="Table Body Text"/>
    <w:basedOn w:val="BodyText"/>
    <w:rsid w:val="00BF328E"/>
    <w:pPr>
      <w:spacing w:before="60" w:after="60"/>
    </w:pPr>
  </w:style>
  <w:style w:type="paragraph" w:styleId="ListContinue">
    <w:name w:val="List Continue"/>
    <w:basedOn w:val="List"/>
    <w:rsid w:val="00BF328E"/>
    <w:pPr>
      <w:ind w:firstLine="0"/>
    </w:pPr>
  </w:style>
  <w:style w:type="paragraph" w:customStyle="1" w:styleId="ListNote">
    <w:name w:val="List Note"/>
    <w:basedOn w:val="List"/>
    <w:rsid w:val="00BF328E"/>
    <w:pPr>
      <w:pBdr>
        <w:top w:val="single" w:sz="6" w:space="2" w:color="918585"/>
        <w:bottom w:val="single" w:sz="6" w:space="2" w:color="918585"/>
      </w:pBdr>
      <w:tabs>
        <w:tab w:val="left" w:pos="1021"/>
      </w:tabs>
      <w:ind w:firstLine="0"/>
    </w:pPr>
  </w:style>
  <w:style w:type="paragraph" w:customStyle="1" w:styleId="Warning">
    <w:name w:val="Warning"/>
    <w:basedOn w:val="BodyText"/>
    <w:rsid w:val="00BF328E"/>
    <w:pPr>
      <w:shd w:val="clear" w:color="auto" w:fill="D9D9D9"/>
      <w:tabs>
        <w:tab w:val="left" w:pos="992"/>
      </w:tabs>
      <w:ind w:left="119" w:right="119"/>
    </w:pPr>
    <w:rPr>
      <w:sz w:val="20"/>
    </w:rPr>
  </w:style>
  <w:style w:type="paragraph" w:customStyle="1" w:styleId="MarginIcons">
    <w:name w:val="Margin Icons"/>
    <w:basedOn w:val="BodyText"/>
    <w:rsid w:val="00BF328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F328E"/>
    <w:rPr>
      <w:rFonts w:ascii="Courier New" w:hAnsi="Courier New"/>
    </w:rPr>
  </w:style>
  <w:style w:type="paragraph" w:customStyle="1" w:styleId="NoteBullet">
    <w:name w:val="Note Bullet"/>
    <w:basedOn w:val="Note"/>
    <w:rsid w:val="00BF328E"/>
    <w:pPr>
      <w:tabs>
        <w:tab w:val="clear" w:pos="680"/>
      </w:tabs>
      <w:spacing w:before="60" w:after="60"/>
    </w:pPr>
  </w:style>
  <w:style w:type="paragraph" w:customStyle="1" w:styleId="SubHeading2">
    <w:name w:val="SubHeading2"/>
    <w:basedOn w:val="HeadingBase"/>
    <w:rsid w:val="00BF328E"/>
    <w:pPr>
      <w:spacing w:before="240" w:after="60"/>
    </w:pPr>
    <w:rPr>
      <w:sz w:val="20"/>
    </w:rPr>
  </w:style>
  <w:style w:type="paragraph" w:customStyle="1" w:styleId="SubHeading1">
    <w:name w:val="SubHeading1"/>
    <w:basedOn w:val="HeadingBase"/>
    <w:rsid w:val="00BF328E"/>
    <w:pPr>
      <w:spacing w:before="240" w:after="60"/>
    </w:pPr>
    <w:rPr>
      <w:color w:val="918585"/>
      <w:sz w:val="22"/>
    </w:rPr>
  </w:style>
  <w:style w:type="paragraph" w:customStyle="1" w:styleId="SideHeading">
    <w:name w:val="Side Heading"/>
    <w:basedOn w:val="HeadingBase"/>
    <w:rsid w:val="00BF32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328E"/>
    <w:pPr>
      <w:numPr>
        <w:numId w:val="12"/>
      </w:numPr>
    </w:pPr>
  </w:style>
  <w:style w:type="paragraph" w:styleId="PlainText">
    <w:name w:val="Plain Text"/>
    <w:basedOn w:val="Normal"/>
    <w:link w:val="PlainTextChar"/>
    <w:rsid w:val="00BF328E"/>
    <w:rPr>
      <w:sz w:val="20"/>
    </w:rPr>
  </w:style>
  <w:style w:type="character" w:customStyle="1" w:styleId="PlainTextChar">
    <w:name w:val="Plain Text Char"/>
    <w:basedOn w:val="DefaultParagraphFont"/>
    <w:link w:val="PlainText"/>
    <w:rsid w:val="00BF328E"/>
    <w:rPr>
      <w:rFonts w:ascii="Courier New" w:eastAsia="Times New Roman" w:hAnsi="Courier New" w:cs="Times New Roman"/>
      <w:sz w:val="20"/>
      <w:szCs w:val="20"/>
      <w:lang w:val="en-US" w:eastAsia="en-US"/>
    </w:rPr>
  </w:style>
  <w:style w:type="character" w:customStyle="1" w:styleId="MenuOption">
    <w:name w:val="Menu Option"/>
    <w:rsid w:val="00BF328E"/>
    <w:rPr>
      <w:b/>
      <w:smallCaps/>
    </w:rPr>
  </w:style>
  <w:style w:type="paragraph" w:customStyle="1" w:styleId="TableListNumber">
    <w:name w:val="Table List Number"/>
    <w:basedOn w:val="ListNumber"/>
    <w:rsid w:val="00BF328E"/>
    <w:pPr>
      <w:numPr>
        <w:numId w:val="0"/>
      </w:numPr>
    </w:pPr>
  </w:style>
  <w:style w:type="paragraph" w:styleId="TOC4">
    <w:name w:val="toc 4"/>
    <w:basedOn w:val="TOCBase"/>
    <w:next w:val="Normal"/>
    <w:semiHidden/>
    <w:rsid w:val="00BF328E"/>
    <w:pPr>
      <w:tabs>
        <w:tab w:val="right" w:leader="dot" w:pos="9071"/>
      </w:tabs>
      <w:ind w:left="1701"/>
    </w:pPr>
  </w:style>
  <w:style w:type="paragraph" w:customStyle="1" w:styleId="ListAlpha">
    <w:name w:val="List Alpha"/>
    <w:basedOn w:val="List"/>
    <w:rsid w:val="00BF328E"/>
    <w:pPr>
      <w:numPr>
        <w:numId w:val="9"/>
      </w:numPr>
    </w:pPr>
  </w:style>
  <w:style w:type="paragraph" w:customStyle="1" w:styleId="ListAlpha2">
    <w:name w:val="List Alpha 2"/>
    <w:basedOn w:val="List2"/>
    <w:rsid w:val="00BF328E"/>
    <w:pPr>
      <w:numPr>
        <w:numId w:val="8"/>
      </w:numPr>
    </w:pPr>
  </w:style>
  <w:style w:type="paragraph" w:styleId="List2">
    <w:name w:val="List 2"/>
    <w:basedOn w:val="BodyText"/>
    <w:rsid w:val="00BF328E"/>
    <w:pPr>
      <w:tabs>
        <w:tab w:val="left" w:pos="680"/>
      </w:tabs>
      <w:spacing w:before="60" w:after="60"/>
      <w:ind w:left="680" w:hanging="340"/>
    </w:pPr>
  </w:style>
  <w:style w:type="paragraph" w:styleId="List3">
    <w:name w:val="List 3"/>
    <w:basedOn w:val="BodyText"/>
    <w:rsid w:val="00BF328E"/>
    <w:pPr>
      <w:tabs>
        <w:tab w:val="left" w:pos="1021"/>
      </w:tabs>
      <w:spacing w:before="60" w:after="60"/>
      <w:ind w:left="1020" w:hanging="340"/>
    </w:pPr>
  </w:style>
  <w:style w:type="paragraph" w:styleId="List4">
    <w:name w:val="List 4"/>
    <w:basedOn w:val="BodyText"/>
    <w:rsid w:val="00BF328E"/>
    <w:pPr>
      <w:tabs>
        <w:tab w:val="left" w:pos="1361"/>
      </w:tabs>
      <w:spacing w:before="60" w:after="60"/>
      <w:ind w:left="1361" w:hanging="340"/>
    </w:pPr>
  </w:style>
  <w:style w:type="paragraph" w:styleId="List5">
    <w:name w:val="List 5"/>
    <w:basedOn w:val="BodyText"/>
    <w:rsid w:val="00BF328E"/>
    <w:pPr>
      <w:tabs>
        <w:tab w:val="left" w:pos="1701"/>
      </w:tabs>
      <w:spacing w:before="60" w:after="60"/>
      <w:ind w:left="1701" w:hanging="340"/>
    </w:pPr>
  </w:style>
  <w:style w:type="paragraph" w:styleId="ListBullet3">
    <w:name w:val="List Bullet 3"/>
    <w:basedOn w:val="List3"/>
    <w:rsid w:val="00BF328E"/>
    <w:pPr>
      <w:numPr>
        <w:numId w:val="15"/>
      </w:numPr>
      <w:tabs>
        <w:tab w:val="clear" w:pos="1021"/>
      </w:tabs>
      <w:ind w:left="1037" w:hanging="357"/>
    </w:pPr>
  </w:style>
  <w:style w:type="paragraph" w:styleId="ListBullet4">
    <w:name w:val="List Bullet 4"/>
    <w:basedOn w:val="List4"/>
    <w:rsid w:val="00BF328E"/>
    <w:pPr>
      <w:numPr>
        <w:numId w:val="3"/>
      </w:numPr>
    </w:pPr>
  </w:style>
  <w:style w:type="paragraph" w:styleId="ListBullet5">
    <w:name w:val="List Bullet 5"/>
    <w:basedOn w:val="List5"/>
    <w:rsid w:val="00BF328E"/>
    <w:pPr>
      <w:numPr>
        <w:numId w:val="4"/>
      </w:numPr>
    </w:pPr>
  </w:style>
  <w:style w:type="paragraph" w:styleId="ListContinue2">
    <w:name w:val="List Continue 2"/>
    <w:basedOn w:val="List2"/>
    <w:rsid w:val="00BF328E"/>
    <w:pPr>
      <w:ind w:firstLine="0"/>
    </w:pPr>
  </w:style>
  <w:style w:type="paragraph" w:styleId="ListContinue3">
    <w:name w:val="List Continue 3"/>
    <w:basedOn w:val="List3"/>
    <w:rsid w:val="00BF328E"/>
    <w:pPr>
      <w:ind w:left="1021" w:firstLine="0"/>
    </w:pPr>
  </w:style>
  <w:style w:type="paragraph" w:styleId="ListContinue4">
    <w:name w:val="List Continue 4"/>
    <w:basedOn w:val="List4"/>
    <w:rsid w:val="00BF328E"/>
    <w:pPr>
      <w:ind w:firstLine="0"/>
    </w:pPr>
  </w:style>
  <w:style w:type="paragraph" w:styleId="ListContinue5">
    <w:name w:val="List Continue 5"/>
    <w:basedOn w:val="List5"/>
    <w:rsid w:val="00BF328E"/>
    <w:pPr>
      <w:ind w:firstLine="0"/>
    </w:pPr>
  </w:style>
  <w:style w:type="paragraph" w:styleId="ListNumber3">
    <w:name w:val="List Number 3"/>
    <w:basedOn w:val="List3"/>
    <w:rsid w:val="00BF328E"/>
    <w:pPr>
      <w:numPr>
        <w:numId w:val="5"/>
      </w:numPr>
    </w:pPr>
  </w:style>
  <w:style w:type="paragraph" w:styleId="ListNumber4">
    <w:name w:val="List Number 4"/>
    <w:basedOn w:val="List4"/>
    <w:rsid w:val="00BF328E"/>
    <w:pPr>
      <w:numPr>
        <w:numId w:val="6"/>
      </w:numPr>
    </w:pPr>
  </w:style>
  <w:style w:type="paragraph" w:styleId="ListNumber5">
    <w:name w:val="List Number 5"/>
    <w:basedOn w:val="List5"/>
    <w:rsid w:val="00BF328E"/>
    <w:pPr>
      <w:numPr>
        <w:numId w:val="7"/>
      </w:numPr>
    </w:pPr>
  </w:style>
  <w:style w:type="paragraph" w:styleId="BlockText">
    <w:name w:val="Block Text"/>
    <w:basedOn w:val="Normal"/>
    <w:rsid w:val="00BF328E"/>
    <w:pPr>
      <w:spacing w:after="120"/>
      <w:ind w:left="1440" w:right="1440"/>
    </w:pPr>
  </w:style>
  <w:style w:type="character" w:customStyle="1" w:styleId="Subscript">
    <w:name w:val="Subscript"/>
    <w:rsid w:val="00BF328E"/>
    <w:rPr>
      <w:sz w:val="16"/>
      <w:vertAlign w:val="subscript"/>
    </w:rPr>
  </w:style>
  <w:style w:type="character" w:customStyle="1" w:styleId="Superscript">
    <w:name w:val="Superscript"/>
    <w:rsid w:val="00BF328E"/>
    <w:rPr>
      <w:sz w:val="16"/>
      <w:vertAlign w:val="superscript"/>
    </w:rPr>
  </w:style>
  <w:style w:type="character" w:customStyle="1" w:styleId="Symbols">
    <w:name w:val="Symbols"/>
    <w:rsid w:val="00BF328E"/>
    <w:rPr>
      <w:rFonts w:ascii="Symbol" w:hAnsi="Symbol"/>
    </w:rPr>
  </w:style>
  <w:style w:type="character" w:customStyle="1" w:styleId="MenuOptions">
    <w:name w:val="Menu Options"/>
    <w:rsid w:val="00BF328E"/>
    <w:rPr>
      <w:rFonts w:ascii="Arial Narrow" w:hAnsi="Arial Narrow"/>
      <w:smallCaps/>
    </w:rPr>
  </w:style>
  <w:style w:type="character" w:customStyle="1" w:styleId="Buttons">
    <w:name w:val="Buttons"/>
    <w:rsid w:val="00BF328E"/>
    <w:rPr>
      <w:b/>
    </w:rPr>
  </w:style>
  <w:style w:type="character" w:customStyle="1" w:styleId="Underlined">
    <w:name w:val="Underlined"/>
    <w:rsid w:val="00BF328E"/>
    <w:rPr>
      <w:u w:val="single"/>
    </w:rPr>
  </w:style>
  <w:style w:type="paragraph" w:customStyle="1" w:styleId="TableBodyTextRight">
    <w:name w:val="Table Body Text Right"/>
    <w:basedOn w:val="TableBodyText"/>
    <w:rsid w:val="00BF328E"/>
    <w:pPr>
      <w:widowControl w:val="0"/>
      <w:autoSpaceDE w:val="0"/>
      <w:autoSpaceDN w:val="0"/>
      <w:adjustRightInd w:val="0"/>
      <w:jc w:val="right"/>
    </w:pPr>
    <w:rPr>
      <w:rFonts w:cs="Arial"/>
      <w:szCs w:val="18"/>
    </w:rPr>
  </w:style>
  <w:style w:type="paragraph" w:customStyle="1" w:styleId="CopyrightText">
    <w:name w:val="Copyright Text"/>
    <w:basedOn w:val="BodyText"/>
    <w:rsid w:val="00BF328E"/>
    <w:rPr>
      <w:sz w:val="18"/>
    </w:rPr>
  </w:style>
  <w:style w:type="paragraph" w:customStyle="1" w:styleId="BodySmallRight">
    <w:name w:val="Body Small Right"/>
    <w:basedOn w:val="BodyTextRight"/>
    <w:rsid w:val="00BF328E"/>
    <w:rPr>
      <w:sz w:val="18"/>
      <w:szCs w:val="18"/>
    </w:rPr>
  </w:style>
  <w:style w:type="paragraph" w:customStyle="1" w:styleId="MarginEdition">
    <w:name w:val="Margin Edition"/>
    <w:basedOn w:val="MarginNote"/>
    <w:rsid w:val="00BF328E"/>
    <w:pPr>
      <w:spacing w:before="0" w:after="0"/>
    </w:pPr>
    <w:rPr>
      <w:rFonts w:ascii="Times New Roman" w:hAnsi="Times New Roman"/>
      <w:color w:val="999999"/>
    </w:rPr>
  </w:style>
  <w:style w:type="paragraph" w:customStyle="1" w:styleId="Spacer">
    <w:name w:val="Spacer"/>
    <w:basedOn w:val="Normal"/>
    <w:rsid w:val="00BF328E"/>
    <w:rPr>
      <w:sz w:val="2"/>
      <w:szCs w:val="2"/>
    </w:rPr>
  </w:style>
  <w:style w:type="character" w:customStyle="1" w:styleId="Small">
    <w:name w:val="Small"/>
    <w:rsid w:val="00BF328E"/>
    <w:rPr>
      <w:sz w:val="16"/>
    </w:rPr>
  </w:style>
  <w:style w:type="paragraph" w:customStyle="1" w:styleId="WideTable">
    <w:name w:val="Wide Table"/>
    <w:basedOn w:val="Normal"/>
    <w:rsid w:val="00BF328E"/>
    <w:pPr>
      <w:ind w:left="-1418"/>
    </w:pPr>
    <w:rPr>
      <w:sz w:val="2"/>
      <w:szCs w:val="2"/>
    </w:rPr>
  </w:style>
  <w:style w:type="character" w:styleId="PageNumber">
    <w:name w:val="page number"/>
    <w:rsid w:val="00BF328E"/>
  </w:style>
  <w:style w:type="paragraph" w:styleId="Quote">
    <w:name w:val="Quote"/>
    <w:basedOn w:val="Heading1"/>
    <w:link w:val="QuoteChar"/>
    <w:qFormat/>
    <w:rsid w:val="00BF328E"/>
    <w:rPr>
      <w:b w:val="0"/>
      <w:sz w:val="72"/>
      <w:szCs w:val="72"/>
      <w:lang w:val="en-NZ"/>
    </w:rPr>
  </w:style>
  <w:style w:type="character" w:customStyle="1" w:styleId="QuoteChar">
    <w:name w:val="Quote Char"/>
    <w:link w:val="Quote"/>
    <w:rsid w:val="00BF32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328E"/>
    <w:pPr>
      <w:pageBreakBefore/>
    </w:pPr>
  </w:style>
  <w:style w:type="paragraph" w:customStyle="1" w:styleId="Border">
    <w:name w:val="Border"/>
    <w:basedOn w:val="Normal"/>
    <w:qFormat/>
    <w:rsid w:val="00BF328E"/>
    <w:pPr>
      <w:pBdr>
        <w:top w:val="single" w:sz="18" w:space="1" w:color="auto"/>
      </w:pBdr>
    </w:pPr>
    <w:rPr>
      <w:rFonts w:ascii="Times New Roman" w:hAnsi="Times New Roman"/>
      <w:color w:val="FFFFFF"/>
      <w:sz w:val="2"/>
    </w:rPr>
  </w:style>
  <w:style w:type="character" w:styleId="IntenseEmphasis">
    <w:name w:val="Intense Emphasis"/>
    <w:uiPriority w:val="21"/>
    <w:qFormat/>
    <w:rsid w:val="00BF328E"/>
    <w:rPr>
      <w:b/>
      <w:bCs/>
      <w:i/>
      <w:iCs/>
      <w:color w:val="auto"/>
    </w:rPr>
  </w:style>
  <w:style w:type="paragraph" w:styleId="IntenseQuote">
    <w:name w:val="Intense Quote"/>
    <w:basedOn w:val="Normal"/>
    <w:next w:val="Normal"/>
    <w:link w:val="IntenseQuoteChar"/>
    <w:uiPriority w:val="30"/>
    <w:qFormat/>
    <w:rsid w:val="00BF328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F328E"/>
    <w:rPr>
      <w:rFonts w:ascii="Courier New" w:eastAsia="Times New Roman" w:hAnsi="Courier New" w:cs="Times New Roman"/>
      <w:b/>
      <w:bCs/>
      <w:i/>
      <w:iCs/>
      <w:szCs w:val="20"/>
      <w:lang w:val="en-US" w:eastAsia="en-US"/>
    </w:rPr>
  </w:style>
  <w:style w:type="character" w:styleId="SubtleReference">
    <w:name w:val="Subtle Reference"/>
    <w:uiPriority w:val="31"/>
    <w:qFormat/>
    <w:rsid w:val="00BF328E"/>
    <w:rPr>
      <w:smallCaps/>
      <w:color w:val="auto"/>
      <w:u w:val="single"/>
    </w:rPr>
  </w:style>
  <w:style w:type="character" w:styleId="IntenseReference">
    <w:name w:val="Intense Reference"/>
    <w:uiPriority w:val="32"/>
    <w:qFormat/>
    <w:rsid w:val="00BF328E"/>
    <w:rPr>
      <w:b/>
      <w:bCs/>
      <w:smallCaps/>
      <w:color w:val="auto"/>
      <w:spacing w:val="5"/>
      <w:u w:val="single"/>
    </w:rPr>
  </w:style>
  <w:style w:type="paragraph" w:customStyle="1" w:styleId="2ColumnHeading">
    <w:name w:val="2Column Heading"/>
    <w:basedOn w:val="BodyText"/>
    <w:qFormat/>
    <w:rsid w:val="00BF328E"/>
    <w:pPr>
      <w:spacing w:after="60"/>
      <w:ind w:left="-2268"/>
    </w:pPr>
    <w:rPr>
      <w:b/>
    </w:rPr>
  </w:style>
  <w:style w:type="paragraph" w:customStyle="1" w:styleId="Heading1TOC">
    <w:name w:val="Heading1 TOC"/>
    <w:basedOn w:val="Normal"/>
    <w:qFormat/>
    <w:rsid w:val="00BF328E"/>
    <w:pPr>
      <w:spacing w:before="240" w:after="120"/>
    </w:pPr>
    <w:rPr>
      <w:rFonts w:ascii="Times New Roman" w:hAnsi="Times New Roman"/>
      <w:b/>
      <w:sz w:val="32"/>
    </w:rPr>
  </w:style>
  <w:style w:type="paragraph" w:customStyle="1" w:styleId="Heading2TOC">
    <w:name w:val="Heading2 TOC"/>
    <w:basedOn w:val="Normal"/>
    <w:qFormat/>
    <w:rsid w:val="00BF328E"/>
    <w:pPr>
      <w:spacing w:before="240" w:after="60"/>
    </w:pPr>
    <w:rPr>
      <w:rFonts w:ascii="Times New Roman" w:hAnsi="Times New Roman"/>
      <w:b/>
      <w:sz w:val="28"/>
    </w:rPr>
  </w:style>
  <w:style w:type="character" w:customStyle="1" w:styleId="Underline">
    <w:name w:val="Underline"/>
    <w:qFormat/>
    <w:rsid w:val="00BF328E"/>
    <w:rPr>
      <w:u w:val="single"/>
    </w:rPr>
  </w:style>
  <w:style w:type="character" w:customStyle="1" w:styleId="BoldandItalics">
    <w:name w:val="Bold and Italics"/>
    <w:qFormat/>
    <w:rsid w:val="00BF328E"/>
    <w:rPr>
      <w:b/>
      <w:i/>
      <w:u w:val="none"/>
    </w:rPr>
  </w:style>
  <w:style w:type="paragraph" w:styleId="BalloonText">
    <w:name w:val="Balloon Text"/>
    <w:basedOn w:val="Normal"/>
    <w:link w:val="BalloonTextChar"/>
    <w:rsid w:val="00BF328E"/>
    <w:rPr>
      <w:rFonts w:ascii="Tahoma" w:hAnsi="Tahoma" w:cs="Tahoma"/>
      <w:sz w:val="16"/>
      <w:szCs w:val="16"/>
    </w:rPr>
  </w:style>
  <w:style w:type="character" w:customStyle="1" w:styleId="BalloonTextChar">
    <w:name w:val="Balloon Text Char"/>
    <w:link w:val="BalloonText"/>
    <w:rsid w:val="00BF328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328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F328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2455</Words>
  <Characters>14506</Characters>
  <Application>Microsoft Office Word</Application>
  <DocSecurity>0</DocSecurity>
  <Lines>700</Lines>
  <Paragraphs>275</Paragraphs>
  <ScaleCrop>false</ScaleCrop>
  <Company>Author-it Software Corporation Ltd.</Company>
  <LinksUpToDate>false</LinksUpToDate>
  <CharactersWithSpaces>16725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UEGNSG606A Monitor and control the transfer of LPG</dc:title>
  <dc:subject>Approved</dc:subject>
  <dc:creator>EE-Oz Training Standards</dc:creator>
  <cp:keywords>Release: 1</cp:keywords>
  <dc:description>Copyright © 1996-2007 Author-it Software Corporation Ltd., all rights reserved.</dc:description>
  <cp:lastModifiedBy>Andrew Campey</cp:lastModifiedBy>
  <cp:revision>3</cp:revision>
  <dcterms:created xsi:type="dcterms:W3CDTF">2012-05-26T22:10:00Z</dcterms:created>
  <dcterms:modified xsi:type="dcterms:W3CDTF">2012-05-26T22:10:00Z</dcterms:modified>
</cp:coreProperties>
</file>