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755A" w:rsidP="00A0755A">
      <w:pPr>
        <w:pStyle w:val="Title"/>
      </w:pPr>
      <w:r>
        <w:fldChar w:fldCharType="begin"/>
      </w:r>
      <w:r>
        <w:instrText xml:space="preserve"> TITLE   \* MERGEFORMAT </w:instrText>
      </w:r>
      <w:r>
        <w:fldChar w:fldCharType="separate"/>
      </w:r>
      <w:r>
        <w:t>UEGNSG603A Load, unload and exchanging gas cylinders</w:t>
      </w:r>
      <w:r>
        <w:fldChar w:fldCharType="end"/>
      </w:r>
    </w:p>
    <w:p w:rsidR="00A0755A" w:rsidP="00A0755A">
      <w:pPr>
        <w:pStyle w:val="Version"/>
        <w:sectPr w:rsidSect="006129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2979" w:rsidP="00612979">
      <w:pPr>
        <w:pStyle w:val="SuperHeading"/>
      </w:pPr>
      <w:r w:rsidRPr="00612979">
        <w:t>UEGNSG603A Load, unload and exchanging gas cylinders</w:t>
      </w:r>
    </w:p>
    <w:p w:rsidR="00000000" w:rsidRPr="00612979" w:rsidP="00612979">
      <w:pPr>
        <w:pStyle w:val="Heading1"/>
      </w:pPr>
      <w:bookmarkStart w:id="1" w:name="O_275136"/>
      <w:bookmarkEnd w:id="1"/>
      <w:r w:rsidRPr="00612979">
        <w:t>Modification History</w:t>
      </w:r>
    </w:p>
    <w:p w:rsidR="00000000" w:rsidRPr="00612979" w:rsidP="00612979">
      <w:pPr>
        <w:pStyle w:val="BodyText"/>
      </w:pPr>
      <w:r w:rsidRPr="00612979">
        <w:t>Not Applicable</w:t>
      </w:r>
    </w:p>
    <w:p w:rsidR="00000000" w:rsidRPr="00612979" w:rsidP="00612979">
      <w:pPr>
        <w:pStyle w:val="AllowPageBreak"/>
      </w:pPr>
    </w:p>
    <w:p w:rsidR="00000000" w:rsidRPr="00612979" w:rsidP="00612979">
      <w:pPr>
        <w:pStyle w:val="Heading1"/>
      </w:pPr>
      <w:bookmarkStart w:id="2" w:name="O_229637"/>
      <w:bookmarkEnd w:id="2"/>
      <w:r w:rsidRPr="00612979">
        <w:t>Unit Descriptor</w:t>
      </w:r>
    </w:p>
    <w:tbl>
      <w:tblPr>
        <w:tblW w:w="0" w:type="auto"/>
        <w:tblLayout w:type="fixed"/>
        <w:tblCellMar>
          <w:left w:w="62" w:type="dxa"/>
          <w:right w:w="62" w:type="dxa"/>
        </w:tblCellMar>
        <w:tblLook w:val="0000"/>
      </w:tblPr>
      <w:tblGrid>
        <w:gridCol w:w="2700"/>
        <w:gridCol w:w="5760"/>
      </w:tblGrid>
      <w:tr w:rsidTr="00A075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rPr>
                <w:rStyle w:val="SpecialBold"/>
              </w:rPr>
              <w:t>1</w:t>
            </w:r>
            <w:r w:rsidRPr="00612979">
              <w:t xml:space="preserve">) </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t>This Competency Standard Unit covers the loading, unloading and exchanging of approved gas cylinders as per legislative requirements as used for distribution. Included are persons; tools and equipment; materials used in loading and exchanging; for the disc</w:t>
            </w:r>
            <w:r w:rsidRPr="00612979">
              <w:t>harging of LPG by road tanker for the distribution. Persons involved in this standard are site manager; clerical persons; supervisors; other road tanker operators. Tools, of gas cylinders; appropriate delivery area at a terminal or customer location.</w:t>
            </w:r>
          </w:p>
        </w:tc>
      </w:tr>
    </w:tbl>
    <w:p w:rsidR="00A0755A" w:rsidP="00612979">
      <w:pPr>
        <w:pStyle w:val="BodyText"/>
      </w:pPr>
    </w:p>
    <w:p w:rsidR="00A0755A" w:rsidP="00612979">
      <w:pPr>
        <w:pStyle w:val="BodyText"/>
      </w:pPr>
    </w:p>
    <w:p w:rsidR="00000000" w:rsidRPr="00612979" w:rsidP="00612979">
      <w:pPr>
        <w:pStyle w:val="Heading1"/>
      </w:pPr>
      <w:bookmarkStart w:id="3" w:name="O_229640"/>
      <w:bookmarkEnd w:id="3"/>
      <w:r w:rsidRPr="00612979">
        <w:t>Application of the Unit</w:t>
      </w:r>
    </w:p>
    <w:tbl>
      <w:tblPr>
        <w:tblW w:w="0" w:type="auto"/>
        <w:tblLayout w:type="fixed"/>
        <w:tblCellMar>
          <w:left w:w="62" w:type="dxa"/>
          <w:right w:w="62" w:type="dxa"/>
        </w:tblCellMar>
        <w:tblLook w:val="0000"/>
      </w:tblPr>
      <w:tblGrid>
        <w:gridCol w:w="2700"/>
        <w:gridCol w:w="5760"/>
      </w:tblGrid>
      <w:tr w:rsidTr="00A075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rPr>
                <w:rStyle w:val="SpecialBold"/>
              </w:rPr>
              <w:t>3</w:t>
            </w:r>
            <w:r w:rsidRPr="00612979">
              <w:t>)</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t>This competency standard shall apply to work sites where the distribution of liquefied petroleum gas occurs.</w:t>
            </w:r>
          </w:p>
        </w:tc>
      </w:tr>
    </w:tbl>
    <w:p w:rsidR="00A0755A" w:rsidP="00612979">
      <w:pPr>
        <w:pStyle w:val="BodyText"/>
      </w:pPr>
    </w:p>
    <w:p w:rsidR="00A0755A" w:rsidP="00612979">
      <w:pPr>
        <w:pStyle w:val="BodyText"/>
      </w:pPr>
    </w:p>
    <w:p w:rsidR="00000000" w:rsidRPr="00612979" w:rsidP="00612979">
      <w:pPr>
        <w:pStyle w:val="Heading1"/>
      </w:pPr>
      <w:bookmarkStart w:id="4" w:name="O_229641"/>
      <w:bookmarkEnd w:id="4"/>
      <w:r w:rsidRPr="00612979">
        <w:t>Licensing/Regulatory Information</w:t>
      </w:r>
    </w:p>
    <w:tbl>
      <w:tblPr>
        <w:tblW w:w="0" w:type="auto"/>
        <w:tblLayout w:type="fixed"/>
        <w:tblCellMar>
          <w:left w:w="62" w:type="dxa"/>
          <w:right w:w="62" w:type="dxa"/>
        </w:tblCellMar>
        <w:tblLook w:val="0000"/>
      </w:tblPr>
      <w:tblGrid>
        <w:gridCol w:w="2700"/>
        <w:gridCol w:w="5760"/>
      </w:tblGrid>
      <w:tr w:rsidTr="00A075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rPr>
                <w:rStyle w:val="SpecialBold"/>
              </w:rPr>
              <w:t>3</w:t>
            </w:r>
            <w:r w:rsidRPr="00612979">
              <w:t>.</w:t>
            </w:r>
            <w:r w:rsidRPr="00612979">
              <w:rPr>
                <w:rStyle w:val="SpecialBold"/>
              </w:rPr>
              <w:t>1</w:t>
            </w:r>
            <w:r w:rsidRPr="00612979">
              <w:t>)</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t>The skills and knowledge described in this unit are not subject to licence regulation other than those directly related to Occupational Health and Safety, gas/electricity/water industry safety and compliance, industrial relations, environmental protection</w:t>
            </w:r>
            <w:r w:rsidRPr="00612979">
              <w:t xml:space="preserve">, telecommunications, anti discrimination and training. Commonwealth, State/Territory or Local Government legislation and regulations may exist that limits the age of </w:t>
            </w:r>
            <w:r w:rsidRPr="00612979">
              <w:t>operating certain equipment.</w:t>
            </w:r>
          </w:p>
        </w:tc>
      </w:tr>
    </w:tbl>
    <w:p w:rsidR="00A0755A" w:rsidP="00612979">
      <w:pPr>
        <w:pStyle w:val="BodyText"/>
      </w:pPr>
    </w:p>
    <w:p w:rsidR="00A0755A" w:rsidP="00612979">
      <w:pPr>
        <w:pStyle w:val="BodyText"/>
      </w:pPr>
    </w:p>
    <w:p w:rsidR="00000000" w:rsidRPr="00612979" w:rsidP="00612979">
      <w:pPr>
        <w:pStyle w:val="Heading1"/>
      </w:pPr>
      <w:bookmarkStart w:id="5" w:name="O_229638"/>
      <w:bookmarkEnd w:id="5"/>
      <w:r w:rsidRPr="00612979">
        <w:t>Pre-Requisites</w:t>
      </w:r>
    </w:p>
    <w:tbl>
      <w:tblPr>
        <w:tblW w:w="0" w:type="auto"/>
        <w:tblLayout w:type="fixed"/>
        <w:tblCellMar>
          <w:left w:w="62" w:type="dxa"/>
          <w:right w:w="62" w:type="dxa"/>
        </w:tblCellMar>
        <w:tblLook w:val="0000"/>
      </w:tblPr>
      <w:tblGrid>
        <w:gridCol w:w="2700"/>
        <w:gridCol w:w="1800"/>
        <w:gridCol w:w="3960"/>
      </w:tblGrid>
      <w:tr w:rsidTr="00A075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rPr>
                <w:rStyle w:val="SpecialBold"/>
              </w:rPr>
              <w:t>Prerequisite Unit</w:t>
            </w:r>
            <w:r w:rsidRPr="00612979">
              <w:t>(</w:t>
            </w:r>
            <w:r w:rsidRPr="00612979">
              <w:rPr>
                <w:rStyle w:val="SpecialBold"/>
              </w:rPr>
              <w:t>s</w:t>
            </w:r>
            <w:r w:rsidRPr="00612979">
              <w:t>)</w:t>
            </w:r>
          </w:p>
        </w:tc>
        <w:tc>
          <w:tcPr>
            <w:tcW w:w="5760" w:type="dxa"/>
            <w:gridSpan w:val="2"/>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rPr>
                <w:rStyle w:val="SpecialBold"/>
              </w:rPr>
              <w:t>2</w:t>
            </w:r>
            <w:r w:rsidRPr="00612979">
              <w:t xml:space="preserve">) </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rPr>
                <w:rStyle w:val="SpecialBold"/>
              </w:rPr>
              <w:t>2</w:t>
            </w:r>
            <w:r w:rsidRPr="00612979">
              <w:t>.</w:t>
            </w:r>
            <w:r w:rsidRPr="00612979">
              <w:rPr>
                <w:rStyle w:val="SpecialBold"/>
              </w:rPr>
              <w:t>1</w:t>
            </w:r>
            <w:r w:rsidRPr="00612979">
              <w:t xml:space="preserve">) </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Granting of competency in this unit shall be made only after competency in the following unit(s) has/have been confirmed:</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Nil</w:t>
            </w:r>
          </w:p>
        </w:tc>
        <w:tc>
          <w:tcPr>
            <w:tcW w:w="3960" w:type="dxa"/>
            <w:tcBorders>
              <w:top w:val="nil"/>
              <w:left w:val="nil"/>
              <w:bottom w:val="nil"/>
              <w:right w:val="nil"/>
            </w:tcBorders>
            <w:tcMar>
              <w:top w:w="0" w:type="dxa"/>
              <w:left w:w="62" w:type="dxa"/>
              <w:bottom w:w="0" w:type="dxa"/>
              <w:right w:w="62" w:type="dxa"/>
            </w:tcMar>
          </w:tcPr>
          <w:p w:rsidR="00000000" w:rsidRPr="00612979" w:rsidP="00612979">
            <w:pPr>
              <w:pStyle w:val="BodyText"/>
            </w:pPr>
          </w:p>
        </w:tc>
      </w:tr>
    </w:tbl>
    <w:p w:rsidR="00A0755A" w:rsidP="00612979">
      <w:pPr>
        <w:pStyle w:val="BodyText"/>
      </w:pPr>
    </w:p>
    <w:p w:rsidR="00A0755A" w:rsidP="00612979">
      <w:pPr>
        <w:pStyle w:val="BodyText"/>
      </w:pPr>
    </w:p>
    <w:p w:rsidR="00000000" w:rsidRPr="00612979" w:rsidP="00612979">
      <w:pPr>
        <w:pStyle w:val="Heading1"/>
      </w:pPr>
      <w:bookmarkStart w:id="6" w:name="O_285385"/>
      <w:bookmarkEnd w:id="6"/>
      <w:r w:rsidRPr="00612979">
        <w:t>Employability Skills Information</w:t>
      </w:r>
    </w:p>
    <w:p w:rsidR="00000000" w:rsidRPr="00612979" w:rsidP="00612979">
      <w:pPr>
        <w:pStyle w:val="BodyText"/>
      </w:pPr>
      <w:r w:rsidRPr="00612979">
        <w:t>Refer to the Evidence Guide</w:t>
      </w:r>
    </w:p>
    <w:p w:rsidR="00000000" w:rsidRPr="00612979" w:rsidP="00612979">
      <w:pPr>
        <w:pStyle w:val="AllowPageBreak"/>
      </w:pPr>
    </w:p>
    <w:p w:rsidR="00000000" w:rsidRPr="00612979" w:rsidP="00612979">
      <w:pPr>
        <w:pStyle w:val="Heading1"/>
      </w:pPr>
      <w:bookmarkStart w:id="7" w:name="O_293182"/>
      <w:bookmarkEnd w:id="7"/>
      <w:r w:rsidRPr="00612979">
        <w:t>Elements and Performance Criteria Pre-Content</w:t>
      </w:r>
    </w:p>
    <w:tbl>
      <w:tblPr>
        <w:tblW w:w="0" w:type="auto"/>
        <w:tblLayout w:type="fixed"/>
        <w:tblCellMar>
          <w:left w:w="62" w:type="dxa"/>
          <w:right w:w="62" w:type="dxa"/>
        </w:tblCellMar>
        <w:tblLook w:val="0000"/>
      </w:tblPr>
      <w:tblGrid>
        <w:gridCol w:w="2700"/>
        <w:gridCol w:w="5760"/>
      </w:tblGrid>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rPr>
                <w:rStyle w:val="SpecialBold"/>
              </w:rPr>
              <w:t>5</w:t>
            </w:r>
            <w:r w:rsidRPr="00612979">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t>Performance Criteria describe the required performance needed to demonstrate achievement of the element. Assessment of performance is to</w:t>
            </w:r>
            <w:r w:rsidRPr="00612979">
              <w:t xml:space="preserve"> be consistent with the Evidence Guide.</w:t>
            </w:r>
          </w:p>
        </w:tc>
      </w:tr>
    </w:tbl>
    <w:p w:rsidR="00000000" w:rsidRPr="00612979" w:rsidP="00612979">
      <w:pPr>
        <w:pStyle w:val="BodyText"/>
      </w:pPr>
    </w:p>
    <w:p w:rsidR="00000000" w:rsidRPr="00612979" w:rsidP="00612979">
      <w:pPr>
        <w:pStyle w:val="AllowPageBreak"/>
      </w:pPr>
    </w:p>
    <w:p w:rsidR="00000000" w:rsidRPr="00612979" w:rsidP="00612979">
      <w:pPr>
        <w:pStyle w:val="Heading1"/>
      </w:pPr>
      <w:bookmarkStart w:id="8" w:name="O_239850"/>
      <w:bookmarkEnd w:id="8"/>
      <w:r w:rsidRPr="0061297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0755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rPr>
                <w:rStyle w:val="SpecialBold"/>
              </w:rPr>
              <w:t>PERFORMANCE CRITERIA</w:t>
            </w:r>
          </w:p>
        </w:tc>
      </w:tr>
      <w:tr w:rsidTr="00A075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1</w:t>
            </w:r>
          </w:p>
        </w:tc>
        <w:tc>
          <w:tcPr>
            <w:tcW w:w="2296" w:type="dxa"/>
            <w:vMerge w:val="restart"/>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Prepare worksite for loading, unloading and exchanging of gas cylinders</w:t>
            </w:r>
          </w:p>
        </w:tc>
        <w:tc>
          <w:tcPr>
            <w:tcW w:w="90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1.1</w:t>
            </w:r>
          </w:p>
        </w:tc>
        <w:tc>
          <w:tcPr>
            <w:tcW w:w="48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Work instructions are received and confirmed with appropriate persons</w:t>
            </w:r>
          </w:p>
        </w:tc>
      </w:tr>
      <w:tr w:rsidTr="00A075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1.2</w:t>
            </w:r>
          </w:p>
        </w:tc>
        <w:tc>
          <w:tcPr>
            <w:tcW w:w="48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 xml:space="preserve">Relevant requirements and established procedures to be followed for the work to be performed are discussed with all persons to establish and confirm the work schedule </w:t>
            </w:r>
          </w:p>
        </w:tc>
      </w:tr>
      <w:tr w:rsidTr="00A075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1.3</w:t>
            </w:r>
          </w:p>
        </w:tc>
        <w:tc>
          <w:tcPr>
            <w:tcW w:w="48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OHS, environmental and sustainable energy policies and procedures to be followed for the work to be performed are received and confirmed</w:t>
            </w:r>
          </w:p>
        </w:tc>
      </w:tr>
      <w:tr w:rsidTr="00A075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1.4</w:t>
            </w:r>
          </w:p>
        </w:tc>
        <w:tc>
          <w:tcPr>
            <w:tcW w:w="48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Suggestions to assist with the loading, unloading and exchanging of gas cylinders are made to others involved in</w:t>
            </w:r>
            <w:r w:rsidRPr="00612979">
              <w:t xml:space="preserve"> the work</w:t>
            </w:r>
          </w:p>
        </w:tc>
      </w:tr>
      <w:tr w:rsidTr="00A075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1.5</w:t>
            </w:r>
          </w:p>
        </w:tc>
        <w:tc>
          <w:tcPr>
            <w:tcW w:w="48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Hazards are identified, OHS risks assessed and control measures are prioritised, implemented and monitored including emergency exits kept clear according to established procedures</w:t>
            </w:r>
          </w:p>
        </w:tc>
      </w:tr>
      <w:tr w:rsidTr="00A075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1.6</w:t>
            </w:r>
          </w:p>
        </w:tc>
        <w:tc>
          <w:tcPr>
            <w:tcW w:w="48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Scope of responsibility under the relevant work permit are received and confirmed according to requirements and established procedures with relevant persons where appropriate</w:t>
            </w:r>
          </w:p>
        </w:tc>
      </w:tr>
      <w:tr w:rsidTr="00A075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1.7</w:t>
            </w:r>
          </w:p>
        </w:tc>
        <w:tc>
          <w:tcPr>
            <w:tcW w:w="48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Resources including equipment, tools and personal protective equipment req</w:t>
            </w:r>
            <w:r w:rsidRPr="00612979">
              <w:t>uired for the job are obtained and in working order according to established procedures</w:t>
            </w:r>
          </w:p>
        </w:tc>
      </w:tr>
      <w:tr w:rsidTr="00A075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1.8</w:t>
            </w:r>
          </w:p>
        </w:tc>
        <w:tc>
          <w:tcPr>
            <w:tcW w:w="48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Relevant responsibilities associated with First Aid and other related work safety procedures at the worksite are confirmed in accordance with requirements and es</w:t>
            </w:r>
            <w:r w:rsidRPr="00612979">
              <w:t>tablished procedures to ensure safety measures and followed in the instance of an incident.</w:t>
            </w:r>
          </w:p>
        </w:tc>
      </w:tr>
      <w:tr w:rsidTr="00A075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1.9</w:t>
            </w:r>
          </w:p>
        </w:tc>
        <w:tc>
          <w:tcPr>
            <w:tcW w:w="48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Client issues are referred to appropriate persons in accordance with industry standards</w:t>
            </w:r>
          </w:p>
        </w:tc>
      </w:tr>
      <w:tr w:rsidTr="00A075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1.10</w:t>
            </w:r>
          </w:p>
        </w:tc>
        <w:tc>
          <w:tcPr>
            <w:tcW w:w="48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Site is prepared according to given instructions and the work schedule for a quality outcome and to minimise risk and damage to property, commerce and individuals in accordance with established procedures</w:t>
            </w:r>
          </w:p>
        </w:tc>
      </w:tr>
      <w:tr w:rsidTr="00A075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2</w:t>
            </w:r>
          </w:p>
        </w:tc>
        <w:tc>
          <w:tcPr>
            <w:tcW w:w="2296"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Load/unload truck and exchanging cylinders</w:t>
            </w:r>
          </w:p>
        </w:tc>
        <w:tc>
          <w:tcPr>
            <w:tcW w:w="90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2.1</w:t>
            </w:r>
          </w:p>
        </w:tc>
        <w:tc>
          <w:tcPr>
            <w:tcW w:w="48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O</w:t>
            </w:r>
            <w:r w:rsidRPr="00612979">
              <w:t>HS policies and procedures and safe work practices are followed to eliminate or minimise incidents and hazards</w:t>
            </w:r>
          </w:p>
        </w:tc>
      </w:tr>
      <w:tr w:rsidTr="00A075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2.2</w:t>
            </w:r>
          </w:p>
        </w:tc>
        <w:tc>
          <w:tcPr>
            <w:tcW w:w="48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 xml:space="preserve">Lifting, climbing, working in confined spaces and aloft, and use of power tools, techniques and practices are safely followed in accordance with </w:t>
            </w:r>
            <w:r w:rsidRPr="00612979">
              <w:t>given instructions and according to requirements confirmed to eliminate the prospects of incidents</w:t>
            </w:r>
          </w:p>
        </w:tc>
      </w:tr>
      <w:tr w:rsidTr="00A075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2.3</w:t>
            </w:r>
          </w:p>
        </w:tc>
        <w:tc>
          <w:tcPr>
            <w:tcW w:w="48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Opera</w:t>
            </w:r>
            <w:r w:rsidRPr="00612979">
              <w:t>tional knowledge for correct positioning of the truck, loading, unloading and exchanging of gas cylinders is confirmed to ensure completion in an agreed timeframe and to quality standards with a minimum of waste according to requirements and established pr</w:t>
            </w:r>
            <w:r w:rsidRPr="00612979">
              <w:t>ocedures</w:t>
            </w:r>
          </w:p>
        </w:tc>
      </w:tr>
      <w:tr w:rsidTr="00A075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2.4</w:t>
            </w:r>
          </w:p>
        </w:tc>
        <w:tc>
          <w:tcPr>
            <w:tcW w:w="48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 xml:space="preserve">The loading, unloading and exchanging of gas cylinders is carried out in accordance with given instructions and established procedures </w:t>
            </w:r>
          </w:p>
        </w:tc>
      </w:tr>
      <w:tr w:rsidTr="00A075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2.5</w:t>
            </w:r>
          </w:p>
        </w:tc>
        <w:tc>
          <w:tcPr>
            <w:tcW w:w="48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Cylinders are loaded and unloaded and potential hazards and safety risks are reported to the imme</w:t>
            </w:r>
            <w:r w:rsidRPr="00612979">
              <w:t xml:space="preserve">diate authorised persons for directions according to established procedures </w:t>
            </w:r>
          </w:p>
        </w:tc>
      </w:tr>
      <w:tr w:rsidTr="00A075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2.6</w:t>
            </w:r>
          </w:p>
        </w:tc>
        <w:tc>
          <w:tcPr>
            <w:tcW w:w="48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Non-routine events are referred to the immediate authorised persons for directions according to established procedures</w:t>
            </w:r>
          </w:p>
        </w:tc>
      </w:tr>
      <w:tr w:rsidTr="00A075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2.7</w:t>
            </w:r>
          </w:p>
        </w:tc>
        <w:tc>
          <w:tcPr>
            <w:tcW w:w="48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Problems associated with the loading, unloading and exchanging of gas cylinders are dealt with using acquired known solutions and skills related to routine procedures to ensure work instructions and established procedures are met</w:t>
            </w:r>
          </w:p>
        </w:tc>
      </w:tr>
      <w:tr w:rsidTr="00A075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2.8</w:t>
            </w:r>
          </w:p>
        </w:tc>
        <w:tc>
          <w:tcPr>
            <w:tcW w:w="48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Ongoing checks of q</w:t>
            </w:r>
            <w:r w:rsidRPr="00612979">
              <w:t>uality of the work are undertaken in accordance with given instructions and established procedures</w:t>
            </w:r>
          </w:p>
        </w:tc>
      </w:tr>
      <w:tr w:rsidTr="00A075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3</w:t>
            </w:r>
          </w:p>
        </w:tc>
        <w:tc>
          <w:tcPr>
            <w:tcW w:w="2296"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Notify completion of work</w:t>
            </w:r>
          </w:p>
        </w:tc>
        <w:tc>
          <w:tcPr>
            <w:tcW w:w="90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3.1</w:t>
            </w:r>
          </w:p>
        </w:tc>
        <w:tc>
          <w:tcPr>
            <w:tcW w:w="48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Work undertaken is checked against work schedule and anomalies reported to authorised persons in accordance with established procedures</w:t>
            </w:r>
          </w:p>
        </w:tc>
      </w:tr>
      <w:tr w:rsidTr="00A075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3.2</w:t>
            </w:r>
          </w:p>
        </w:tc>
        <w:tc>
          <w:tcPr>
            <w:tcW w:w="48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Accidents and incidents are actioned and reported to authorised persons in accordance with established procedures</w:t>
            </w:r>
            <w:r w:rsidRPr="00612979">
              <w:t xml:space="preserve"> </w:t>
            </w:r>
          </w:p>
        </w:tc>
      </w:tr>
      <w:tr w:rsidTr="00A075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3.3</w:t>
            </w:r>
          </w:p>
        </w:tc>
        <w:tc>
          <w:tcPr>
            <w:tcW w:w="48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 xml:space="preserve">Work site is rehabilitated, cleaned up and made safe in accordance with given instructions and established procedures </w:t>
            </w:r>
          </w:p>
        </w:tc>
      </w:tr>
      <w:tr w:rsidTr="00A075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3.4</w:t>
            </w:r>
          </w:p>
        </w:tc>
        <w:tc>
          <w:tcPr>
            <w:tcW w:w="48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Tools, equipment and any surplus resources and materials are, where appropriate, cleaned, checked and returned to storage</w:t>
            </w:r>
            <w:r w:rsidRPr="00612979">
              <w:t xml:space="preserve"> in accordance with established procedures</w:t>
            </w:r>
          </w:p>
        </w:tc>
      </w:tr>
      <w:tr w:rsidTr="00A075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3.5</w:t>
            </w:r>
          </w:p>
        </w:tc>
        <w:tc>
          <w:tcPr>
            <w:tcW w:w="48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Appropriate persons are notified of work completion according to established procedures</w:t>
            </w:r>
          </w:p>
        </w:tc>
      </w:tr>
      <w:tr w:rsidTr="00A0755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3.6</w:t>
            </w:r>
          </w:p>
        </w:tc>
        <w:tc>
          <w:tcPr>
            <w:tcW w:w="4860" w:type="dxa"/>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t>Delivery documentation and work completion records, report forms and data sheets are completed accurately in accordance with given instructions and established procedures</w:t>
            </w:r>
          </w:p>
        </w:tc>
      </w:tr>
    </w:tbl>
    <w:p w:rsidR="00A0755A" w:rsidP="00612979">
      <w:pPr>
        <w:pStyle w:val="BodyText"/>
      </w:pPr>
    </w:p>
    <w:p w:rsidR="00A0755A" w:rsidP="00612979">
      <w:pPr>
        <w:pStyle w:val="BodyText"/>
      </w:pPr>
    </w:p>
    <w:p w:rsidR="00000000" w:rsidRPr="00612979" w:rsidP="00612979">
      <w:pPr>
        <w:pStyle w:val="Heading1"/>
      </w:pPr>
      <w:bookmarkStart w:id="9" w:name="O_263641"/>
      <w:bookmarkEnd w:id="9"/>
      <w:r w:rsidRPr="00612979">
        <w:t>Required Skills and Knowledge</w:t>
      </w:r>
    </w:p>
    <w:tbl>
      <w:tblPr>
        <w:tblW w:w="0" w:type="auto"/>
        <w:tblLayout w:type="fixed"/>
        <w:tblCellMar>
          <w:left w:w="62" w:type="dxa"/>
          <w:right w:w="62" w:type="dxa"/>
        </w:tblCellMar>
        <w:tblLook w:val="0000"/>
      </w:tblPr>
      <w:tblGrid>
        <w:gridCol w:w="2700"/>
        <w:gridCol w:w="1080"/>
        <w:gridCol w:w="4680"/>
      </w:tblGrid>
      <w:tr w:rsidTr="00A0755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rPr>
                <w:rStyle w:val="SpecialBold"/>
              </w:rPr>
              <w:t>REQUIRED SKILLS AND KNOWLEDGE</w:t>
            </w:r>
          </w:p>
        </w:tc>
      </w:tr>
      <w:tr w:rsidTr="00A0755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rPr>
                <w:rStyle w:val="SpecialBold"/>
              </w:rPr>
              <w:t>6</w:t>
            </w:r>
            <w:r w:rsidRPr="00612979">
              <w:t>) This describes the essential skills and knowledge and their level, required for this unit.</w:t>
            </w:r>
          </w:p>
        </w:tc>
      </w:tr>
      <w:tr w:rsidTr="00A0755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 xml:space="preserve">Evidence shall show that knowledge has been acquired of safe working practices for loading, unloading and exchanging gas cylinders. The extent of the essential </w:t>
            </w:r>
            <w:r w:rsidRPr="00612979">
              <w:t>knowledge and associated skills (EKAS) required is given in Volume 2 - Part 2.2 EKAS.  It forms an integral part of this unit.</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2.1.1</w:t>
            </w:r>
          </w:p>
        </w:tc>
        <w:tc>
          <w:tcPr>
            <w:tcW w:w="46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Working in the gas sector</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2.1.2</w:t>
            </w:r>
          </w:p>
        </w:tc>
        <w:tc>
          <w:tcPr>
            <w:tcW w:w="46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Identify roles of statutory authorities</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2.1.3</w:t>
            </w:r>
          </w:p>
        </w:tc>
        <w:tc>
          <w:tcPr>
            <w:tcW w:w="46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Identify employment roles and responsibilities</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2.1.4</w:t>
            </w:r>
          </w:p>
        </w:tc>
        <w:tc>
          <w:tcPr>
            <w:tcW w:w="46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Apply relevant OHS regulations, policies and procedures</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2.1.5</w:t>
            </w:r>
          </w:p>
        </w:tc>
        <w:tc>
          <w:tcPr>
            <w:tcW w:w="46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Maintain safe, clean and healthy workplace</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2.1.6</w:t>
            </w:r>
          </w:p>
        </w:tc>
        <w:tc>
          <w:tcPr>
            <w:tcW w:w="46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Work safely with hazardous materials and equipment</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2.1.7</w:t>
            </w:r>
          </w:p>
        </w:tc>
        <w:tc>
          <w:tcPr>
            <w:tcW w:w="46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Apply safe manual handling techniques in the workplace</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2.1.8</w:t>
            </w:r>
          </w:p>
        </w:tc>
        <w:tc>
          <w:tcPr>
            <w:tcW w:w="46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Control traffic at the work site</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2.1.9</w:t>
            </w:r>
          </w:p>
        </w:tc>
        <w:tc>
          <w:tcPr>
            <w:tcW w:w="46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Respond to emergency and accident situations</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2.1.10</w:t>
            </w:r>
          </w:p>
        </w:tc>
        <w:tc>
          <w:tcPr>
            <w:tcW w:w="46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Apply relevant environmental legislation, regulations and codes of practice</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2.1.11</w:t>
            </w:r>
          </w:p>
        </w:tc>
        <w:tc>
          <w:tcPr>
            <w:tcW w:w="46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Prote</w:t>
            </w:r>
            <w:r w:rsidRPr="00612979">
              <w:t>ct and maintain the environment</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2.1.12</w:t>
            </w:r>
          </w:p>
        </w:tc>
        <w:tc>
          <w:tcPr>
            <w:tcW w:w="46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Communicate in the workplace</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2.1.13</w:t>
            </w:r>
          </w:p>
        </w:tc>
        <w:tc>
          <w:tcPr>
            <w:tcW w:w="46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Communicate effectively in a team</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2.1.14</w:t>
            </w:r>
          </w:p>
        </w:tc>
        <w:tc>
          <w:tcPr>
            <w:tcW w:w="46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Read and interpret workplace documents</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2.1.15</w:t>
            </w:r>
          </w:p>
        </w:tc>
        <w:tc>
          <w:tcPr>
            <w:tcW w:w="46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Complete routine workplace forms, memos and reports</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2.1.16</w:t>
            </w:r>
          </w:p>
        </w:tc>
        <w:tc>
          <w:tcPr>
            <w:tcW w:w="46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Identi</w:t>
            </w:r>
            <w:r w:rsidRPr="00612979">
              <w:t>fy requirements of work activity</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2.1.17</w:t>
            </w:r>
          </w:p>
        </w:tc>
        <w:tc>
          <w:tcPr>
            <w:tcW w:w="46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Apply basic planning skills</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2.1.18</w:t>
            </w:r>
          </w:p>
        </w:tc>
        <w:tc>
          <w:tcPr>
            <w:tcW w:w="46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Conduct tasks to complete work activity</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2.1.19</w:t>
            </w:r>
          </w:p>
        </w:tc>
        <w:tc>
          <w:tcPr>
            <w:tcW w:w="46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Review work activity</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2.1.20</w:t>
            </w:r>
          </w:p>
        </w:tc>
        <w:tc>
          <w:tcPr>
            <w:tcW w:w="46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Customer relations</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2.1.21</w:t>
            </w:r>
          </w:p>
        </w:tc>
        <w:tc>
          <w:tcPr>
            <w:tcW w:w="46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Problem solving</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2.1.22</w:t>
            </w:r>
          </w:p>
        </w:tc>
        <w:tc>
          <w:tcPr>
            <w:tcW w:w="46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Confined spaces</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2.1.23</w:t>
            </w:r>
          </w:p>
        </w:tc>
        <w:tc>
          <w:tcPr>
            <w:tcW w:w="46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Work site environmental compliance</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2.1.24</w:t>
            </w:r>
          </w:p>
        </w:tc>
        <w:tc>
          <w:tcPr>
            <w:tcW w:w="46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Work site environmental impact</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2.6.1</w:t>
            </w:r>
          </w:p>
        </w:tc>
        <w:tc>
          <w:tcPr>
            <w:tcW w:w="46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Occupational Health and Safety for working with LPG</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2.6.3</w:t>
            </w:r>
          </w:p>
        </w:tc>
        <w:tc>
          <w:tcPr>
            <w:tcW w:w="46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Operate equipment within its limitations</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G 2.6.5</w:t>
            </w:r>
          </w:p>
        </w:tc>
        <w:tc>
          <w:tcPr>
            <w:tcW w:w="4680" w:type="dxa"/>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t>Communicating in an LPG environment</w:t>
            </w:r>
          </w:p>
        </w:tc>
      </w:tr>
    </w:tbl>
    <w:p w:rsidR="00A0755A" w:rsidP="00612979">
      <w:pPr>
        <w:pStyle w:val="BodyText"/>
      </w:pPr>
    </w:p>
    <w:p w:rsidR="00A0755A" w:rsidP="00612979">
      <w:pPr>
        <w:pStyle w:val="BodyText"/>
      </w:pPr>
    </w:p>
    <w:p w:rsidR="00000000" w:rsidRPr="00612979" w:rsidP="00612979">
      <w:pPr>
        <w:pStyle w:val="Heading1"/>
      </w:pPr>
      <w:bookmarkStart w:id="10" w:name="O_247833"/>
      <w:bookmarkEnd w:id="10"/>
      <w:r w:rsidRPr="00612979">
        <w:t>Evidence Guide</w:t>
      </w:r>
    </w:p>
    <w:tbl>
      <w:tblPr>
        <w:tblW w:w="0" w:type="auto"/>
        <w:tblLayout w:type="fixed"/>
        <w:tblCellMar>
          <w:left w:w="62" w:type="dxa"/>
          <w:right w:w="62" w:type="dxa"/>
        </w:tblCellMar>
        <w:tblLook w:val="0000"/>
      </w:tblPr>
      <w:tblGrid>
        <w:gridCol w:w="2160"/>
        <w:gridCol w:w="360"/>
        <w:gridCol w:w="1080"/>
        <w:gridCol w:w="180"/>
        <w:gridCol w:w="1440"/>
        <w:gridCol w:w="1677"/>
        <w:gridCol w:w="1563"/>
      </w:tblGrid>
      <w:tr w:rsidTr="00A0755A">
        <w:tblPrEx>
          <w:tblW w:w="0" w:type="auto"/>
          <w:tblLayout w:type="fixed"/>
          <w:tblCellMar>
            <w:left w:w="62" w:type="dxa"/>
            <w:right w:w="62" w:type="dxa"/>
          </w:tblCellMar>
          <w:tblLook w:val="0000"/>
        </w:tblPrEx>
        <w:tc>
          <w:tcPr>
            <w:tcW w:w="8460" w:type="dxa"/>
            <w:gridSpan w:val="7"/>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rPr>
                <w:rStyle w:val="SpecialBold"/>
              </w:rPr>
              <w:t>EVIDENCE GUIDE</w:t>
            </w:r>
          </w:p>
        </w:tc>
      </w:tr>
      <w:tr w:rsidTr="00A0755A">
        <w:tblPrEx>
          <w:tblW w:w="0" w:type="auto"/>
          <w:tblLayout w:type="fixed"/>
          <w:tblCellMar>
            <w:left w:w="62" w:type="dxa"/>
            <w:right w:w="62" w:type="dxa"/>
          </w:tblCellMar>
          <w:tblLook w:val="0000"/>
        </w:tblPrEx>
        <w:tc>
          <w:tcPr>
            <w:tcW w:w="8460" w:type="dxa"/>
            <w:gridSpan w:val="7"/>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rPr>
                <w:rStyle w:val="SpecialBold"/>
              </w:rPr>
              <w:t>8</w:t>
            </w:r>
            <w:r w:rsidRPr="00612979">
              <w:t xml:space="preserve">) </w:t>
            </w:r>
          </w:p>
          <w:p w:rsidR="00000000" w:rsidP="00612979">
            <w:pPr>
              <w:pStyle w:val="BodyText"/>
              <w:rPr>
                <w:lang w:val="en-NZ"/>
              </w:rPr>
            </w:pPr>
            <w:r w:rsidRPr="00612979">
              <w:t>The Evidence Guide forms an integral part of this Competency Standard Unit and shall be used in conjunction with all components parts of this unit and performed in ac</w:t>
            </w:r>
            <w:r w:rsidRPr="00612979">
              <w:t>cordance with the Assessment Guidelines of this Training Package.</w:t>
            </w:r>
          </w:p>
        </w:tc>
      </w:tr>
      <w:tr w:rsidTr="00A075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rPr>
                <w:rStyle w:val="SpecialBold"/>
              </w:rPr>
              <w:t>8</w:t>
            </w:r>
            <w:r w:rsidRPr="00612979">
              <w:t>.</w:t>
            </w:r>
            <w:r w:rsidRPr="00612979">
              <w:rPr>
                <w:rStyle w:val="SpecialBold"/>
              </w:rPr>
              <w:t>1</w:t>
            </w:r>
            <w:r w:rsidRPr="00612979">
              <w:t xml:space="preserve">) </w:t>
            </w:r>
          </w:p>
          <w:p w:rsidR="00000000" w:rsidRPr="00612979" w:rsidP="00612979">
            <w:pPr>
              <w:pStyle w:val="BodyText"/>
            </w:pPr>
            <w:r w:rsidRPr="00612979">
              <w:t>Longitudinal competency development approaches to assessment, such as Profiling, require data to be reliably gathered in a form that can be consistently i</w:t>
            </w:r>
            <w:r w:rsidRPr="00612979">
              <w:t>nterpreted over time. This approach is best utilised in Apprenticeship programs and reduces assessment intervention. It is the Industry's preferred model for apprenticeships. However, where summative (or final) assessment is used it is to include the appli</w:t>
            </w:r>
            <w:r w:rsidRPr="00612979">
              <w:t>cation of the competency in the normal work environment or, at a minimum, the application of the competency in a realistically simulated work environment. It is recognised that, in some circumstances, assessment in part or full can occur outside the workpl</w:t>
            </w:r>
            <w:r w:rsidRPr="00612979">
              <w:t>ace. However, it must be in accord with Industry and Regulatory policy in this regard.</w:t>
            </w:r>
          </w:p>
          <w:p w:rsidR="00000000" w:rsidRPr="00612979" w:rsidP="00612979">
            <w:pPr>
              <w:pStyle w:val="BodyText"/>
            </w:pPr>
            <w:r w:rsidRPr="00612979">
              <w:t>Methods chosen for a particular assessment will be influenced by various factors. These include the extent of the assessment, the most effective locations for the assess</w:t>
            </w:r>
            <w:r w:rsidRPr="00612979">
              <w:t>ment activities to take place, access to physical resources, additional safety measures that may be required and the critical nature of the competencies being assessed.</w:t>
            </w:r>
          </w:p>
          <w:p w:rsidR="00000000" w:rsidRPr="00612979" w:rsidP="00612979">
            <w:pPr>
              <w:pStyle w:val="BodyText"/>
            </w:pPr>
            <w:r w:rsidRPr="00612979">
              <w:t>The critical safety nature of working with electricity, electrical equipment, gas or an</w:t>
            </w:r>
            <w:r w:rsidRPr="00612979">
              <w:t>y other hazardous substance/material carries risk in deeming a person competent. Hence, sources of evidence need to be 'rich' in nature so as to minimise error in judgment.</w:t>
            </w:r>
          </w:p>
          <w:p w:rsidR="00000000" w:rsidP="00612979">
            <w:pPr>
              <w:pStyle w:val="BodyText"/>
              <w:rPr>
                <w:lang w:val="en-NZ"/>
              </w:rPr>
            </w:pPr>
            <w:r w:rsidRPr="00612979">
              <w:t xml:space="preserve">Activities associated with normal every day work have a bearing on the decision as </w:t>
            </w:r>
            <w:r w:rsidRPr="00612979">
              <w:t>to how much and how detailed the data gathered will contribute to its 'richness'. Some skills are more critical to safety and operational requirements while the same skills may be more or less frequently practiced. These points are raised for the assessors</w:t>
            </w:r>
            <w:r w:rsidRPr="00612979">
              <w:t xml:space="preserve"> to consider when choosing an assessment method and developing assessment instruments. Sample assessment instruments are included for Assessors in the Assessment Guidelines of this Training Package.</w:t>
            </w:r>
          </w:p>
        </w:tc>
      </w:tr>
      <w:tr w:rsidTr="00A0755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rPr>
                <w:rStyle w:val="SpecialBold"/>
              </w:rPr>
              <w:t>8</w:t>
            </w:r>
            <w:r w:rsidRPr="00612979">
              <w:t>.</w:t>
            </w:r>
            <w:r w:rsidRPr="00612979">
              <w:rPr>
                <w:rStyle w:val="SpecialBold"/>
              </w:rPr>
              <w:t>2</w:t>
            </w:r>
            <w:r w:rsidRPr="00612979">
              <w:t xml:space="preserve">) </w:t>
            </w:r>
          </w:p>
          <w:p w:rsidR="00000000" w:rsidP="00612979">
            <w:pPr>
              <w:pStyle w:val="BodyText"/>
              <w:rPr>
                <w:lang w:val="en-NZ"/>
              </w:rPr>
            </w:pPr>
            <w:r w:rsidRPr="00612979">
              <w:t>Before the critical aspects of evidence are considered all prerequisites shall be met.</w:t>
            </w:r>
          </w:p>
        </w:tc>
      </w:tr>
      <w:tr w:rsidTr="00A0755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t>Evidence for competence in this unit shall be considered holistically. Each element and associated Performance Criteria shall be demonstrated on at least two occasions in accordance with the 'Assessment Guidelines   UEG06'. Evidence shall also comprise:</w:t>
            </w:r>
          </w:p>
          <w:p w:rsidR="00000000" w:rsidP="00612979">
            <w:pPr>
              <w:pStyle w:val="ListBullet"/>
              <w:rPr>
                <w:lang w:val="en-NZ"/>
              </w:rPr>
            </w:pPr>
            <w:r w:rsidRPr="00612979">
              <w:t>A</w:t>
            </w:r>
            <w:r w:rsidRPr="00612979">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A075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612979" w:rsidP="00612979">
            <w:pPr>
              <w:pStyle w:val="ListBullet2"/>
            </w:pPr>
            <w:r w:rsidRPr="00612979">
              <w:t>Implement Occupational Health and Safety workplace procedures and practices including the use of risk control measures as specified in the Performance Criteria and range</w:t>
            </w:r>
          </w:p>
          <w:p w:rsidR="00000000" w:rsidRPr="00612979" w:rsidP="00612979">
            <w:pPr>
              <w:pStyle w:val="ListBullet2"/>
            </w:pPr>
            <w:r w:rsidRPr="00612979">
              <w:t>Apply sustainable energy principles and practices as specified in the Performance Crit</w:t>
            </w:r>
            <w:r w:rsidRPr="00612979">
              <w:t>eria and range</w:t>
            </w:r>
          </w:p>
          <w:p w:rsidR="00000000" w:rsidRPr="00612979" w:rsidP="00612979">
            <w:pPr>
              <w:pStyle w:val="ListBullet2"/>
            </w:pPr>
            <w:r w:rsidRPr="00612979">
              <w:t>Demonstrate an understanding of the essential knowledge and associated skills as described in this unit to such an extent that the learner's performance outcome is reported in accordance with the preferred approach; namely a percentile grade</w:t>
            </w:r>
            <w:r w:rsidRPr="00612979">
              <w:t>d result, where required by the regulated environment</w:t>
            </w:r>
          </w:p>
          <w:p w:rsidR="00000000" w:rsidRPr="00612979" w:rsidP="00612979">
            <w:pPr>
              <w:pStyle w:val="ListBullet2"/>
            </w:pPr>
            <w:r w:rsidRPr="00612979">
              <w:t>Demonstrate an appropriate level of skills enabling employment</w:t>
            </w:r>
          </w:p>
          <w:p w:rsidR="00000000" w:rsidP="00612979">
            <w:pPr>
              <w:pStyle w:val="ListBullet2"/>
              <w:rPr>
                <w:lang w:val="en-NZ"/>
              </w:rPr>
            </w:pPr>
            <w:r w:rsidRPr="00612979">
              <w:t>Conduct work observing the relevant Anti discrimination legislation, regulations, polices and workplace procedures</w:t>
            </w:r>
          </w:p>
        </w:tc>
      </w:tr>
      <w:tr w:rsidTr="00A075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612979">
            <w:pPr>
              <w:pStyle w:val="ListBullet2"/>
              <w:rPr>
                <w:lang w:val="en-NZ"/>
              </w:rPr>
            </w:pPr>
            <w:r w:rsidRPr="00612979">
              <w:t>Demonstrate performance across a representative range of contexts from the prescribed items below.</w:t>
            </w:r>
          </w:p>
        </w:tc>
      </w:tr>
      <w:tr w:rsidTr="00A075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12979">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rPr>
                <w:rStyle w:val="SpecialBold"/>
              </w:rPr>
              <w:t>Range of tools</w:t>
            </w:r>
            <w:r w:rsidRPr="00612979">
              <w:t>/</w:t>
            </w:r>
            <w:r w:rsidRPr="00612979">
              <w:rPr>
                <w:rStyle w:val="SpecialBold"/>
              </w:rPr>
              <w:t>equipment</w:t>
            </w:r>
            <w:r w:rsidRPr="00612979">
              <w:t>/</w:t>
            </w:r>
            <w:r w:rsidRPr="00612979">
              <w:rPr>
                <w:rStyle w:val="SpecialBold"/>
              </w:rPr>
              <w:t>materials</w:t>
            </w:r>
            <w:r w:rsidRPr="00612979">
              <w:t>/</w:t>
            </w:r>
            <w:r w:rsidRPr="00612979">
              <w:rPr>
                <w:rStyle w:val="SpecialBold"/>
              </w:rPr>
              <w:t>procedures</w:t>
            </w:r>
            <w:r w:rsidRPr="00612979">
              <w:t>/</w:t>
            </w:r>
            <w:r w:rsidRPr="00612979">
              <w:rPr>
                <w:rStyle w:val="SpecialBold"/>
              </w:rPr>
              <w:t>workplaces</w:t>
            </w:r>
            <w:r w:rsidRPr="00612979">
              <w:t>/</w:t>
            </w:r>
            <w:r w:rsidRPr="00612979">
              <w:br/>
            </w:r>
            <w:r w:rsidRPr="00612979">
              <w:rPr>
                <w:rStyle w:val="SpecialBold"/>
              </w:rPr>
              <w:t>other variables</w:t>
            </w:r>
          </w:p>
        </w:tc>
      </w:tr>
      <w:tr w:rsidTr="00A075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12979">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979" w:rsidP="00612979">
            <w:pPr>
              <w:pStyle w:val="BodyText"/>
            </w:pPr>
            <w:r w:rsidRPr="00612979">
              <w:rPr>
                <w:rStyle w:val="SpecialBold"/>
              </w:rPr>
              <w:t>Group No</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979" w:rsidP="00612979">
            <w:pPr>
              <w:pStyle w:val="BodyText"/>
            </w:pPr>
            <w:r w:rsidRPr="00612979">
              <w:rPr>
                <w:rStyle w:val="SpecialBold"/>
              </w:rPr>
              <w:t>The minimum number of items on which skill is to be demonstrated</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rPr>
                <w:rStyle w:val="SpecialBold"/>
              </w:rPr>
              <w:t>Item List</w:t>
            </w:r>
          </w:p>
        </w:tc>
      </w:tr>
      <w:tr w:rsidTr="00A075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A</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979" w:rsidP="00612979">
            <w:pPr>
              <w:pStyle w:val="BodyText"/>
            </w:pPr>
            <w:r w:rsidRPr="00612979">
              <w:t>Cylinder trolley</w:t>
            </w:r>
          </w:p>
          <w:p w:rsidR="00000000" w:rsidRPr="00612979" w:rsidP="00612979">
            <w:pPr>
              <w:pStyle w:val="BodyText"/>
            </w:pPr>
            <w:r w:rsidRPr="00612979">
              <w:t xml:space="preserve">Hoses and fittings </w:t>
            </w:r>
          </w:p>
          <w:p w:rsidR="00000000" w:rsidRPr="00612979" w:rsidP="00612979">
            <w:pPr>
              <w:pStyle w:val="BodyText"/>
            </w:pPr>
            <w:r w:rsidRPr="00612979">
              <w:t>Tools and equipment</w:t>
            </w:r>
          </w:p>
          <w:p w:rsidR="00000000" w:rsidRPr="00612979" w:rsidP="00612979">
            <w:pPr>
              <w:pStyle w:val="BodyText"/>
            </w:pPr>
            <w:r w:rsidRPr="00612979">
              <w:t>Leak detection devices</w:t>
            </w:r>
          </w:p>
          <w:p w:rsidR="00000000" w:rsidRPr="00612979" w:rsidP="00612979">
            <w:pPr>
              <w:pStyle w:val="BodyText"/>
            </w:pPr>
            <w:r w:rsidRPr="00612979">
              <w:t>Truck tail gate loader</w:t>
            </w:r>
          </w:p>
          <w:p w:rsidR="00000000" w:rsidRPr="00612979" w:rsidP="00612979">
            <w:pPr>
              <w:pStyle w:val="BodyText"/>
            </w:pPr>
            <w:r w:rsidRPr="00612979">
              <w:t>Correct storage</w:t>
            </w:r>
          </w:p>
          <w:p w:rsidR="00000000" w:rsidP="00612979">
            <w:pPr>
              <w:pStyle w:val="BodyText"/>
              <w:rPr>
                <w:lang w:val="en-NZ"/>
              </w:rPr>
            </w:pPr>
            <w:r w:rsidRPr="00612979">
              <w:t>Tray gates and ropes</w:t>
            </w:r>
          </w:p>
        </w:tc>
      </w:tr>
      <w:tr w:rsidTr="00A075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B</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979" w:rsidP="00612979">
            <w:pPr>
              <w:pStyle w:val="BodyText"/>
            </w:pPr>
            <w:r w:rsidRPr="00612979">
              <w:t>OHS procedures followed</w:t>
            </w:r>
          </w:p>
          <w:p w:rsidR="00000000" w:rsidRPr="00612979" w:rsidP="00612979">
            <w:pPr>
              <w:pStyle w:val="BodyText"/>
            </w:pPr>
            <w:r w:rsidRPr="00612979">
              <w:t>Australian Dangerous Goods Code</w:t>
            </w:r>
          </w:p>
          <w:p w:rsidR="00000000" w:rsidRPr="00612979" w:rsidP="00612979">
            <w:pPr>
              <w:pStyle w:val="BodyText"/>
            </w:pPr>
            <w:r w:rsidRPr="00612979">
              <w:t>Emergency procedures and response action</w:t>
            </w:r>
          </w:p>
          <w:p w:rsidR="00000000" w:rsidRPr="00612979" w:rsidP="00612979">
            <w:pPr>
              <w:pStyle w:val="BodyText"/>
            </w:pPr>
            <w:r w:rsidRPr="00612979">
              <w:t>State regulations/statutes and permits</w:t>
            </w:r>
          </w:p>
          <w:p w:rsidR="00000000" w:rsidRPr="00612979" w:rsidP="00612979">
            <w:pPr>
              <w:pStyle w:val="BodyText"/>
            </w:pPr>
            <w:r w:rsidRPr="00612979">
              <w:t>Working knowledge of AS 2865</w:t>
            </w:r>
          </w:p>
          <w:p w:rsidR="00000000" w:rsidP="00612979">
            <w:pPr>
              <w:pStyle w:val="BodyText"/>
              <w:rPr>
                <w:lang w:val="en-NZ"/>
              </w:rPr>
            </w:pPr>
            <w:r w:rsidRPr="00612979">
              <w:t>Delivery area checked for ignition sources</w:t>
            </w:r>
          </w:p>
        </w:tc>
      </w:tr>
      <w:tr w:rsidTr="00A075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C</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979" w:rsidP="00612979">
            <w:pPr>
              <w:pStyle w:val="BodyText"/>
            </w:pPr>
            <w:r w:rsidRPr="00612979">
              <w:t>Maintain a safe and clean workplace</w:t>
            </w:r>
          </w:p>
          <w:p w:rsidR="00000000" w:rsidRPr="00612979" w:rsidP="00612979">
            <w:pPr>
              <w:pStyle w:val="BodyText"/>
            </w:pPr>
            <w:r w:rsidRPr="00612979">
              <w:t>W</w:t>
            </w:r>
            <w:r w:rsidRPr="00612979">
              <w:t xml:space="preserve">ork safely with hazardous materials and equipment </w:t>
            </w:r>
          </w:p>
          <w:p w:rsidR="00000000" w:rsidRPr="00612979" w:rsidP="00612979">
            <w:pPr>
              <w:pStyle w:val="BodyText"/>
            </w:pPr>
            <w:r w:rsidRPr="00612979">
              <w:t>Job safety analysis</w:t>
            </w:r>
          </w:p>
          <w:p w:rsidR="00000000" w:rsidRPr="00612979" w:rsidP="00612979">
            <w:pPr>
              <w:pStyle w:val="BodyText"/>
            </w:pPr>
            <w:r w:rsidRPr="00612979">
              <w:t>Apply safe manual handling techniques</w:t>
            </w:r>
          </w:p>
          <w:p w:rsidR="00000000" w:rsidRPr="00612979" w:rsidP="00612979">
            <w:pPr>
              <w:pStyle w:val="BodyText"/>
            </w:pPr>
            <w:r w:rsidRPr="00612979">
              <w:t>Respond to emergency situations</w:t>
            </w:r>
          </w:p>
          <w:p w:rsidR="00000000" w:rsidRPr="00612979" w:rsidP="00612979">
            <w:pPr>
              <w:pStyle w:val="BodyText"/>
            </w:pPr>
            <w:r w:rsidRPr="00612979">
              <w:t>Communicate effectively in the workplace</w:t>
            </w:r>
          </w:p>
          <w:p w:rsidR="00000000" w:rsidRPr="00612979" w:rsidP="00612979">
            <w:pPr>
              <w:pStyle w:val="BodyText"/>
            </w:pPr>
            <w:r w:rsidRPr="00612979">
              <w:t>Apply basic planning and job completion skills</w:t>
            </w:r>
          </w:p>
          <w:p w:rsidR="00000000" w:rsidP="00612979">
            <w:pPr>
              <w:pStyle w:val="BodyText"/>
              <w:rPr>
                <w:lang w:val="en-NZ"/>
              </w:rPr>
            </w:pPr>
            <w:r w:rsidRPr="00612979">
              <w:t>Operate equipment w</w:t>
            </w:r>
            <w:r w:rsidRPr="00612979">
              <w:t>ithin its limitations including basic technology</w:t>
            </w:r>
          </w:p>
        </w:tc>
      </w:tr>
      <w:tr w:rsidTr="00A075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D</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At least one occasion</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Deal with an unplanned event by drawing on essential knowledge and associated skills to provide appropriate solutions incorporated in the holistic assessment with the above liste</w:t>
            </w:r>
            <w:r w:rsidRPr="00612979">
              <w:t xml:space="preserve">d items </w:t>
            </w:r>
          </w:p>
        </w:tc>
      </w:tr>
      <w:tr w:rsidTr="00A075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rPr>
                <w:rStyle w:val="SpecialBold"/>
              </w:rPr>
              <w:t>8</w:t>
            </w:r>
            <w:r w:rsidRPr="00612979">
              <w:t>.</w:t>
            </w:r>
            <w:r w:rsidRPr="00612979">
              <w:rPr>
                <w:rStyle w:val="SpecialBold"/>
              </w:rPr>
              <w:t>3</w:t>
            </w:r>
            <w:r w:rsidRPr="00612979">
              <w:t xml:space="preserve">) </w:t>
            </w:r>
          </w:p>
          <w:p w:rsidR="00000000" w:rsidRPr="00612979" w:rsidP="00612979">
            <w:pPr>
              <w:pStyle w:val="BodyText"/>
            </w:pPr>
            <w:r w:rsidRPr="00612979">
              <w:t>This unit should be assessed as it relates to normal work practice using procedures, information and resources typical of a workplace. This should include:</w:t>
            </w:r>
          </w:p>
          <w:p w:rsidR="00000000" w:rsidRPr="00612979" w:rsidP="00612979">
            <w:pPr>
              <w:pStyle w:val="ListBullet"/>
            </w:pPr>
            <w:r w:rsidRPr="00612979">
              <w:t>OHS policy and work procedures and instructions.</w:t>
            </w:r>
          </w:p>
          <w:p w:rsidR="00000000" w:rsidRPr="00612979" w:rsidP="00612979">
            <w:pPr>
              <w:pStyle w:val="ListBullet"/>
            </w:pPr>
            <w:r w:rsidRPr="00612979">
              <w:t>Suitable work environment, facilities, equipment and materials to undertake actual work as prescribed by this Competency Standard Unit.</w:t>
            </w:r>
          </w:p>
          <w:p w:rsidR="00000000" w:rsidRPr="00612979" w:rsidP="00612979">
            <w:pPr>
              <w:pStyle w:val="ListBullet"/>
            </w:pPr>
            <w:r w:rsidRPr="00612979">
              <w:t>Appropriate environmental regulation and work practices.</w:t>
            </w:r>
          </w:p>
          <w:p w:rsidR="00000000" w:rsidRPr="00612979" w:rsidP="00612979">
            <w:pPr>
              <w:pStyle w:val="ListBullet"/>
            </w:pPr>
            <w:r w:rsidRPr="00612979">
              <w:t>Appropriate or</w:t>
            </w:r>
            <w:r w:rsidRPr="00612979">
              <w:t>ganisational requirements.</w:t>
            </w:r>
          </w:p>
          <w:p w:rsidR="00000000" w:rsidP="00612979">
            <w:pPr>
              <w:pStyle w:val="ListBullet"/>
              <w:rPr>
                <w:lang w:val="en-NZ"/>
              </w:rPr>
            </w:pPr>
            <w:r w:rsidRPr="00612979">
              <w:t>Appropriate work environment, equipment and tools.</w:t>
            </w:r>
          </w:p>
        </w:tc>
      </w:tr>
      <w:tr w:rsidTr="00A075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 xml:space="preserve">In addition to the resources listed above, in Context of and specific resources for assessment, evidence should show demonstrated competency </w:t>
            </w:r>
            <w:r w:rsidRPr="00612979">
              <w:t>in loading, unloading and exchanging gas cylinders.</w:t>
            </w:r>
          </w:p>
        </w:tc>
      </w:tr>
      <w:tr w:rsidTr="00A075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Assessment of this competency must also be undertaken in either an actual workplace or under a simulated work environment. Assessment must also integrate the Key Competencies in section 6.7 of this</w:t>
            </w:r>
            <w:r w:rsidRPr="00612979">
              <w:t xml:space="preserve"> competency standard.</w:t>
            </w:r>
          </w:p>
        </w:tc>
      </w:tr>
      <w:tr w:rsidTr="00A075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rPr>
                <w:rStyle w:val="SpecialBold"/>
              </w:rPr>
              <w:t>8</w:t>
            </w:r>
            <w:r w:rsidRPr="00612979">
              <w:t>.</w:t>
            </w:r>
            <w:r w:rsidRPr="00612979">
              <w:rPr>
                <w:rStyle w:val="SpecialBold"/>
              </w:rPr>
              <w:t>4</w:t>
            </w:r>
            <w:r w:rsidRPr="00612979">
              <w:t xml:space="preserve">) </w:t>
            </w:r>
          </w:p>
          <w:p w:rsidR="00000000" w:rsidRPr="00612979" w:rsidP="00612979">
            <w:pPr>
              <w:pStyle w:val="BodyText"/>
            </w:pPr>
            <w:r w:rsidRPr="00612979">
              <w:t>This Competency Standard Unit shall be assessed by methods given in Volume 1, Part 3 'Assessment Guidelines'.</w:t>
            </w:r>
          </w:p>
          <w:p w:rsidR="00000000" w:rsidP="00612979">
            <w:pPr>
              <w:pStyle w:val="BodyText"/>
              <w:rPr>
                <w:lang w:val="en-NZ"/>
              </w:rPr>
            </w:pPr>
            <w:r w:rsidRPr="00612979">
              <w:t>Note:</w:t>
            </w:r>
            <w:r w:rsidRPr="00612979">
              <w:br/>
              <w:t>Competent performance with inherent safe working practices is expected in the Industr</w:t>
            </w:r>
            <w:r w:rsidRPr="00612979">
              <w:t>y to which this Competency Standard Unit applies. This requires that the specified Essential Knowledge and Associated Skills are assessed in a structured environment which is primarily intended for learning/assessment and incorporates all necessary equipme</w:t>
            </w:r>
            <w:r w:rsidRPr="00612979">
              <w:t>nt and facilities for learners to develop and demonstrate the essential knowledge and associated skills described in this unit.</w:t>
            </w:r>
          </w:p>
        </w:tc>
      </w:tr>
      <w:tr w:rsidTr="00A0755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rPr>
                <w:rStyle w:val="SpecialBold"/>
              </w:rPr>
              <w:t>8</w:t>
            </w:r>
            <w:r w:rsidRPr="00612979">
              <w:t>.</w:t>
            </w:r>
            <w:r w:rsidRPr="00612979">
              <w:rPr>
                <w:rStyle w:val="SpecialBold"/>
              </w:rPr>
              <w:t>5</w:t>
            </w:r>
            <w:r w:rsidRPr="00612979">
              <w:t xml:space="preserve">) </w:t>
            </w:r>
          </w:p>
        </w:tc>
      </w:tr>
      <w:tr w:rsidTr="00A0755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There are no recommended concurrent assessments with this unit, however in some cases efficiencies may be gained in terms of learning and assessment effort being concurrently managed with allied Competency Standard Units where listed.</w:t>
            </w:r>
          </w:p>
        </w:tc>
      </w:tr>
      <w:tr w:rsidTr="00A0755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UEGNSG102A</w:t>
            </w:r>
          </w:p>
        </w:tc>
        <w:tc>
          <w:tcPr>
            <w:tcW w:w="4680" w:type="dxa"/>
            <w:gridSpan w:val="3"/>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Carry out work activities in a utilities industry work environment</w:t>
            </w:r>
          </w:p>
        </w:tc>
      </w:tr>
      <w:tr w:rsidTr="00A075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UEGNSG103A</w:t>
            </w:r>
          </w:p>
        </w:tc>
        <w:tc>
          <w:tcPr>
            <w:tcW w:w="4680" w:type="dxa"/>
            <w:gridSpan w:val="3"/>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 xml:space="preserve">Comply with workplace OHS procedures and practices </w:t>
            </w:r>
          </w:p>
        </w:tc>
      </w:tr>
      <w:tr w:rsidTr="00A075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UEGNSG104A</w:t>
            </w:r>
          </w:p>
        </w:tc>
        <w:tc>
          <w:tcPr>
            <w:tcW w:w="4680" w:type="dxa"/>
            <w:gridSpan w:val="3"/>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Comply with environmental policies and procedures</w:t>
            </w:r>
          </w:p>
        </w:tc>
      </w:tr>
      <w:tr w:rsidTr="00A075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UEGNSG105A</w:t>
            </w:r>
          </w:p>
        </w:tc>
        <w:tc>
          <w:tcPr>
            <w:tcW w:w="4680" w:type="dxa"/>
            <w:gridSpan w:val="3"/>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Establish the work site</w:t>
            </w:r>
          </w:p>
        </w:tc>
      </w:tr>
      <w:tr w:rsidTr="00A0755A">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612979" w:rsidP="00612979">
            <w:pPr>
              <w:pStyle w:val="BodyText"/>
            </w:pPr>
            <w:r w:rsidRPr="00612979">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rPr>
                <w:rStyle w:val="SpecialBold"/>
              </w:rPr>
              <w:t>8</w:t>
            </w:r>
            <w:r w:rsidRPr="00612979">
              <w:t>.</w:t>
            </w:r>
            <w:r w:rsidRPr="00612979">
              <w:rPr>
                <w:rStyle w:val="SpecialBold"/>
              </w:rPr>
              <w:t>6</w:t>
            </w:r>
            <w:r w:rsidRPr="00612979">
              <w:t xml:space="preserve">) </w:t>
            </w:r>
          </w:p>
          <w:p w:rsidR="00000000" w:rsidP="00612979">
            <w:pPr>
              <w:pStyle w:val="BodyText"/>
              <w:rPr>
                <w:lang w:val="en-NZ"/>
              </w:rPr>
            </w:pPr>
            <w:r w:rsidRPr="00612979">
              <w:t>Evidence that particular Key Competencies have been achieved within this Competency Standard Unit is in the context of the following Performance Criteria of evidence. See Volume 2, Part 4 for an explanation of Key Competencies and le</w:t>
            </w:r>
            <w:r w:rsidRPr="00612979">
              <w:t>vels of this Training Package.</w:t>
            </w:r>
          </w:p>
        </w:tc>
      </w:tr>
      <w:tr w:rsidTr="00A0755A">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979" w:rsidP="00612979">
            <w:pPr>
              <w:pStyle w:val="BodyText"/>
            </w:pPr>
            <w:r w:rsidRPr="00612979">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979" w:rsidP="00612979">
            <w:pPr>
              <w:pStyle w:val="BodyText"/>
            </w:pPr>
            <w:r w:rsidRPr="00612979">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rPr>
                <w:rStyle w:val="SpecialBold"/>
              </w:rPr>
              <w:t>Performance Level</w:t>
            </w:r>
          </w:p>
        </w:tc>
      </w:tr>
      <w:tr w:rsidTr="00A0755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979">
            <w:pPr>
              <w:pStyle w:val="BodyText"/>
              <w:rPr>
                <w:lang w:val="en-NZ"/>
              </w:rPr>
            </w:pPr>
            <w:r w:rsidRPr="0061297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979" w:rsidP="00612979">
            <w:pPr>
              <w:pStyle w:val="BodyText"/>
            </w:pPr>
          </w:p>
          <w:p w:rsidR="00000000" w:rsidP="00612979">
            <w:pPr>
              <w:pStyle w:val="BodyText"/>
              <w:rPr>
                <w:lang w:val="en-NZ"/>
              </w:rPr>
            </w:pPr>
            <w:r w:rsidRPr="00612979">
              <w:t>1</w:t>
            </w:r>
          </w:p>
        </w:tc>
      </w:tr>
      <w:tr w:rsidTr="00A0755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1.4; 2.6; 3.5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p>
        </w:tc>
      </w:tr>
      <w:tr w:rsidTr="00A0755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979">
            <w:pPr>
              <w:pStyle w:val="BodyText"/>
              <w:rPr>
                <w:lang w:val="en-NZ"/>
              </w:rPr>
            </w:pPr>
            <w:r w:rsidRPr="0061297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979" w:rsidP="00612979">
            <w:pPr>
              <w:pStyle w:val="BodyText"/>
            </w:pPr>
          </w:p>
          <w:p w:rsidR="00000000" w:rsidP="00612979">
            <w:pPr>
              <w:pStyle w:val="BodyText"/>
              <w:rPr>
                <w:lang w:val="en-NZ"/>
              </w:rPr>
            </w:pPr>
            <w:r w:rsidRPr="00612979">
              <w:t>2</w:t>
            </w:r>
          </w:p>
        </w:tc>
      </w:tr>
      <w:tr w:rsidTr="00A0755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1.5; 2.5; 3.1; 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p>
        </w:tc>
      </w:tr>
      <w:tr w:rsidTr="00A0755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979">
            <w:pPr>
              <w:pStyle w:val="BodyText"/>
              <w:rPr>
                <w:lang w:val="en-NZ"/>
              </w:rPr>
            </w:pPr>
            <w:r w:rsidRPr="0061297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979" w:rsidP="00612979">
            <w:pPr>
              <w:pStyle w:val="BodyText"/>
            </w:pPr>
          </w:p>
          <w:p w:rsidR="00000000" w:rsidP="00612979">
            <w:pPr>
              <w:pStyle w:val="BodyText"/>
              <w:rPr>
                <w:lang w:val="en-NZ"/>
              </w:rPr>
            </w:pPr>
            <w:r w:rsidRPr="00612979">
              <w:t>1</w:t>
            </w:r>
          </w:p>
        </w:tc>
      </w:tr>
      <w:tr w:rsidTr="00A0755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1.2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p>
        </w:tc>
      </w:tr>
      <w:tr w:rsidTr="00A0755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 xml:space="preserve">How is team work used within this </w:t>
            </w:r>
            <w:r w:rsidRPr="00612979">
              <w:t>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979">
            <w:pPr>
              <w:pStyle w:val="BodyText"/>
              <w:rPr>
                <w:lang w:val="en-NZ"/>
              </w:rPr>
            </w:pPr>
            <w:r w:rsidRPr="0061297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979" w:rsidP="00612979">
            <w:pPr>
              <w:pStyle w:val="BodyText"/>
            </w:pPr>
          </w:p>
          <w:p w:rsidR="00000000" w:rsidP="00612979">
            <w:pPr>
              <w:pStyle w:val="BodyText"/>
              <w:rPr>
                <w:lang w:val="en-NZ"/>
              </w:rPr>
            </w:pPr>
            <w:r w:rsidRPr="00612979">
              <w:t>2</w:t>
            </w:r>
          </w:p>
        </w:tc>
      </w:tr>
      <w:tr w:rsidTr="00A0755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1.2; 1.4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p>
        </w:tc>
      </w:tr>
      <w:tr w:rsidTr="00A0755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979">
            <w:pPr>
              <w:pStyle w:val="BodyText"/>
              <w:rPr>
                <w:lang w:val="en-NZ"/>
              </w:rPr>
            </w:pPr>
            <w:r w:rsidRPr="0061297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979" w:rsidP="00612979">
            <w:pPr>
              <w:pStyle w:val="BodyText"/>
            </w:pPr>
          </w:p>
          <w:p w:rsidR="00000000" w:rsidP="00612979">
            <w:pPr>
              <w:pStyle w:val="BodyText"/>
              <w:rPr>
                <w:lang w:val="en-NZ"/>
              </w:rPr>
            </w:pPr>
            <w:r w:rsidRPr="00612979">
              <w:t>N/A</w:t>
            </w:r>
          </w:p>
        </w:tc>
      </w:tr>
      <w:tr w:rsidTr="00A0755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p>
        </w:tc>
      </w:tr>
      <w:tr w:rsidTr="00A0755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979">
            <w:pPr>
              <w:pStyle w:val="BodyText"/>
              <w:rPr>
                <w:lang w:val="en-NZ"/>
              </w:rPr>
            </w:pPr>
            <w:r w:rsidRPr="0061297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979" w:rsidP="00612979">
            <w:pPr>
              <w:pStyle w:val="BodyText"/>
            </w:pPr>
          </w:p>
          <w:p w:rsidR="00000000" w:rsidP="00612979">
            <w:pPr>
              <w:pStyle w:val="BodyText"/>
              <w:rPr>
                <w:lang w:val="en-NZ"/>
              </w:rPr>
            </w:pPr>
            <w:r w:rsidRPr="00612979">
              <w:t>N/A</w:t>
            </w:r>
          </w:p>
        </w:tc>
      </w:tr>
      <w:tr w:rsidTr="00A0755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p>
        </w:tc>
      </w:tr>
      <w:tr w:rsidTr="00A0755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979">
            <w:pPr>
              <w:pStyle w:val="BodyText"/>
              <w:rPr>
                <w:lang w:val="en-NZ"/>
              </w:rPr>
            </w:pPr>
            <w:r w:rsidRPr="0061297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979" w:rsidP="00612979">
            <w:pPr>
              <w:pStyle w:val="BodyText"/>
            </w:pPr>
          </w:p>
          <w:p w:rsidR="00000000" w:rsidP="00612979">
            <w:pPr>
              <w:pStyle w:val="BodyText"/>
              <w:rPr>
                <w:lang w:val="en-NZ"/>
              </w:rPr>
            </w:pPr>
            <w:r w:rsidRPr="00612979">
              <w:t>N/A</w:t>
            </w:r>
          </w:p>
        </w:tc>
      </w:tr>
      <w:tr w:rsidTr="00A0755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979" w:rsidP="00612979">
            <w:pPr>
              <w:pStyle w:val="BodyText"/>
            </w:pPr>
          </w:p>
        </w:tc>
      </w:tr>
    </w:tbl>
    <w:p w:rsidR="00000000" w:rsidRPr="00612979" w:rsidP="00612979">
      <w:pPr>
        <w:pStyle w:val="BodyText"/>
      </w:pPr>
    </w:p>
    <w:tbl>
      <w:tblPr>
        <w:tblW w:w="0" w:type="auto"/>
        <w:tblLayout w:type="fixed"/>
        <w:tblCellMar>
          <w:left w:w="62" w:type="dxa"/>
          <w:right w:w="62" w:type="dxa"/>
        </w:tblCellMar>
        <w:tblLook w:val="0000"/>
      </w:tblPr>
      <w:tblGrid>
        <w:gridCol w:w="326"/>
        <w:gridCol w:w="1834"/>
        <w:gridCol w:w="6300"/>
      </w:tblGrid>
      <w:tr w:rsidTr="00A0755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612979" w:rsidP="00612979">
            <w:pPr>
              <w:pStyle w:val="BodyText"/>
            </w:pPr>
            <w:r w:rsidRPr="00612979">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612979" w:rsidP="00612979">
            <w:pPr>
              <w:pStyle w:val="BodyText"/>
            </w:pPr>
            <w:r w:rsidRPr="00612979">
              <w:rPr>
                <w:rStyle w:val="SpecialBold"/>
              </w:rPr>
              <w:t>8</w:t>
            </w:r>
            <w:r w:rsidRPr="00612979">
              <w:t>.</w:t>
            </w:r>
            <w:r w:rsidRPr="00612979">
              <w:rPr>
                <w:rStyle w:val="SpecialBold"/>
              </w:rPr>
              <w:t>7</w:t>
            </w:r>
            <w:r w:rsidRPr="00612979">
              <w:t xml:space="preserve">) </w:t>
            </w:r>
          </w:p>
          <w:p w:rsidR="00000000" w:rsidP="00612979">
            <w:pPr>
              <w:pStyle w:val="BodyText"/>
              <w:rPr>
                <w:lang w:val="en-NZ"/>
              </w:rPr>
            </w:pPr>
            <w:r w:rsidRPr="00612979">
              <w:t xml:space="preserve">Evidence that competency in this unit incorporates skills enabling employment is in the context of the following performance. See Volume 2, Part 5 for definitions and an explanation of skills enabling employment. </w:t>
            </w:r>
          </w:p>
        </w:tc>
      </w:tr>
      <w:tr w:rsidTr="00A0755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979" w:rsidP="00612979">
            <w:pPr>
              <w:pStyle w:val="BodyText"/>
            </w:pPr>
            <w:r w:rsidRPr="00612979">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rPr>
                <w:rStyle w:val="SpecialBold"/>
              </w:rPr>
              <w:t>Example of Application</w:t>
            </w:r>
          </w:p>
        </w:tc>
      </w:tr>
      <w:tr w:rsidTr="00A0755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979">
            <w:pPr>
              <w:pStyle w:val="BodyText"/>
              <w:rPr>
                <w:lang w:val="en-NZ"/>
              </w:rPr>
            </w:pPr>
            <w:r w:rsidRPr="00612979">
              <w:t>Refer to the following Performance Criteria for examples of application:</w:t>
            </w:r>
          </w:p>
        </w:tc>
      </w:tr>
      <w:tr w:rsidTr="00A0755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All</w:t>
            </w:r>
          </w:p>
        </w:tc>
      </w:tr>
      <w:tr w:rsidTr="00A0755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979">
            <w:pPr>
              <w:pStyle w:val="BodyText"/>
              <w:rPr>
                <w:lang w:val="en-NZ"/>
              </w:rPr>
            </w:pPr>
            <w:r w:rsidRPr="00612979">
              <w:t>Refer to the following Performance Criteria for examples of application:</w:t>
            </w:r>
          </w:p>
        </w:tc>
      </w:tr>
      <w:tr w:rsidTr="00A0755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1.1; 1.5</w:t>
            </w:r>
          </w:p>
        </w:tc>
      </w:tr>
      <w:tr w:rsidTr="00A0755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979">
            <w:pPr>
              <w:pStyle w:val="BodyText"/>
              <w:rPr>
                <w:lang w:val="en-NZ"/>
              </w:rPr>
            </w:pPr>
            <w:r w:rsidRPr="00612979">
              <w:t>Refer to the following Performance Criteria for examples of application:</w:t>
            </w:r>
          </w:p>
        </w:tc>
      </w:tr>
      <w:tr w:rsidTr="00A0755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3.1; 3.6</w:t>
            </w:r>
          </w:p>
        </w:tc>
      </w:tr>
      <w:tr w:rsidTr="00A0755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979">
            <w:pPr>
              <w:pStyle w:val="BodyText"/>
              <w:rPr>
                <w:lang w:val="en-NZ"/>
              </w:rPr>
            </w:pPr>
            <w:r w:rsidRPr="00612979">
              <w:t>Refer to the following Performance Criteria for examples of application:</w:t>
            </w:r>
          </w:p>
        </w:tc>
      </w:tr>
      <w:tr w:rsidTr="00A0755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1.2; 2.5; 2.8; 3.3</w:t>
            </w:r>
          </w:p>
        </w:tc>
      </w:tr>
      <w:tr w:rsidTr="00A0755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979">
            <w:pPr>
              <w:pStyle w:val="BodyText"/>
              <w:rPr>
                <w:lang w:val="en-NZ"/>
              </w:rPr>
            </w:pPr>
            <w:r w:rsidRPr="00612979">
              <w:t>Refer to the following Perfo</w:t>
            </w:r>
            <w:r w:rsidRPr="00612979">
              <w:t>rmance Criteria for examples of application:</w:t>
            </w:r>
          </w:p>
        </w:tc>
      </w:tr>
      <w:tr w:rsidTr="00A0755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1.4; 1.5; 1.7</w:t>
            </w:r>
          </w:p>
        </w:tc>
      </w:tr>
      <w:tr w:rsidTr="00A0755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979">
            <w:pPr>
              <w:pStyle w:val="BodyText"/>
              <w:rPr>
                <w:lang w:val="en-NZ"/>
              </w:rPr>
            </w:pPr>
            <w:r w:rsidRPr="00612979">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979">
            <w:pPr>
              <w:pStyle w:val="BodyText"/>
              <w:rPr>
                <w:lang w:val="en-NZ"/>
              </w:rPr>
            </w:pPr>
            <w:r w:rsidRPr="00612979">
              <w:t>Refer to the following Performance Criteria for examples of application:</w:t>
            </w:r>
          </w:p>
        </w:tc>
      </w:tr>
      <w:tr w:rsidTr="00A0755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12979" w:rsidP="00612979">
            <w:pPr>
              <w:pStyle w:val="BodyText"/>
            </w:pPr>
            <w:r w:rsidRPr="00612979">
              <w:t>2.6; 2.7</w:t>
            </w:r>
          </w:p>
        </w:tc>
      </w:tr>
    </w:tbl>
    <w:p w:rsidR="00A0755A" w:rsidP="00612979">
      <w:pPr>
        <w:pStyle w:val="BodyText"/>
      </w:pPr>
    </w:p>
    <w:p w:rsidR="00A0755A" w:rsidP="00612979">
      <w:pPr>
        <w:pStyle w:val="BodyText"/>
      </w:pPr>
    </w:p>
    <w:p w:rsidR="00000000" w:rsidRPr="00612979" w:rsidP="00612979">
      <w:pPr>
        <w:pStyle w:val="Heading1"/>
      </w:pPr>
      <w:bookmarkStart w:id="11" w:name="O_255817"/>
      <w:bookmarkEnd w:id="11"/>
      <w:r w:rsidRPr="00612979">
        <w:t>Range Statement</w:t>
      </w:r>
    </w:p>
    <w:tbl>
      <w:tblPr>
        <w:tblW w:w="0" w:type="auto"/>
        <w:tblLayout w:type="fixed"/>
        <w:tblCellMar>
          <w:left w:w="62" w:type="dxa"/>
          <w:right w:w="62" w:type="dxa"/>
        </w:tblCellMar>
        <w:tblLook w:val="0000"/>
      </w:tblPr>
      <w:tblGrid>
        <w:gridCol w:w="8460"/>
      </w:tblGrid>
      <w:tr w:rsidTr="00A0755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rPr>
                <w:rStyle w:val="SpecialBold"/>
              </w:rPr>
              <w:t>RANGE STATEMENT</w:t>
            </w:r>
          </w:p>
        </w:tc>
      </w:tr>
      <w:tr w:rsidTr="00A0755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rPr>
                <w:rStyle w:val="SpecialBold"/>
              </w:rPr>
              <w:t>7</w:t>
            </w:r>
            <w:r w:rsidRPr="00612979">
              <w:t>) This relates to the competency standard unit as a whole providing the range of contexts and conditions to which the Performance Criteria apply. It allows for different work environments and situations that will affect performance.</w:t>
            </w:r>
          </w:p>
        </w:tc>
      </w:tr>
      <w:tr w:rsidTr="00A0755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t>This</w:t>
            </w:r>
            <w:r w:rsidRPr="00612979">
              <w:t xml:space="preserve"> Competency Standard Unit shall/may be demonstrated in relation to loading, unloading and exchanging gas cylinders.</w:t>
            </w:r>
          </w:p>
          <w:p w:rsidR="00000000" w:rsidRPr="00612979" w:rsidP="00612979">
            <w:pPr>
              <w:pStyle w:val="BodyText"/>
            </w:pPr>
            <w:r w:rsidRPr="00612979">
              <w:t>The following constants and variables included in the element/Performance Criteria in this unit are fully described in the Definitions Secti</w:t>
            </w:r>
            <w:r w:rsidRPr="00612979">
              <w:t>on of this volume and form an integral part of the Range Statement of this unit:</w:t>
            </w:r>
          </w:p>
          <w:p w:rsidR="00000000" w:rsidRPr="00612979" w:rsidP="00612979">
            <w:pPr>
              <w:pStyle w:val="BodyText"/>
            </w:pPr>
            <w:r w:rsidRPr="00612979">
              <w:t xml:space="preserve">Appropriate Persons </w:t>
            </w:r>
          </w:p>
          <w:p w:rsidR="00000000" w:rsidRPr="00612979" w:rsidP="00612979">
            <w:pPr>
              <w:pStyle w:val="BodyText"/>
            </w:pPr>
            <w:r w:rsidRPr="00612979">
              <w:t xml:space="preserve">Tools, Equipment and Materials </w:t>
            </w:r>
          </w:p>
          <w:p w:rsidR="00000000" w:rsidRPr="00612979" w:rsidP="00612979">
            <w:pPr>
              <w:pStyle w:val="BodyText"/>
            </w:pPr>
            <w:r w:rsidRPr="00612979">
              <w:t xml:space="preserve">Records/Documentation </w:t>
            </w:r>
          </w:p>
          <w:p w:rsidR="00000000" w:rsidRPr="00612979" w:rsidP="00612979">
            <w:pPr>
              <w:pStyle w:val="BodyText"/>
            </w:pPr>
            <w:r w:rsidRPr="00612979">
              <w:t xml:space="preserve">Delivery Area </w:t>
            </w:r>
          </w:p>
          <w:p w:rsidR="00000000" w:rsidRPr="00612979" w:rsidP="00612979">
            <w:pPr>
              <w:pStyle w:val="BodyText"/>
            </w:pPr>
            <w:r w:rsidRPr="00612979">
              <w:t>Loading and Unloading of Cylinders</w:t>
            </w:r>
          </w:p>
        </w:tc>
      </w:tr>
    </w:tbl>
    <w:p w:rsidR="00A0755A" w:rsidP="00612979">
      <w:pPr>
        <w:pStyle w:val="BodyText"/>
      </w:pPr>
    </w:p>
    <w:p w:rsidR="00A0755A" w:rsidP="00612979">
      <w:pPr>
        <w:pStyle w:val="BodyText"/>
      </w:pPr>
    </w:p>
    <w:p w:rsidR="00000000" w:rsidRPr="00612979" w:rsidP="00612979">
      <w:pPr>
        <w:pStyle w:val="Heading1"/>
      </w:pPr>
      <w:bookmarkStart w:id="12" w:name="O_296830"/>
      <w:bookmarkEnd w:id="12"/>
      <w:r w:rsidRPr="00612979">
        <w:t>Unit Sector(s)</w:t>
      </w:r>
    </w:p>
    <w:p w:rsidR="00000000" w:rsidRPr="00612979" w:rsidP="00612979">
      <w:pPr>
        <w:pStyle w:val="BodyText"/>
      </w:pPr>
      <w:r w:rsidRPr="00612979">
        <w:t>Not Applicable</w:t>
      </w:r>
    </w:p>
    <w:p w:rsidR="00000000" w:rsidRPr="00612979" w:rsidP="00612979">
      <w:pPr>
        <w:pStyle w:val="AllowPageBreak"/>
      </w:pPr>
    </w:p>
    <w:p w:rsidR="00000000" w:rsidRPr="00612979" w:rsidP="00612979">
      <w:pPr>
        <w:pStyle w:val="Heading1"/>
      </w:pPr>
      <w:bookmarkStart w:id="13" w:name="O_229639"/>
      <w:bookmarkEnd w:id="13"/>
      <w:r w:rsidRPr="00612979">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A075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rPr>
                <w:rStyle w:val="SpecialBold"/>
              </w:rPr>
              <w:t>2</w:t>
            </w:r>
            <w:r w:rsidRPr="00612979">
              <w:t>.</w:t>
            </w:r>
            <w:r w:rsidRPr="00612979">
              <w:rPr>
                <w:rStyle w:val="SpecialBold"/>
              </w:rPr>
              <w:t>2</w:t>
            </w:r>
            <w:r w:rsidRPr="00612979">
              <w:t xml:space="preserve">) </w:t>
            </w:r>
          </w:p>
          <w:p w:rsidR="00000000" w:rsidP="00612979">
            <w:pPr>
              <w:pStyle w:val="BodyText"/>
              <w:rPr>
                <w:lang w:val="en-NZ"/>
              </w:rPr>
            </w:pPr>
            <w:r w:rsidRPr="00612979">
              <w:t>Part</w:t>
            </w:r>
            <w:r w:rsidRPr="00612979">
              <w:t>icipants are best equipped to achieve this unit if they have reading, writing and numeracy skills indicated by the following scales. Description of each scale is given in Volume 2, Part 3 'Literacy and Numeracy'</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Reading</w:t>
            </w:r>
          </w:p>
        </w:tc>
        <w:tc>
          <w:tcPr>
            <w:tcW w:w="805"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3</w:t>
            </w:r>
          </w:p>
        </w:tc>
        <w:tc>
          <w:tcPr>
            <w:tcW w:w="1184"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Writing</w:t>
            </w:r>
          </w:p>
        </w:tc>
        <w:tc>
          <w:tcPr>
            <w:tcW w:w="805"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3</w:t>
            </w:r>
          </w:p>
        </w:tc>
        <w:tc>
          <w:tcPr>
            <w:tcW w:w="1172"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t>Numeracy</w:t>
            </w:r>
          </w:p>
        </w:tc>
        <w:tc>
          <w:tcPr>
            <w:tcW w:w="805" w:type="dxa"/>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t>3</w:t>
            </w:r>
          </w:p>
        </w:tc>
      </w:tr>
    </w:tbl>
    <w:p w:rsidR="00A0755A" w:rsidP="00612979">
      <w:pPr>
        <w:pStyle w:val="BodyText"/>
      </w:pPr>
    </w:p>
    <w:p w:rsidR="00A0755A" w:rsidP="00612979">
      <w:pPr>
        <w:pStyle w:val="BodyText"/>
      </w:pPr>
    </w:p>
    <w:p w:rsidR="00000000" w:rsidRPr="00612979" w:rsidP="00612979">
      <w:pPr>
        <w:pStyle w:val="Heading1"/>
      </w:pPr>
      <w:bookmarkStart w:id="14" w:name="O_229642"/>
      <w:bookmarkEnd w:id="14"/>
      <w:r w:rsidRPr="00612979">
        <w:t>Competency Field</w:t>
      </w:r>
    </w:p>
    <w:tbl>
      <w:tblPr>
        <w:tblW w:w="0" w:type="auto"/>
        <w:tblLayout w:type="fixed"/>
        <w:tblCellMar>
          <w:left w:w="62" w:type="dxa"/>
          <w:right w:w="62" w:type="dxa"/>
        </w:tblCellMar>
        <w:tblLook w:val="0000"/>
      </w:tblPr>
      <w:tblGrid>
        <w:gridCol w:w="2700"/>
        <w:gridCol w:w="5760"/>
      </w:tblGrid>
      <w:tr w:rsidTr="00A075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12979">
            <w:pPr>
              <w:pStyle w:val="BodyText"/>
              <w:rPr>
                <w:lang w:val="en-NZ"/>
              </w:rPr>
            </w:pPr>
            <w:r w:rsidRPr="00612979">
              <w:rPr>
                <w:rStyle w:val="SpecialBold"/>
              </w:rPr>
              <w:t>4</w:t>
            </w:r>
            <w:r w:rsidRPr="00612979">
              <w:t>)</w:t>
            </w:r>
          </w:p>
        </w:tc>
      </w:tr>
      <w:tr w:rsidTr="00A075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2979" w:rsidP="00612979">
            <w:pPr>
              <w:pStyle w:val="BodyText"/>
            </w:pPr>
            <w:r w:rsidRPr="00612979">
              <w:t>LPG.</w:t>
            </w:r>
          </w:p>
        </w:tc>
      </w:tr>
    </w:tbl>
    <w:p w:rsidR="00A0755A" w:rsidP="00612979">
      <w:pPr>
        <w:pStyle w:val="BodyText"/>
      </w:pPr>
    </w:p>
    <w:p w:rsidR="00A0755A" w:rsidP="00612979">
      <w:pPr>
        <w:pStyle w:val="BodyText"/>
      </w:pPr>
    </w:p>
    <w:p w:rsidR="00000000" w:rsidRPr="00612979" w:rsidP="00612979"/>
    <w:sectPr w:rsidSect="006129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9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755A" w:rsidP="00A075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9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55A" w:rsidP="006129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0755A" w:rsidP="006129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0755A" w:rsidP="006129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9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755A" w:rsidP="00A075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9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55A" w:rsidP="00612979">
    <w:pPr>
      <w:pStyle w:val="Header"/>
      <w:framePr w:wrap="around"/>
    </w:pPr>
    <w:r>
      <w:fldChar w:fldCharType="begin"/>
    </w:r>
    <w:r>
      <w:instrText xml:space="preserve"> TITLE   \* MERGEFORMAT </w:instrText>
    </w:r>
    <w:r>
      <w:fldChar w:fldCharType="separate"/>
    </w:r>
    <w:r>
      <w:t>UEGNSG603A Load, unload and exchanging gas cylinders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755A" w:rsidP="006129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2E1D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54EC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72C3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9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2979"/>
    <w:pPr>
      <w:spacing w:before="360" w:after="60"/>
      <w:outlineLvl w:val="0"/>
    </w:pPr>
    <w:rPr>
      <w:sz w:val="32"/>
    </w:rPr>
  </w:style>
  <w:style w:type="paragraph" w:styleId="Heading2">
    <w:name w:val="heading 2"/>
    <w:basedOn w:val="HeadingBase"/>
    <w:next w:val="BodyText"/>
    <w:link w:val="Heading2Char"/>
    <w:qFormat/>
    <w:rsid w:val="00612979"/>
    <w:pPr>
      <w:keepLines/>
      <w:spacing w:before="240" w:after="120"/>
      <w:outlineLvl w:val="1"/>
    </w:pPr>
    <w:rPr>
      <w:sz w:val="28"/>
      <w:szCs w:val="40"/>
    </w:rPr>
  </w:style>
  <w:style w:type="paragraph" w:styleId="Heading3">
    <w:name w:val="heading 3"/>
    <w:basedOn w:val="HeadingBase"/>
    <w:next w:val="BodyText"/>
    <w:link w:val="Heading3Char"/>
    <w:qFormat/>
    <w:rsid w:val="00612979"/>
    <w:pPr>
      <w:spacing w:before="180" w:after="120"/>
      <w:outlineLvl w:val="2"/>
    </w:pPr>
    <w:rPr>
      <w:spacing w:val="-10"/>
      <w:kern w:val="32"/>
    </w:rPr>
  </w:style>
  <w:style w:type="paragraph" w:styleId="Heading4">
    <w:name w:val="heading 4"/>
    <w:basedOn w:val="HeadingBase"/>
    <w:next w:val="BodyText"/>
    <w:link w:val="Heading4Char"/>
    <w:qFormat/>
    <w:rsid w:val="00612979"/>
    <w:pPr>
      <w:spacing w:before="160" w:after="120"/>
      <w:outlineLvl w:val="3"/>
    </w:pPr>
    <w:rPr>
      <w:sz w:val="22"/>
    </w:rPr>
  </w:style>
  <w:style w:type="paragraph" w:styleId="Heading5">
    <w:name w:val="heading 5"/>
    <w:basedOn w:val="HeadingBase"/>
    <w:next w:val="Normal"/>
    <w:link w:val="Heading5Char"/>
    <w:qFormat/>
    <w:rsid w:val="00612979"/>
    <w:pPr>
      <w:spacing w:before="80"/>
      <w:outlineLvl w:val="4"/>
    </w:pPr>
    <w:rPr>
      <w:color w:val="918585"/>
      <w:sz w:val="20"/>
    </w:rPr>
  </w:style>
  <w:style w:type="paragraph" w:styleId="Heading6">
    <w:name w:val="heading 6"/>
    <w:basedOn w:val="HeadingBase"/>
    <w:next w:val="Normal"/>
    <w:link w:val="Heading6Char"/>
    <w:qFormat/>
    <w:rsid w:val="00612979"/>
    <w:pPr>
      <w:spacing w:before="60"/>
      <w:outlineLvl w:val="5"/>
    </w:pPr>
    <w:rPr>
      <w:color w:val="918585"/>
      <w:sz w:val="20"/>
    </w:rPr>
  </w:style>
  <w:style w:type="paragraph" w:styleId="Heading7">
    <w:name w:val="heading 7"/>
    <w:basedOn w:val="Normal"/>
    <w:next w:val="Normal"/>
    <w:link w:val="Heading7Char"/>
    <w:qFormat/>
    <w:rsid w:val="00612979"/>
    <w:pPr>
      <w:ind w:left="720"/>
      <w:outlineLvl w:val="6"/>
    </w:pPr>
    <w:rPr>
      <w:i/>
    </w:rPr>
  </w:style>
  <w:style w:type="paragraph" w:styleId="Heading8">
    <w:name w:val="heading 8"/>
    <w:basedOn w:val="Normal"/>
    <w:next w:val="Normal"/>
    <w:link w:val="Heading8Char"/>
    <w:qFormat/>
    <w:rsid w:val="00612979"/>
    <w:pPr>
      <w:ind w:left="720"/>
      <w:outlineLvl w:val="7"/>
    </w:pPr>
    <w:rPr>
      <w:i/>
    </w:rPr>
  </w:style>
  <w:style w:type="paragraph" w:styleId="Heading9">
    <w:name w:val="heading 9"/>
    <w:basedOn w:val="Normal"/>
    <w:next w:val="Normal"/>
    <w:link w:val="Heading9Char"/>
    <w:qFormat/>
    <w:rsid w:val="00612979"/>
    <w:pPr>
      <w:ind w:left="720"/>
      <w:outlineLvl w:val="8"/>
    </w:pPr>
    <w:rPr>
      <w:i/>
    </w:rPr>
  </w:style>
  <w:style w:type="character" w:default="1" w:styleId="DefaultParagraphFont">
    <w:name w:val="Default Paragraph Font"/>
    <w:uiPriority w:val="1"/>
    <w:unhideWhenUsed/>
    <w:rsid w:val="006129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2979"/>
  </w:style>
  <w:style w:type="character" w:customStyle="1" w:styleId="Heading1Char">
    <w:name w:val="Heading 1 Char"/>
    <w:basedOn w:val="DefaultParagraphFont"/>
    <w:link w:val="Heading1"/>
    <w:rsid w:val="00612979"/>
    <w:rPr>
      <w:rFonts w:ascii="Times New Roman" w:eastAsia="Times New Roman" w:hAnsi="Times New Roman" w:cs="Times New Roman"/>
      <w:b/>
      <w:sz w:val="32"/>
      <w:szCs w:val="20"/>
      <w:lang w:eastAsia="en-US"/>
    </w:rPr>
  </w:style>
  <w:style w:type="paragraph" w:styleId="BodyText">
    <w:name w:val="Body Text"/>
    <w:basedOn w:val="Normal"/>
    <w:link w:val="BodyTextChar"/>
    <w:rsid w:val="006129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2979"/>
    <w:rPr>
      <w:rFonts w:ascii="Times New Roman" w:eastAsia="Times New Roman" w:hAnsi="Times New Roman" w:cs="Times New Roman"/>
      <w:sz w:val="24"/>
      <w:lang w:val="en-US" w:eastAsia="en-US"/>
    </w:rPr>
  </w:style>
  <w:style w:type="paragraph" w:styleId="Footer">
    <w:name w:val="footer"/>
    <w:basedOn w:val="Normal"/>
    <w:link w:val="FooterChar"/>
    <w:rsid w:val="006129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2979"/>
    <w:rPr>
      <w:rFonts w:ascii="Times New Roman" w:eastAsia="Times New Roman" w:hAnsi="Times New Roman" w:cs="Times New Roman"/>
      <w:sz w:val="16"/>
      <w:lang w:val="en-US" w:eastAsia="en-US"/>
    </w:rPr>
  </w:style>
  <w:style w:type="paragraph" w:styleId="ListBullet">
    <w:name w:val="List Bullet"/>
    <w:basedOn w:val="List"/>
    <w:rsid w:val="00612979"/>
    <w:pPr>
      <w:numPr>
        <w:numId w:val="13"/>
      </w:numPr>
      <w:tabs>
        <w:tab w:val="clear" w:pos="340"/>
      </w:tabs>
      <w:spacing w:before="40" w:after="40"/>
    </w:pPr>
  </w:style>
  <w:style w:type="character" w:customStyle="1" w:styleId="SpecialBold">
    <w:name w:val="Special Bold"/>
    <w:basedOn w:val="DefaultParagraphFont"/>
    <w:rsid w:val="00612979"/>
    <w:rPr>
      <w:b/>
      <w:spacing w:val="0"/>
    </w:rPr>
  </w:style>
  <w:style w:type="paragraph" w:styleId="ListBullet2">
    <w:name w:val="List Bullet 2"/>
    <w:basedOn w:val="List2"/>
    <w:rsid w:val="00612979"/>
    <w:pPr>
      <w:numPr>
        <w:numId w:val="14"/>
      </w:numPr>
      <w:tabs>
        <w:tab w:val="clear" w:pos="680"/>
      </w:tabs>
    </w:pPr>
  </w:style>
  <w:style w:type="paragraph" w:styleId="Header">
    <w:name w:val="header"/>
    <w:basedOn w:val="Normal"/>
    <w:link w:val="HeaderChar"/>
    <w:rsid w:val="006129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29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2979"/>
    <w:pPr>
      <w:spacing w:before="240" w:after="120"/>
      <w:outlineLvl w:val="0"/>
    </w:pPr>
    <w:rPr>
      <w:rFonts w:ascii="Times New Roman" w:hAnsi="Times New Roman"/>
      <w:b/>
      <w:sz w:val="28"/>
    </w:rPr>
  </w:style>
  <w:style w:type="paragraph" w:customStyle="1" w:styleId="AllowPageBreak">
    <w:name w:val="AllowPageBreak"/>
    <w:rsid w:val="006129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29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29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29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29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29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29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29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2979"/>
    <w:rPr>
      <w:rFonts w:ascii="Courier New" w:eastAsia="Times New Roman" w:hAnsi="Courier New" w:cs="Times New Roman"/>
      <w:i/>
      <w:szCs w:val="20"/>
      <w:lang w:val="en-US" w:eastAsia="en-US"/>
    </w:rPr>
  </w:style>
  <w:style w:type="paragraph" w:customStyle="1" w:styleId="HeadingBase">
    <w:name w:val="Heading Base"/>
    <w:rsid w:val="006129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2979"/>
    <w:pPr>
      <w:tabs>
        <w:tab w:val="right" w:leader="dot" w:pos="9072"/>
      </w:tabs>
      <w:ind w:left="567"/>
    </w:pPr>
    <w:rPr>
      <w:szCs w:val="22"/>
    </w:rPr>
  </w:style>
  <w:style w:type="paragraph" w:customStyle="1" w:styleId="TOCBase">
    <w:name w:val="TOC Base"/>
    <w:rsid w:val="006129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2979"/>
    <w:pPr>
      <w:tabs>
        <w:tab w:val="right" w:leader="dot" w:pos="9072"/>
      </w:tabs>
      <w:spacing w:before="40" w:after="40"/>
      <w:ind w:left="284"/>
    </w:pPr>
    <w:rPr>
      <w:rFonts w:ascii="Times New Roman" w:hAnsi="Times New Roman"/>
    </w:rPr>
  </w:style>
  <w:style w:type="paragraph" w:styleId="TOC1">
    <w:name w:val="toc 1"/>
    <w:basedOn w:val="TOCBase"/>
    <w:next w:val="Normal"/>
    <w:rsid w:val="006129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2979"/>
    <w:pPr>
      <w:spacing w:before="5040"/>
      <w:jc w:val="center"/>
    </w:pPr>
    <w:rPr>
      <w:sz w:val="48"/>
      <w:szCs w:val="72"/>
      <w:lang w:val="en-US"/>
    </w:rPr>
  </w:style>
  <w:style w:type="character" w:customStyle="1" w:styleId="TitleChar">
    <w:name w:val="Title Char"/>
    <w:basedOn w:val="DefaultParagraphFont"/>
    <w:link w:val="Title"/>
    <w:rsid w:val="006129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2979"/>
    <w:pPr>
      <w:tabs>
        <w:tab w:val="left" w:pos="3600"/>
        <w:tab w:val="left" w:pos="3958"/>
      </w:tabs>
    </w:pPr>
  </w:style>
  <w:style w:type="paragraph" w:styleId="List">
    <w:name w:val="List"/>
    <w:basedOn w:val="BodyText"/>
    <w:next w:val="BodyText"/>
    <w:rsid w:val="00612979"/>
    <w:pPr>
      <w:tabs>
        <w:tab w:val="left" w:pos="340"/>
      </w:tabs>
      <w:spacing w:before="60" w:after="60"/>
      <w:ind w:left="340" w:hanging="340"/>
    </w:pPr>
  </w:style>
  <w:style w:type="paragraph" w:customStyle="1" w:styleId="Note">
    <w:name w:val="Note"/>
    <w:basedOn w:val="BodyText"/>
    <w:rsid w:val="006129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2979"/>
    <w:pPr>
      <w:framePr w:wrap="auto" w:hAnchor="text" w:y="6049"/>
    </w:pPr>
    <w:rPr>
      <w:color w:val="000000"/>
      <w:sz w:val="40"/>
    </w:rPr>
  </w:style>
  <w:style w:type="paragraph" w:customStyle="1" w:styleId="TOCTitle">
    <w:name w:val="TOCTitle"/>
    <w:basedOn w:val="Heading1"/>
    <w:rsid w:val="00612979"/>
    <w:pPr>
      <w:spacing w:after="240"/>
      <w:jc w:val="center"/>
      <w:outlineLvl w:val="9"/>
    </w:pPr>
    <w:rPr>
      <w:caps/>
    </w:rPr>
  </w:style>
  <w:style w:type="paragraph" w:customStyle="1" w:styleId="Version">
    <w:name w:val="Version"/>
    <w:rsid w:val="006129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2979"/>
    <w:pPr>
      <w:keepNext w:val="0"/>
      <w:tabs>
        <w:tab w:val="right" w:pos="4176"/>
      </w:tabs>
      <w:ind w:left="198" w:hanging="198"/>
    </w:pPr>
    <w:rPr>
      <w:rFonts w:ascii="Garamond" w:hAnsi="Garamond"/>
    </w:rPr>
  </w:style>
  <w:style w:type="paragraph" w:styleId="IndexHeading">
    <w:name w:val="index heading"/>
    <w:basedOn w:val="Normal"/>
    <w:next w:val="Index1"/>
    <w:semiHidden/>
    <w:rsid w:val="00612979"/>
    <w:pPr>
      <w:spacing w:before="120" w:after="120"/>
    </w:pPr>
    <w:rPr>
      <w:rFonts w:ascii="Arial" w:hAnsi="Arial"/>
      <w:b/>
      <w:color w:val="918585"/>
      <w:sz w:val="24"/>
    </w:rPr>
  </w:style>
  <w:style w:type="paragraph" w:customStyle="1" w:styleId="Chapter">
    <w:name w:val="Chapter"/>
    <w:basedOn w:val="Normal"/>
    <w:rsid w:val="00612979"/>
    <w:pPr>
      <w:spacing w:before="240"/>
    </w:pPr>
    <w:rPr>
      <w:rFonts w:ascii="Times New Roman" w:hAnsi="Times New Roman"/>
      <w:smallCaps/>
      <w:spacing w:val="80"/>
      <w:sz w:val="28"/>
    </w:rPr>
  </w:style>
  <w:style w:type="paragraph" w:customStyle="1" w:styleId="InChapter">
    <w:name w:val="InChapter"/>
    <w:basedOn w:val="Heading3"/>
    <w:rsid w:val="00612979"/>
    <w:pPr>
      <w:spacing w:after="240"/>
      <w:outlineLvl w:val="9"/>
    </w:pPr>
    <w:rPr>
      <w:noProof/>
    </w:rPr>
  </w:style>
  <w:style w:type="paragraph" w:styleId="Index2">
    <w:name w:val="index 2"/>
    <w:basedOn w:val="Normal"/>
    <w:next w:val="Normal"/>
    <w:semiHidden/>
    <w:rsid w:val="00612979"/>
    <w:pPr>
      <w:tabs>
        <w:tab w:val="right" w:pos="4176"/>
      </w:tabs>
      <w:ind w:left="568" w:hanging="284"/>
    </w:pPr>
    <w:rPr>
      <w:rFonts w:ascii="Garamond" w:hAnsi="Garamond"/>
    </w:rPr>
  </w:style>
  <w:style w:type="paragraph" w:customStyle="1" w:styleId="Byline">
    <w:name w:val="Byline"/>
    <w:rsid w:val="006129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2979"/>
    <w:pPr>
      <w:tabs>
        <w:tab w:val="clear" w:pos="3600"/>
        <w:tab w:val="clear" w:pos="3958"/>
      </w:tabs>
      <w:jc w:val="right"/>
    </w:pPr>
  </w:style>
  <w:style w:type="character" w:styleId="Emphasis">
    <w:name w:val="Emphasis"/>
    <w:basedOn w:val="DefaultParagraphFont"/>
    <w:qFormat/>
    <w:rsid w:val="00612979"/>
    <w:rPr>
      <w:i/>
    </w:rPr>
  </w:style>
  <w:style w:type="paragraph" w:styleId="Caption">
    <w:name w:val="caption"/>
    <w:basedOn w:val="BodyText"/>
    <w:next w:val="Normal"/>
    <w:qFormat/>
    <w:rsid w:val="00612979"/>
    <w:pPr>
      <w:framePr w:w="2268" w:hSpace="181" w:vSpace="181" w:wrap="around" w:vAnchor="text" w:hAnchor="page" w:x="1135" w:y="285" w:anchorLock="1"/>
    </w:pPr>
    <w:rPr>
      <w:i/>
    </w:rPr>
  </w:style>
  <w:style w:type="paragraph" w:customStyle="1" w:styleId="MiniTOCTitle">
    <w:name w:val="MiniTOCTitle"/>
    <w:basedOn w:val="Heading4"/>
    <w:rsid w:val="00612979"/>
    <w:pPr>
      <w:spacing w:before="240"/>
      <w:outlineLvl w:val="9"/>
    </w:pPr>
    <w:rPr>
      <w:noProof/>
      <w:sz w:val="24"/>
    </w:rPr>
  </w:style>
  <w:style w:type="paragraph" w:customStyle="1" w:styleId="MiniTOCItem">
    <w:name w:val="MiniTOCItem"/>
    <w:basedOn w:val="ListBullet"/>
    <w:rsid w:val="00612979"/>
    <w:pPr>
      <w:numPr>
        <w:numId w:val="0"/>
      </w:numPr>
      <w:tabs>
        <w:tab w:val="right" w:leader="dot" w:pos="6521"/>
      </w:tabs>
      <w:spacing w:before="0" w:after="0"/>
    </w:pPr>
  </w:style>
  <w:style w:type="paragraph" w:customStyle="1" w:styleId="TOFTitle">
    <w:name w:val="TOFTitle"/>
    <w:basedOn w:val="TOCTitle"/>
    <w:rsid w:val="00612979"/>
  </w:style>
  <w:style w:type="paragraph" w:styleId="TableofFigures">
    <w:name w:val="table of figures"/>
    <w:basedOn w:val="Normal"/>
    <w:next w:val="Normal"/>
    <w:semiHidden/>
    <w:rsid w:val="00612979"/>
    <w:pPr>
      <w:tabs>
        <w:tab w:val="right" w:leader="dot" w:pos="9072"/>
      </w:tabs>
      <w:ind w:left="970" w:hanging="403"/>
    </w:pPr>
    <w:rPr>
      <w:rFonts w:ascii="Times New Roman" w:hAnsi="Times New Roman"/>
      <w:b/>
    </w:rPr>
  </w:style>
  <w:style w:type="paragraph" w:styleId="ListNumber">
    <w:name w:val="List Number"/>
    <w:basedOn w:val="List"/>
    <w:rsid w:val="00612979"/>
    <w:pPr>
      <w:numPr>
        <w:numId w:val="11"/>
      </w:numPr>
    </w:pPr>
  </w:style>
  <w:style w:type="character" w:customStyle="1" w:styleId="WingdingSymbols">
    <w:name w:val="Wingding Symbols"/>
    <w:rsid w:val="00612979"/>
    <w:rPr>
      <w:rFonts w:ascii="Wingdings" w:hAnsi="Wingdings"/>
    </w:rPr>
  </w:style>
  <w:style w:type="paragraph" w:customStyle="1" w:styleId="TableHeading">
    <w:name w:val="Table Heading"/>
    <w:basedOn w:val="HeadingBase"/>
    <w:rsid w:val="00612979"/>
    <w:pPr>
      <w:keepLines/>
      <w:pBdr>
        <w:bottom w:val="single" w:sz="6" w:space="1" w:color="918585"/>
      </w:pBdr>
      <w:spacing w:before="240"/>
    </w:pPr>
  </w:style>
  <w:style w:type="character" w:customStyle="1" w:styleId="HotSpot">
    <w:name w:val="HotSpot"/>
    <w:rsid w:val="00612979"/>
    <w:rPr>
      <w:color w:val="0033CC"/>
      <w:u w:val="none"/>
    </w:rPr>
  </w:style>
  <w:style w:type="paragraph" w:customStyle="1" w:styleId="BodyTextRight">
    <w:name w:val="Body Text Right"/>
    <w:basedOn w:val="BodyText"/>
    <w:rsid w:val="00612979"/>
    <w:pPr>
      <w:spacing w:before="0" w:after="0"/>
      <w:jc w:val="right"/>
    </w:pPr>
  </w:style>
  <w:style w:type="paragraph" w:styleId="Index3">
    <w:name w:val="index 3"/>
    <w:basedOn w:val="ListNumber2"/>
    <w:next w:val="Normal"/>
    <w:semiHidden/>
    <w:rsid w:val="00612979"/>
    <w:pPr>
      <w:numPr>
        <w:numId w:val="0"/>
      </w:numPr>
      <w:tabs>
        <w:tab w:val="right" w:leader="dot" w:pos="4176"/>
      </w:tabs>
    </w:pPr>
  </w:style>
  <w:style w:type="paragraph" w:styleId="ListNumber2">
    <w:name w:val="List Number 2"/>
    <w:basedOn w:val="List2"/>
    <w:rsid w:val="00612979"/>
    <w:pPr>
      <w:numPr>
        <w:numId w:val="10"/>
      </w:numPr>
      <w:tabs>
        <w:tab w:val="clear" w:pos="1060"/>
      </w:tabs>
    </w:pPr>
  </w:style>
  <w:style w:type="paragraph" w:customStyle="1" w:styleId="MarginNote">
    <w:name w:val="Margin Note"/>
    <w:basedOn w:val="BodyText"/>
    <w:rsid w:val="006129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29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29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2979"/>
    <w:rPr>
      <w:sz w:val="32"/>
    </w:rPr>
  </w:style>
  <w:style w:type="paragraph" w:customStyle="1" w:styleId="HeadingProcedure">
    <w:name w:val="Heading Procedure"/>
    <w:basedOn w:val="HeadingBase"/>
    <w:next w:val="Normal"/>
    <w:rsid w:val="00612979"/>
    <w:pPr>
      <w:tabs>
        <w:tab w:val="left" w:pos="0"/>
      </w:tabs>
      <w:spacing w:before="120" w:after="60"/>
    </w:pPr>
    <w:rPr>
      <w:i/>
      <w:color w:val="918585"/>
      <w:sz w:val="22"/>
    </w:rPr>
  </w:style>
  <w:style w:type="paragraph" w:customStyle="1" w:styleId="TableBodyText">
    <w:name w:val="Table Body Text"/>
    <w:basedOn w:val="BodyText"/>
    <w:rsid w:val="00612979"/>
    <w:pPr>
      <w:spacing w:before="60" w:after="60"/>
    </w:pPr>
  </w:style>
  <w:style w:type="paragraph" w:styleId="ListContinue">
    <w:name w:val="List Continue"/>
    <w:basedOn w:val="List"/>
    <w:rsid w:val="00612979"/>
    <w:pPr>
      <w:ind w:firstLine="0"/>
    </w:pPr>
  </w:style>
  <w:style w:type="paragraph" w:customStyle="1" w:styleId="ListNote">
    <w:name w:val="List Note"/>
    <w:basedOn w:val="List"/>
    <w:rsid w:val="00612979"/>
    <w:pPr>
      <w:pBdr>
        <w:top w:val="single" w:sz="6" w:space="2" w:color="918585"/>
        <w:bottom w:val="single" w:sz="6" w:space="2" w:color="918585"/>
      </w:pBdr>
      <w:tabs>
        <w:tab w:val="left" w:pos="1021"/>
      </w:tabs>
      <w:ind w:firstLine="0"/>
    </w:pPr>
  </w:style>
  <w:style w:type="paragraph" w:customStyle="1" w:styleId="Warning">
    <w:name w:val="Warning"/>
    <w:basedOn w:val="BodyText"/>
    <w:rsid w:val="00612979"/>
    <w:pPr>
      <w:shd w:val="clear" w:color="auto" w:fill="D9D9D9"/>
      <w:tabs>
        <w:tab w:val="left" w:pos="992"/>
      </w:tabs>
      <w:ind w:left="119" w:right="119"/>
    </w:pPr>
    <w:rPr>
      <w:sz w:val="20"/>
    </w:rPr>
  </w:style>
  <w:style w:type="paragraph" w:customStyle="1" w:styleId="MarginIcons">
    <w:name w:val="Margin Icons"/>
    <w:basedOn w:val="BodyText"/>
    <w:rsid w:val="006129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2979"/>
    <w:rPr>
      <w:rFonts w:ascii="Courier New" w:hAnsi="Courier New"/>
    </w:rPr>
  </w:style>
  <w:style w:type="paragraph" w:customStyle="1" w:styleId="NoteBullet">
    <w:name w:val="Note Bullet"/>
    <w:basedOn w:val="Note"/>
    <w:rsid w:val="00612979"/>
    <w:pPr>
      <w:tabs>
        <w:tab w:val="clear" w:pos="680"/>
      </w:tabs>
      <w:spacing w:before="60" w:after="60"/>
    </w:pPr>
  </w:style>
  <w:style w:type="paragraph" w:customStyle="1" w:styleId="SubHeading2">
    <w:name w:val="SubHeading2"/>
    <w:basedOn w:val="HeadingBase"/>
    <w:rsid w:val="00612979"/>
    <w:pPr>
      <w:spacing w:before="240" w:after="60"/>
    </w:pPr>
    <w:rPr>
      <w:sz w:val="20"/>
    </w:rPr>
  </w:style>
  <w:style w:type="paragraph" w:customStyle="1" w:styleId="SubHeading1">
    <w:name w:val="SubHeading1"/>
    <w:basedOn w:val="HeadingBase"/>
    <w:rsid w:val="00612979"/>
    <w:pPr>
      <w:spacing w:before="240" w:after="60"/>
    </w:pPr>
    <w:rPr>
      <w:color w:val="918585"/>
      <w:sz w:val="22"/>
    </w:rPr>
  </w:style>
  <w:style w:type="paragraph" w:customStyle="1" w:styleId="SideHeading">
    <w:name w:val="Side Heading"/>
    <w:basedOn w:val="HeadingBase"/>
    <w:rsid w:val="006129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2979"/>
    <w:pPr>
      <w:numPr>
        <w:numId w:val="12"/>
      </w:numPr>
    </w:pPr>
  </w:style>
  <w:style w:type="paragraph" w:styleId="PlainText">
    <w:name w:val="Plain Text"/>
    <w:basedOn w:val="Normal"/>
    <w:link w:val="PlainTextChar"/>
    <w:rsid w:val="00612979"/>
    <w:rPr>
      <w:sz w:val="20"/>
    </w:rPr>
  </w:style>
  <w:style w:type="character" w:customStyle="1" w:styleId="PlainTextChar">
    <w:name w:val="Plain Text Char"/>
    <w:basedOn w:val="DefaultParagraphFont"/>
    <w:link w:val="PlainText"/>
    <w:rsid w:val="006129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2979"/>
    <w:rPr>
      <w:b/>
      <w:smallCaps/>
    </w:rPr>
  </w:style>
  <w:style w:type="paragraph" w:customStyle="1" w:styleId="TableListNumber">
    <w:name w:val="Table List Number"/>
    <w:basedOn w:val="ListNumber"/>
    <w:rsid w:val="00612979"/>
    <w:pPr>
      <w:numPr>
        <w:numId w:val="0"/>
      </w:numPr>
    </w:pPr>
  </w:style>
  <w:style w:type="paragraph" w:styleId="TOC4">
    <w:name w:val="toc 4"/>
    <w:basedOn w:val="TOCBase"/>
    <w:next w:val="Normal"/>
    <w:semiHidden/>
    <w:rsid w:val="00612979"/>
    <w:pPr>
      <w:tabs>
        <w:tab w:val="right" w:leader="dot" w:pos="9071"/>
      </w:tabs>
      <w:ind w:left="1701"/>
    </w:pPr>
  </w:style>
  <w:style w:type="paragraph" w:customStyle="1" w:styleId="ListAlpha">
    <w:name w:val="List Alpha"/>
    <w:basedOn w:val="List"/>
    <w:rsid w:val="00612979"/>
    <w:pPr>
      <w:numPr>
        <w:numId w:val="9"/>
      </w:numPr>
    </w:pPr>
  </w:style>
  <w:style w:type="paragraph" w:customStyle="1" w:styleId="ListAlpha2">
    <w:name w:val="List Alpha 2"/>
    <w:basedOn w:val="List2"/>
    <w:rsid w:val="00612979"/>
    <w:pPr>
      <w:numPr>
        <w:numId w:val="8"/>
      </w:numPr>
    </w:pPr>
  </w:style>
  <w:style w:type="paragraph" w:styleId="List2">
    <w:name w:val="List 2"/>
    <w:basedOn w:val="BodyText"/>
    <w:rsid w:val="00612979"/>
    <w:pPr>
      <w:tabs>
        <w:tab w:val="left" w:pos="680"/>
      </w:tabs>
      <w:spacing w:before="60" w:after="60"/>
      <w:ind w:left="680" w:hanging="340"/>
    </w:pPr>
  </w:style>
  <w:style w:type="paragraph" w:styleId="List3">
    <w:name w:val="List 3"/>
    <w:basedOn w:val="BodyText"/>
    <w:rsid w:val="00612979"/>
    <w:pPr>
      <w:tabs>
        <w:tab w:val="left" w:pos="1021"/>
      </w:tabs>
      <w:spacing w:before="60" w:after="60"/>
      <w:ind w:left="1020" w:hanging="340"/>
    </w:pPr>
  </w:style>
  <w:style w:type="paragraph" w:styleId="List4">
    <w:name w:val="List 4"/>
    <w:basedOn w:val="BodyText"/>
    <w:rsid w:val="00612979"/>
    <w:pPr>
      <w:tabs>
        <w:tab w:val="left" w:pos="1361"/>
      </w:tabs>
      <w:spacing w:before="60" w:after="60"/>
      <w:ind w:left="1361" w:hanging="340"/>
    </w:pPr>
  </w:style>
  <w:style w:type="paragraph" w:styleId="List5">
    <w:name w:val="List 5"/>
    <w:basedOn w:val="BodyText"/>
    <w:rsid w:val="00612979"/>
    <w:pPr>
      <w:tabs>
        <w:tab w:val="left" w:pos="1701"/>
      </w:tabs>
      <w:spacing w:before="60" w:after="60"/>
      <w:ind w:left="1701" w:hanging="340"/>
    </w:pPr>
  </w:style>
  <w:style w:type="paragraph" w:styleId="ListBullet3">
    <w:name w:val="List Bullet 3"/>
    <w:basedOn w:val="List3"/>
    <w:rsid w:val="00612979"/>
    <w:pPr>
      <w:numPr>
        <w:numId w:val="15"/>
      </w:numPr>
      <w:tabs>
        <w:tab w:val="clear" w:pos="1021"/>
      </w:tabs>
      <w:ind w:left="1037" w:hanging="357"/>
    </w:pPr>
  </w:style>
  <w:style w:type="paragraph" w:styleId="ListBullet4">
    <w:name w:val="List Bullet 4"/>
    <w:basedOn w:val="List4"/>
    <w:rsid w:val="00612979"/>
    <w:pPr>
      <w:numPr>
        <w:numId w:val="3"/>
      </w:numPr>
    </w:pPr>
  </w:style>
  <w:style w:type="paragraph" w:styleId="ListBullet5">
    <w:name w:val="List Bullet 5"/>
    <w:basedOn w:val="List5"/>
    <w:rsid w:val="00612979"/>
    <w:pPr>
      <w:numPr>
        <w:numId w:val="4"/>
      </w:numPr>
    </w:pPr>
  </w:style>
  <w:style w:type="paragraph" w:styleId="ListContinue2">
    <w:name w:val="List Continue 2"/>
    <w:basedOn w:val="List2"/>
    <w:rsid w:val="00612979"/>
    <w:pPr>
      <w:ind w:firstLine="0"/>
    </w:pPr>
  </w:style>
  <w:style w:type="paragraph" w:styleId="ListContinue3">
    <w:name w:val="List Continue 3"/>
    <w:basedOn w:val="List3"/>
    <w:rsid w:val="00612979"/>
    <w:pPr>
      <w:ind w:left="1021" w:firstLine="0"/>
    </w:pPr>
  </w:style>
  <w:style w:type="paragraph" w:styleId="ListContinue4">
    <w:name w:val="List Continue 4"/>
    <w:basedOn w:val="List4"/>
    <w:rsid w:val="00612979"/>
    <w:pPr>
      <w:ind w:firstLine="0"/>
    </w:pPr>
  </w:style>
  <w:style w:type="paragraph" w:styleId="ListContinue5">
    <w:name w:val="List Continue 5"/>
    <w:basedOn w:val="List5"/>
    <w:rsid w:val="00612979"/>
    <w:pPr>
      <w:ind w:firstLine="0"/>
    </w:pPr>
  </w:style>
  <w:style w:type="paragraph" w:styleId="ListNumber3">
    <w:name w:val="List Number 3"/>
    <w:basedOn w:val="List3"/>
    <w:rsid w:val="00612979"/>
    <w:pPr>
      <w:numPr>
        <w:numId w:val="5"/>
      </w:numPr>
    </w:pPr>
  </w:style>
  <w:style w:type="paragraph" w:styleId="ListNumber4">
    <w:name w:val="List Number 4"/>
    <w:basedOn w:val="List4"/>
    <w:rsid w:val="00612979"/>
    <w:pPr>
      <w:numPr>
        <w:numId w:val="6"/>
      </w:numPr>
    </w:pPr>
  </w:style>
  <w:style w:type="paragraph" w:styleId="ListNumber5">
    <w:name w:val="List Number 5"/>
    <w:basedOn w:val="List5"/>
    <w:rsid w:val="00612979"/>
    <w:pPr>
      <w:numPr>
        <w:numId w:val="7"/>
      </w:numPr>
    </w:pPr>
  </w:style>
  <w:style w:type="paragraph" w:styleId="BlockText">
    <w:name w:val="Block Text"/>
    <w:basedOn w:val="Normal"/>
    <w:rsid w:val="00612979"/>
    <w:pPr>
      <w:spacing w:after="120"/>
      <w:ind w:left="1440" w:right="1440"/>
    </w:pPr>
  </w:style>
  <w:style w:type="character" w:customStyle="1" w:styleId="Subscript">
    <w:name w:val="Subscript"/>
    <w:basedOn w:val="DefaultParagraphFont"/>
    <w:rsid w:val="00612979"/>
    <w:rPr>
      <w:sz w:val="16"/>
      <w:vertAlign w:val="subscript"/>
    </w:rPr>
  </w:style>
  <w:style w:type="character" w:customStyle="1" w:styleId="Superscript">
    <w:name w:val="Superscript"/>
    <w:basedOn w:val="DefaultParagraphFont"/>
    <w:rsid w:val="00612979"/>
    <w:rPr>
      <w:sz w:val="16"/>
      <w:vertAlign w:val="superscript"/>
    </w:rPr>
  </w:style>
  <w:style w:type="character" w:customStyle="1" w:styleId="Symbols">
    <w:name w:val="Symbols"/>
    <w:basedOn w:val="DefaultParagraphFont"/>
    <w:rsid w:val="00612979"/>
    <w:rPr>
      <w:rFonts w:ascii="Symbol" w:hAnsi="Symbol"/>
    </w:rPr>
  </w:style>
  <w:style w:type="character" w:customStyle="1" w:styleId="MenuOptions">
    <w:name w:val="Menu Options"/>
    <w:basedOn w:val="DefaultParagraphFont"/>
    <w:rsid w:val="00612979"/>
    <w:rPr>
      <w:rFonts w:ascii="Arial Narrow" w:hAnsi="Arial Narrow"/>
      <w:smallCaps/>
    </w:rPr>
  </w:style>
  <w:style w:type="character" w:customStyle="1" w:styleId="Buttons">
    <w:name w:val="Buttons"/>
    <w:basedOn w:val="DefaultParagraphFont"/>
    <w:rsid w:val="00612979"/>
    <w:rPr>
      <w:b/>
    </w:rPr>
  </w:style>
  <w:style w:type="character" w:customStyle="1" w:styleId="Underlined">
    <w:name w:val="Underlined"/>
    <w:basedOn w:val="DefaultParagraphFont"/>
    <w:rsid w:val="00612979"/>
    <w:rPr>
      <w:u w:val="single"/>
    </w:rPr>
  </w:style>
  <w:style w:type="paragraph" w:customStyle="1" w:styleId="TableBodyTextRight">
    <w:name w:val="Table Body Text Right"/>
    <w:basedOn w:val="TableBodyText"/>
    <w:rsid w:val="00612979"/>
    <w:pPr>
      <w:widowControl w:val="0"/>
      <w:autoSpaceDE w:val="0"/>
      <w:autoSpaceDN w:val="0"/>
      <w:adjustRightInd w:val="0"/>
      <w:jc w:val="right"/>
    </w:pPr>
    <w:rPr>
      <w:rFonts w:cs="Arial"/>
      <w:szCs w:val="18"/>
    </w:rPr>
  </w:style>
  <w:style w:type="paragraph" w:customStyle="1" w:styleId="CopyrightText">
    <w:name w:val="Copyright Text"/>
    <w:basedOn w:val="BodyText"/>
    <w:rsid w:val="00612979"/>
    <w:rPr>
      <w:sz w:val="18"/>
    </w:rPr>
  </w:style>
  <w:style w:type="paragraph" w:customStyle="1" w:styleId="BodySmallRight">
    <w:name w:val="Body Small Right"/>
    <w:basedOn w:val="BodyTextRight"/>
    <w:rsid w:val="00612979"/>
    <w:rPr>
      <w:sz w:val="18"/>
      <w:szCs w:val="18"/>
    </w:rPr>
  </w:style>
  <w:style w:type="paragraph" w:customStyle="1" w:styleId="MarginEdition">
    <w:name w:val="Margin Edition"/>
    <w:basedOn w:val="MarginNote"/>
    <w:rsid w:val="00612979"/>
    <w:pPr>
      <w:spacing w:before="0" w:after="0"/>
    </w:pPr>
    <w:rPr>
      <w:rFonts w:ascii="Times New Roman" w:hAnsi="Times New Roman"/>
      <w:color w:val="999999"/>
    </w:rPr>
  </w:style>
  <w:style w:type="paragraph" w:customStyle="1" w:styleId="Spacer">
    <w:name w:val="Spacer"/>
    <w:basedOn w:val="Normal"/>
    <w:rsid w:val="00612979"/>
    <w:rPr>
      <w:sz w:val="2"/>
      <w:szCs w:val="2"/>
    </w:rPr>
  </w:style>
  <w:style w:type="character" w:customStyle="1" w:styleId="Small">
    <w:name w:val="Small"/>
    <w:basedOn w:val="DefaultParagraphFont"/>
    <w:rsid w:val="00612979"/>
    <w:rPr>
      <w:sz w:val="16"/>
    </w:rPr>
  </w:style>
  <w:style w:type="paragraph" w:customStyle="1" w:styleId="WideTable">
    <w:name w:val="Wide Table"/>
    <w:basedOn w:val="Normal"/>
    <w:rsid w:val="00612979"/>
    <w:pPr>
      <w:ind w:left="-1418"/>
    </w:pPr>
    <w:rPr>
      <w:sz w:val="2"/>
      <w:szCs w:val="2"/>
    </w:rPr>
  </w:style>
  <w:style w:type="character" w:styleId="PageNumber">
    <w:name w:val="page number"/>
    <w:basedOn w:val="DefaultParagraphFont"/>
    <w:rsid w:val="00612979"/>
  </w:style>
  <w:style w:type="paragraph" w:styleId="Quote">
    <w:name w:val="Quote"/>
    <w:basedOn w:val="Heading1"/>
    <w:link w:val="QuoteChar"/>
    <w:qFormat/>
    <w:rsid w:val="00612979"/>
    <w:rPr>
      <w:b w:val="0"/>
      <w:sz w:val="72"/>
      <w:szCs w:val="72"/>
      <w:lang w:val="en-NZ"/>
    </w:rPr>
  </w:style>
  <w:style w:type="character" w:customStyle="1" w:styleId="QuoteChar">
    <w:name w:val="Quote Char"/>
    <w:basedOn w:val="DefaultParagraphFont"/>
    <w:link w:val="Quote"/>
    <w:rsid w:val="006129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2979"/>
    <w:pPr>
      <w:pageBreakBefore/>
    </w:pPr>
  </w:style>
  <w:style w:type="paragraph" w:customStyle="1" w:styleId="Border">
    <w:name w:val="Border"/>
    <w:basedOn w:val="Normal"/>
    <w:qFormat/>
    <w:rsid w:val="006129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2979"/>
    <w:rPr>
      <w:b/>
      <w:bCs/>
      <w:i/>
      <w:iCs/>
      <w:color w:val="auto"/>
    </w:rPr>
  </w:style>
  <w:style w:type="paragraph" w:styleId="IntenseQuote">
    <w:name w:val="Intense Quote"/>
    <w:basedOn w:val="Normal"/>
    <w:next w:val="Normal"/>
    <w:link w:val="IntenseQuoteChar"/>
    <w:uiPriority w:val="30"/>
    <w:qFormat/>
    <w:rsid w:val="006129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29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2979"/>
    <w:rPr>
      <w:smallCaps/>
      <w:color w:val="auto"/>
      <w:u w:val="single"/>
    </w:rPr>
  </w:style>
  <w:style w:type="character" w:styleId="IntenseReference">
    <w:name w:val="Intense Reference"/>
    <w:basedOn w:val="DefaultParagraphFont"/>
    <w:uiPriority w:val="32"/>
    <w:qFormat/>
    <w:rsid w:val="00612979"/>
    <w:rPr>
      <w:b/>
      <w:bCs/>
      <w:smallCaps/>
      <w:color w:val="auto"/>
      <w:spacing w:val="5"/>
      <w:u w:val="single"/>
    </w:rPr>
  </w:style>
  <w:style w:type="paragraph" w:customStyle="1" w:styleId="2ColumnHeading">
    <w:name w:val="2Column Heading"/>
    <w:basedOn w:val="BodyText"/>
    <w:qFormat/>
    <w:rsid w:val="00612979"/>
    <w:pPr>
      <w:spacing w:after="60"/>
      <w:ind w:left="-2268"/>
    </w:pPr>
    <w:rPr>
      <w:b/>
    </w:rPr>
  </w:style>
  <w:style w:type="paragraph" w:customStyle="1" w:styleId="Heading1TOC">
    <w:name w:val="Heading1 TOC"/>
    <w:basedOn w:val="Normal"/>
    <w:qFormat/>
    <w:rsid w:val="00612979"/>
    <w:pPr>
      <w:spacing w:before="240" w:after="120"/>
    </w:pPr>
    <w:rPr>
      <w:rFonts w:ascii="Times New Roman" w:hAnsi="Times New Roman"/>
      <w:b/>
      <w:sz w:val="32"/>
    </w:rPr>
  </w:style>
  <w:style w:type="paragraph" w:customStyle="1" w:styleId="Heading2TOC">
    <w:name w:val="Heading2 TOC"/>
    <w:basedOn w:val="Normal"/>
    <w:qFormat/>
    <w:rsid w:val="00612979"/>
    <w:pPr>
      <w:spacing w:before="240" w:after="60"/>
    </w:pPr>
    <w:rPr>
      <w:rFonts w:ascii="Times New Roman" w:hAnsi="Times New Roman"/>
      <w:b/>
      <w:sz w:val="28"/>
    </w:rPr>
  </w:style>
  <w:style w:type="character" w:customStyle="1" w:styleId="Underline">
    <w:name w:val="Underline"/>
    <w:basedOn w:val="DefaultParagraphFont"/>
    <w:qFormat/>
    <w:rsid w:val="00612979"/>
    <w:rPr>
      <w:u w:val="single"/>
    </w:rPr>
  </w:style>
  <w:style w:type="character" w:customStyle="1" w:styleId="BoldandItalics">
    <w:name w:val="Bold and Italics"/>
    <w:qFormat/>
    <w:rsid w:val="00612979"/>
    <w:rPr>
      <w:b/>
      <w:i/>
      <w:u w:val="none"/>
    </w:rPr>
  </w:style>
  <w:style w:type="paragraph" w:styleId="BalloonText">
    <w:name w:val="Balloon Text"/>
    <w:basedOn w:val="Normal"/>
    <w:link w:val="BalloonTextChar"/>
    <w:rsid w:val="00612979"/>
    <w:rPr>
      <w:rFonts w:ascii="Tahoma" w:hAnsi="Tahoma" w:cs="Tahoma"/>
      <w:sz w:val="16"/>
      <w:szCs w:val="16"/>
    </w:rPr>
  </w:style>
  <w:style w:type="character" w:customStyle="1" w:styleId="BalloonTextChar">
    <w:name w:val="Balloon Text Char"/>
    <w:basedOn w:val="DefaultParagraphFont"/>
    <w:link w:val="BalloonText"/>
    <w:rsid w:val="006129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29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29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2609</Words>
  <Characters>15411</Characters>
  <Application>Microsoft Office Word</Application>
  <DocSecurity>0</DocSecurity>
  <Lines>766</Lines>
  <Paragraphs>310</Paragraphs>
  <ScaleCrop>false</ScaleCrop>
  <Company>Author-it Software Corporation Ltd.</Company>
  <LinksUpToDate>false</LinksUpToDate>
  <CharactersWithSpaces>17750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UEGNSG603A Load, unload and exchanging gas cylinders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2012-05-26T22:10:00Z</dcterms:created>
  <dcterms:modified xsi:type="dcterms:W3CDTF">2012-05-26T22:10:00Z</dcterms:modified>
</cp:coreProperties>
</file>