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A3E" w:rsidP="00124A3E">
      <w:pPr>
        <w:pStyle w:val="Title"/>
      </w:pPr>
      <w:r>
        <w:fldChar w:fldCharType="begin"/>
      </w:r>
      <w:r>
        <w:instrText xml:space="preserve"> TITLE   \* MERGEFORMAT </w:instrText>
      </w:r>
      <w:r>
        <w:fldChar w:fldCharType="separate"/>
      </w:r>
      <w:r>
        <w:t>UEGNSG602A Load, discharging LPG by road tanker</w:t>
      </w:r>
      <w:r>
        <w:fldChar w:fldCharType="end"/>
      </w:r>
    </w:p>
    <w:p w:rsidR="00124A3E" w:rsidP="00124A3E">
      <w:pPr>
        <w:pStyle w:val="Version"/>
        <w:sectPr w:rsidSect="00CA7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B27" w:rsidP="00CA7B27">
      <w:pPr>
        <w:pStyle w:val="SuperHeading"/>
      </w:pPr>
      <w:r w:rsidRPr="00CA7B27">
        <w:t>UEGNSG602A Load, discharging LPG by road tanker</w:t>
      </w:r>
    </w:p>
    <w:p w:rsidR="00000000" w:rsidRPr="00CA7B27" w:rsidP="00CA7B27">
      <w:pPr>
        <w:pStyle w:val="Heading1"/>
      </w:pPr>
      <w:bookmarkStart w:id="1" w:name="O_275135"/>
      <w:bookmarkEnd w:id="1"/>
      <w:r w:rsidRPr="00CA7B27">
        <w:t>Modification History</w:t>
      </w:r>
    </w:p>
    <w:p w:rsidR="00000000" w:rsidRPr="00CA7B27" w:rsidP="00CA7B27">
      <w:pPr>
        <w:pStyle w:val="BodyText"/>
      </w:pPr>
      <w:r w:rsidRPr="00CA7B27">
        <w:t>Not Applicable</w:t>
      </w:r>
    </w:p>
    <w:p w:rsidR="00000000" w:rsidRPr="00CA7B27" w:rsidP="00CA7B27">
      <w:pPr>
        <w:pStyle w:val="AllowPageBreak"/>
      </w:pPr>
    </w:p>
    <w:p w:rsidR="00000000" w:rsidRPr="00CA7B27" w:rsidP="00CA7B27">
      <w:pPr>
        <w:pStyle w:val="Heading1"/>
      </w:pPr>
      <w:bookmarkStart w:id="2" w:name="O_229631"/>
      <w:bookmarkEnd w:id="2"/>
      <w:r w:rsidRPr="00CA7B27">
        <w:t>Unit Descriptor</w:t>
      </w:r>
    </w:p>
    <w:tbl>
      <w:tblPr>
        <w:tblW w:w="0" w:type="auto"/>
        <w:tblLayout w:type="fixed"/>
        <w:tblCellMar>
          <w:left w:w="62" w:type="dxa"/>
          <w:right w:w="62" w:type="dxa"/>
        </w:tblCellMar>
        <w:tblLook w:val="0000"/>
      </w:tblPr>
      <w:tblGrid>
        <w:gridCol w:w="2700"/>
        <w:gridCol w:w="5760"/>
      </w:tblGrid>
      <w:tr w:rsidTr="00124A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1</w:t>
            </w:r>
            <w:r w:rsidRPr="00CA7B27">
              <w:t xml:space="preserve">) </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t>This Competency Standard Unit covers the loading and discharging of LPG by road tanker for the distribution of LPG. Included are appropriate persons; tools and equipment for LPG; loading and discharging of LPG; meeting Australian Dangerous Goods Code; regu</w:t>
            </w:r>
            <w:r w:rsidRPr="00CA7B27">
              <w:t>lations/statutes; standard operating procedures and guidelines followed for emergency procedures; AS 1596 or its replacement applies.</w:t>
            </w:r>
          </w:p>
        </w:tc>
      </w:tr>
    </w:tbl>
    <w:p w:rsidR="00124A3E" w:rsidP="00CA7B27">
      <w:pPr>
        <w:pStyle w:val="BodyText"/>
      </w:pPr>
    </w:p>
    <w:p w:rsidR="00124A3E" w:rsidP="00CA7B27">
      <w:pPr>
        <w:pStyle w:val="BodyText"/>
      </w:pPr>
    </w:p>
    <w:p w:rsidR="00000000" w:rsidRPr="00CA7B27" w:rsidP="00CA7B27">
      <w:pPr>
        <w:pStyle w:val="Heading1"/>
      </w:pPr>
      <w:bookmarkStart w:id="3" w:name="O_229634"/>
      <w:bookmarkEnd w:id="3"/>
      <w:r w:rsidRPr="00CA7B27">
        <w:t>Application of the Unit</w:t>
      </w:r>
    </w:p>
    <w:tbl>
      <w:tblPr>
        <w:tblW w:w="0" w:type="auto"/>
        <w:tblLayout w:type="fixed"/>
        <w:tblCellMar>
          <w:left w:w="62" w:type="dxa"/>
          <w:right w:w="62" w:type="dxa"/>
        </w:tblCellMar>
        <w:tblLook w:val="0000"/>
      </w:tblPr>
      <w:tblGrid>
        <w:gridCol w:w="2700"/>
        <w:gridCol w:w="5760"/>
      </w:tblGrid>
      <w:tr w:rsidTr="00124A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3</w:t>
            </w:r>
            <w:r w:rsidRPr="00CA7B27">
              <w:t>)</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t>This competency standard shall apply to any basic</w:t>
            </w:r>
            <w:r w:rsidRPr="00CA7B27">
              <w:t xml:space="preserve"> and safe work site where Gas Industry operations occur. It could also apply, where applicable to other workplaces in the electricity supply industry (transmission and distribution and generation), the electrotechnology industry and the water industry, sub</w:t>
            </w:r>
            <w:r w:rsidRPr="00CA7B27">
              <w:t>ject to all Occupational Health and Safety and duty of care requirements being met for the workplace.</w:t>
            </w:r>
          </w:p>
        </w:tc>
      </w:tr>
    </w:tbl>
    <w:p w:rsidR="00124A3E" w:rsidP="00CA7B27">
      <w:pPr>
        <w:pStyle w:val="BodyText"/>
      </w:pPr>
    </w:p>
    <w:p w:rsidR="00124A3E" w:rsidP="00CA7B27">
      <w:pPr>
        <w:pStyle w:val="BodyText"/>
      </w:pPr>
    </w:p>
    <w:p w:rsidR="00000000" w:rsidRPr="00CA7B27" w:rsidP="00CA7B27">
      <w:pPr>
        <w:pStyle w:val="Heading1"/>
      </w:pPr>
      <w:bookmarkStart w:id="4" w:name="O_229635"/>
      <w:bookmarkEnd w:id="4"/>
      <w:r w:rsidRPr="00CA7B27">
        <w:t>Licensing/Regulatory Information</w:t>
      </w:r>
    </w:p>
    <w:tbl>
      <w:tblPr>
        <w:tblW w:w="0" w:type="auto"/>
        <w:tblLayout w:type="fixed"/>
        <w:tblCellMar>
          <w:left w:w="62" w:type="dxa"/>
          <w:right w:w="62" w:type="dxa"/>
        </w:tblCellMar>
        <w:tblLook w:val="0000"/>
      </w:tblPr>
      <w:tblGrid>
        <w:gridCol w:w="2700"/>
        <w:gridCol w:w="5760"/>
      </w:tblGrid>
      <w:tr w:rsidTr="00124A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3</w:t>
            </w:r>
            <w:r w:rsidRPr="00CA7B27">
              <w:t>.</w:t>
            </w:r>
            <w:r w:rsidRPr="00CA7B27">
              <w:rPr>
                <w:rStyle w:val="SpecialBold"/>
              </w:rPr>
              <w:t>1</w:t>
            </w:r>
            <w:r w:rsidRPr="00CA7B27">
              <w:t>)</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t xml:space="preserve">The skills and knowledge described in this unit are not subject to </w:t>
            </w:r>
            <w:r w:rsidRPr="00CA7B27">
              <w:t xml:space="preserve">licence regulation other than those directly related to Occupational Health and Safety, gas/electricity/water industry safety and compliance, </w:t>
            </w:r>
            <w:r w:rsidRPr="00CA7B27">
              <w:t>industrial relations, environmental protection, telecommunications, anti discrimination and training. Commonwealth</w:t>
            </w:r>
            <w:r w:rsidRPr="00CA7B27">
              <w:t>, State/Territory or Local Government legislation and regulations may exist that limits the age of operating certain equipment.</w:t>
            </w:r>
          </w:p>
        </w:tc>
      </w:tr>
    </w:tbl>
    <w:p w:rsidR="00124A3E" w:rsidP="00CA7B27">
      <w:pPr>
        <w:pStyle w:val="BodyText"/>
      </w:pPr>
    </w:p>
    <w:p w:rsidR="00124A3E" w:rsidP="00CA7B27">
      <w:pPr>
        <w:pStyle w:val="BodyText"/>
      </w:pPr>
    </w:p>
    <w:p w:rsidR="00000000" w:rsidRPr="00CA7B27" w:rsidP="00CA7B27">
      <w:pPr>
        <w:pStyle w:val="Heading1"/>
      </w:pPr>
      <w:bookmarkStart w:id="5" w:name="O_229632"/>
      <w:bookmarkEnd w:id="5"/>
      <w:r w:rsidRPr="00CA7B27">
        <w:t>Pre-Requisites</w:t>
      </w:r>
    </w:p>
    <w:tbl>
      <w:tblPr>
        <w:tblW w:w="0" w:type="auto"/>
        <w:tblLayout w:type="fixed"/>
        <w:tblCellMar>
          <w:left w:w="62" w:type="dxa"/>
          <w:right w:w="62" w:type="dxa"/>
        </w:tblCellMar>
        <w:tblLook w:val="0000"/>
      </w:tblPr>
      <w:tblGrid>
        <w:gridCol w:w="2700"/>
        <w:gridCol w:w="1800"/>
        <w:gridCol w:w="3960"/>
      </w:tblGrid>
      <w:tr w:rsidTr="00124A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Prerequisite Unit</w:t>
            </w:r>
            <w:r w:rsidRPr="00CA7B27">
              <w:t>(</w:t>
            </w:r>
            <w:r w:rsidRPr="00CA7B27">
              <w:rPr>
                <w:rStyle w:val="SpecialBold"/>
              </w:rPr>
              <w:t>s</w:t>
            </w:r>
            <w:r w:rsidRPr="00CA7B27">
              <w:t>)</w:t>
            </w:r>
          </w:p>
        </w:tc>
        <w:tc>
          <w:tcPr>
            <w:tcW w:w="5760" w:type="dxa"/>
            <w:gridSpan w:val="2"/>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2</w:t>
            </w:r>
            <w:r w:rsidRPr="00CA7B27">
              <w:t xml:space="preserve">) </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2</w:t>
            </w:r>
            <w:r w:rsidRPr="00CA7B27">
              <w:t>.</w:t>
            </w:r>
            <w:r w:rsidRPr="00CA7B27">
              <w:rPr>
                <w:rStyle w:val="SpecialBold"/>
              </w:rPr>
              <w:t>1</w:t>
            </w:r>
            <w:r w:rsidRPr="00CA7B27">
              <w:t xml:space="preserve">) </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Granting of competency in this unit shall be made only after competency in the following unit(s) has/have been confirmed:</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Nil</w:t>
            </w:r>
          </w:p>
        </w:tc>
        <w:tc>
          <w:tcPr>
            <w:tcW w:w="3960" w:type="dxa"/>
            <w:tcBorders>
              <w:top w:val="nil"/>
              <w:left w:val="nil"/>
              <w:bottom w:val="nil"/>
              <w:right w:val="nil"/>
            </w:tcBorders>
            <w:tcMar>
              <w:top w:w="0" w:type="dxa"/>
              <w:left w:w="62" w:type="dxa"/>
              <w:bottom w:w="0" w:type="dxa"/>
              <w:right w:w="62" w:type="dxa"/>
            </w:tcMar>
          </w:tcPr>
          <w:p w:rsidR="00000000" w:rsidRPr="00CA7B27" w:rsidP="00CA7B27">
            <w:pPr>
              <w:pStyle w:val="BodyText"/>
            </w:pPr>
          </w:p>
        </w:tc>
      </w:tr>
    </w:tbl>
    <w:p w:rsidR="00124A3E" w:rsidP="00CA7B27">
      <w:pPr>
        <w:pStyle w:val="BodyText"/>
      </w:pPr>
    </w:p>
    <w:p w:rsidR="00124A3E" w:rsidP="00CA7B27">
      <w:pPr>
        <w:pStyle w:val="BodyText"/>
      </w:pPr>
    </w:p>
    <w:p w:rsidR="00000000" w:rsidRPr="00CA7B27" w:rsidP="00CA7B27">
      <w:pPr>
        <w:pStyle w:val="Heading1"/>
      </w:pPr>
      <w:bookmarkStart w:id="6" w:name="O_285384"/>
      <w:bookmarkEnd w:id="6"/>
      <w:r w:rsidRPr="00CA7B27">
        <w:t>Employability Skills Information</w:t>
      </w:r>
    </w:p>
    <w:p w:rsidR="00000000" w:rsidRPr="00CA7B27" w:rsidP="00CA7B27">
      <w:pPr>
        <w:pStyle w:val="BodyText"/>
      </w:pPr>
      <w:r w:rsidRPr="00CA7B27">
        <w:t>Refer to the Evidence Guide</w:t>
      </w:r>
    </w:p>
    <w:p w:rsidR="00000000" w:rsidRPr="00CA7B27" w:rsidP="00CA7B27">
      <w:pPr>
        <w:pStyle w:val="AllowPageBreak"/>
      </w:pPr>
    </w:p>
    <w:p w:rsidR="00000000" w:rsidRPr="00CA7B27" w:rsidP="00CA7B27">
      <w:pPr>
        <w:pStyle w:val="Heading1"/>
      </w:pPr>
      <w:bookmarkStart w:id="7" w:name="O_293181"/>
      <w:bookmarkEnd w:id="7"/>
      <w:r w:rsidRPr="00CA7B27">
        <w:t>Elements and Performance Criteria Pre-Content</w:t>
      </w:r>
    </w:p>
    <w:tbl>
      <w:tblPr>
        <w:tblW w:w="0" w:type="auto"/>
        <w:tblLayout w:type="fixed"/>
        <w:tblCellMar>
          <w:left w:w="62" w:type="dxa"/>
          <w:right w:w="62" w:type="dxa"/>
        </w:tblCellMar>
        <w:tblLook w:val="0000"/>
      </w:tblPr>
      <w:tblGrid>
        <w:gridCol w:w="2700"/>
        <w:gridCol w:w="5760"/>
      </w:tblGrid>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5</w:t>
            </w:r>
            <w:r w:rsidRPr="00CA7B2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t>Performance Criteria describe the required performance needed to demonstrate achievement of the element. Assessment of performance is to</w:t>
            </w:r>
            <w:r w:rsidRPr="00CA7B27">
              <w:t xml:space="preserve"> be consistent with the Evidence Guide.</w:t>
            </w:r>
          </w:p>
        </w:tc>
      </w:tr>
    </w:tbl>
    <w:p w:rsidR="00000000" w:rsidRPr="00CA7B27" w:rsidP="00CA7B27">
      <w:pPr>
        <w:pStyle w:val="BodyText"/>
      </w:pPr>
    </w:p>
    <w:p w:rsidR="00000000" w:rsidRPr="00CA7B27" w:rsidP="00CA7B27">
      <w:pPr>
        <w:pStyle w:val="AllowPageBreak"/>
      </w:pPr>
    </w:p>
    <w:p w:rsidR="00000000" w:rsidRPr="00CA7B27" w:rsidP="00CA7B27">
      <w:pPr>
        <w:pStyle w:val="Heading1"/>
      </w:pPr>
      <w:bookmarkStart w:id="8" w:name="O_239849"/>
      <w:bookmarkEnd w:id="8"/>
      <w:r w:rsidRPr="00CA7B2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24A3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PERFORMANCE CRITERIA</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1</w:t>
            </w:r>
          </w:p>
        </w:tc>
        <w:tc>
          <w:tcPr>
            <w:tcW w:w="2296" w:type="dxa"/>
            <w:vMerge w:val="restart"/>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Prepare worksite for loading and discharging of tanker</w:t>
            </w: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1.1</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Work instructions are received and confirmed</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1.2</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 xml:space="preserve">Relevant requirements and established procedures are followed for the work to be performed and are discussed with all persons to establish and confirm the work schedule </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1.3</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OHS, environmental and sustainable energy policies and procedures to be followed for the work to be performed are received and confirmed</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1.4</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 xml:space="preserve">Suggestions to assist with the loading and discharging of LPG by road tanker are made to others involved in the </w:t>
            </w:r>
            <w:r w:rsidRPr="00CA7B27">
              <w:t>work</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1.5</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Hazards are identified, OHS risks assessed and control measures are prioritised, implemented and monitored including emergency exits kept clear according to established procedures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1.6</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Scope of responsibility under the relevant work permit are received and confirmed according to requirements and established procedures with relevant persons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1.7</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Materials necessary to complete the work, including equipment, tools and personal protective</w:t>
            </w:r>
            <w:r w:rsidRPr="00CA7B27">
              <w:t xml:space="preserve"> equipment are obtained and in working order according to established procedures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1.8</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Relevant responsibilities associated with First Aid and other related work safety procedures at the worksite are confirmed in accordance with requirements and establish</w:t>
            </w:r>
            <w:r w:rsidRPr="00CA7B27">
              <w:t>ed procedures to ensure safety measures and followed in the instance of an incident.</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1.9</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Client issues are referred to appropriate persons in accordance with industry and community standards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1.10</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Site is prepared according to given instructions and the work schedule for a quality outcome and to minimise risk and damage to property, commerce and individuals in accordance with established procedures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2</w:t>
            </w:r>
          </w:p>
        </w:tc>
        <w:tc>
          <w:tcPr>
            <w:tcW w:w="2296"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Load tanker and discharge LPG</w:t>
            </w: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2.1</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OHS policies a</w:t>
            </w:r>
            <w:r w:rsidRPr="00CA7B27">
              <w:t>nd procedures and safe work practices are followed to eliminate or minimise incidents and hazards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2.2</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 xml:space="preserve">Lifting, climbing, working in confined spaces or aloft, and use of power tools, techniques and practices are safely followed in accordance </w:t>
            </w:r>
            <w:r w:rsidRPr="00CA7B27">
              <w:t>with given instructions and according to requirements confirmed to eliminate the prospects of incidents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2.3</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Tanker is positioned and operational knowledge for the loading and discharging of LPG by road tanker is confirmed to ensure completion in an agre</w:t>
            </w:r>
            <w:r w:rsidRPr="00CA7B27">
              <w:t>ed timeframe and to quality standards with a minimum of waste according to requirements and established procedures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2.4</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 xml:space="preserve">The loading and discharging of LPG by road tanker is carried out in accordance with given instructions and established procedures </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2.5</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Hazard warnings and safety signs are recognised and hazards and assessed OHS risks are reported to the immediate authorised persons for directions according to established procedures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2.6</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Customer requirements for non-routine events are referred to the immediate authorised persons for directions according to established procedures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2.7</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 xml:space="preserve">Apply operational knowledge of the loading of tankers and the discharge of LPG </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2.8</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Problems associat</w:t>
            </w:r>
            <w:r w:rsidRPr="00CA7B27">
              <w:t>ed with the loading and discharging of LPG by road tanker are dealt with using acquired known solutions and skills related to routine procedures to ensure work instructions and established procedures are met</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2.9</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Ongoing checks of quality of the work are undertaken in accordance with given instructions and established procedures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3</w:t>
            </w:r>
          </w:p>
        </w:tc>
        <w:tc>
          <w:tcPr>
            <w:tcW w:w="2296"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Notify completion of work</w:t>
            </w: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3.1</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Work undertaken is checked against work schedule and anomalies reported to authorised persons in accordan</w:t>
            </w:r>
            <w:r w:rsidRPr="00CA7B27">
              <w:t>ce with established procedures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3.2</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 xml:space="preserve">Accidents and incidents are actioned and reported to authorised persons in accordance with established procedures </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3.3</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Work site is rehabilitated, cleaned up and made safe in accordance with given instructions and e</w:t>
            </w:r>
            <w:r w:rsidRPr="00CA7B27">
              <w:t xml:space="preserve">stablished procedures </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3.4</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Tools, equipment and any surplus resources and materials are, where appropriate, cleaned, checked and returned to storage in accordance with established procedures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3.5</w:t>
            </w:r>
          </w:p>
        </w:tc>
        <w:tc>
          <w:tcPr>
            <w:tcW w:w="48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Appropriate persons are notified of work completion according to established procedures</w:t>
            </w:r>
          </w:p>
        </w:tc>
      </w:tr>
      <w:tr w:rsidTr="00124A3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3.6</w:t>
            </w:r>
          </w:p>
        </w:tc>
        <w:tc>
          <w:tcPr>
            <w:tcW w:w="486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t>Records are maintained and work completion records, report forms and data sheets are completed accurately in accordance with given instructions and established p</w:t>
            </w:r>
            <w:r w:rsidRPr="00CA7B27">
              <w:t>rocedures</w:t>
            </w:r>
          </w:p>
        </w:tc>
      </w:tr>
    </w:tbl>
    <w:p w:rsidR="00124A3E" w:rsidP="00CA7B27">
      <w:pPr>
        <w:pStyle w:val="BodyText"/>
      </w:pPr>
    </w:p>
    <w:p w:rsidR="00124A3E" w:rsidP="00CA7B27">
      <w:pPr>
        <w:pStyle w:val="BodyText"/>
      </w:pPr>
    </w:p>
    <w:p w:rsidR="00000000" w:rsidRPr="00CA7B27" w:rsidP="00CA7B27">
      <w:pPr>
        <w:pStyle w:val="Heading1"/>
      </w:pPr>
      <w:bookmarkStart w:id="9" w:name="O_263640"/>
      <w:bookmarkEnd w:id="9"/>
      <w:r w:rsidRPr="00CA7B27">
        <w:t>Required Skills and Knowledge</w:t>
      </w:r>
    </w:p>
    <w:tbl>
      <w:tblPr>
        <w:tblW w:w="0" w:type="auto"/>
        <w:tblLayout w:type="fixed"/>
        <w:tblCellMar>
          <w:left w:w="62" w:type="dxa"/>
          <w:right w:w="62" w:type="dxa"/>
        </w:tblCellMar>
        <w:tblLook w:val="0000"/>
      </w:tblPr>
      <w:tblGrid>
        <w:gridCol w:w="2700"/>
        <w:gridCol w:w="1080"/>
        <w:gridCol w:w="4680"/>
      </w:tblGrid>
      <w:tr w:rsidTr="00124A3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REQUIRED SKILLS AND KNOWLEDGE</w:t>
            </w:r>
          </w:p>
        </w:tc>
      </w:tr>
      <w:tr w:rsidTr="00124A3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6</w:t>
            </w:r>
            <w:r w:rsidRPr="00CA7B27">
              <w:t>) This describes the essential skills and knowledge and their level, required for this unit.</w:t>
            </w:r>
          </w:p>
        </w:tc>
      </w:tr>
      <w:tr w:rsidTr="00124A3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E</w:t>
            </w:r>
            <w:r w:rsidRPr="00CA7B27">
              <w:t>vidence shall show that knowledge has been acquired of safe working practices for loading, discharging of LPG by road tanker. The extent of the essential knowledge and associated skills (EKAS) required is given in Volume 2 - Part 2.2 EKAS.  It forms an int</w:t>
            </w:r>
            <w:r w:rsidRPr="00CA7B27">
              <w:t>egral part of this unit.</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2.1.1</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Working in the gas sector</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2.1.2</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Identify roles of statutory authorities</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2.1.3</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Identify employment roles and responsibilities</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2.1.4</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Apply relevant OHS regulations, policies and procedures</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2.1.5</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Maintain safe, clean and healthy workplace</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2.1.6</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Work safely with hazardous materials and equipment</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2.1.7</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Apply safe manual handling techniques in the workplace</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2.1.8</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Control traffic at the work site</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2.1.9</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Respond to emergency and accident situations</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2.1.10</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Apply relevant environmental legislation, regulations and codes of practice</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2.1.11</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Protect and maintain the environment</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2.1.12</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Communicate in the workplace</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2.1.13</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Communicate effectively in a team</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2.1.14</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Read and interpret workplace documents</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2.1.15</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Complete routine workplace forms, memos and reports</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2.1.16</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Identify requirements of work activity</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2.1.17</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Apply basic planning skills</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2.1.18</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Conduct tasks to complete work activity</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 1.19</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Review work activity</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 .20</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Customer relations</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2.1.21</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Problem solving</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2.1.22</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Confined spaces</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2.6.1</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Occupational Health and Safety for working with LPG</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2.6.3</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Operate equipment within its limitations</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2.6.4</w:t>
            </w:r>
          </w:p>
        </w:tc>
        <w:tc>
          <w:tcPr>
            <w:tcW w:w="46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Adhere to schedule</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G 2.6.5</w:t>
            </w:r>
          </w:p>
        </w:tc>
        <w:tc>
          <w:tcPr>
            <w:tcW w:w="468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t>Communication in an LPG environment</w:t>
            </w:r>
          </w:p>
        </w:tc>
      </w:tr>
    </w:tbl>
    <w:p w:rsidR="00124A3E" w:rsidP="00CA7B27">
      <w:pPr>
        <w:pStyle w:val="BodyText"/>
      </w:pPr>
    </w:p>
    <w:p w:rsidR="00124A3E" w:rsidP="00CA7B27">
      <w:pPr>
        <w:pStyle w:val="BodyText"/>
      </w:pPr>
    </w:p>
    <w:p w:rsidR="00000000" w:rsidRPr="00CA7B27" w:rsidP="00CA7B27">
      <w:pPr>
        <w:pStyle w:val="Heading1"/>
      </w:pPr>
      <w:bookmarkStart w:id="10" w:name="O_247832"/>
      <w:bookmarkEnd w:id="10"/>
      <w:r w:rsidRPr="00CA7B27">
        <w:t>Evidence Guide</w:t>
      </w:r>
    </w:p>
    <w:tbl>
      <w:tblPr>
        <w:tblW w:w="0" w:type="auto"/>
        <w:tblLayout w:type="fixed"/>
        <w:tblCellMar>
          <w:left w:w="62" w:type="dxa"/>
          <w:right w:w="62" w:type="dxa"/>
        </w:tblCellMar>
        <w:tblLook w:val="0000"/>
      </w:tblPr>
      <w:tblGrid>
        <w:gridCol w:w="2160"/>
        <w:gridCol w:w="6300"/>
      </w:tblGrid>
      <w:tr w:rsidTr="00124A3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EVIDENCE GUIDE</w:t>
            </w:r>
          </w:p>
        </w:tc>
      </w:tr>
      <w:tr w:rsidTr="00124A3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8</w:t>
            </w:r>
            <w:r w:rsidRPr="00CA7B27">
              <w:t xml:space="preserve">) </w:t>
            </w:r>
          </w:p>
          <w:p w:rsidR="00000000" w:rsidP="00CA7B27">
            <w:pPr>
              <w:pStyle w:val="BodyText"/>
              <w:rPr>
                <w:lang w:val="en-NZ"/>
              </w:rPr>
            </w:pPr>
            <w:r w:rsidRPr="00CA7B27">
              <w:t>The Evidence Guide forms an integral part of this Competency Standard Unit and shall be used in conjunction with all components parts of this unit and performed in accordance with the Assessment Guidelines of this Training Package.</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8</w:t>
            </w:r>
            <w:r w:rsidRPr="00CA7B27">
              <w:t>.</w:t>
            </w:r>
            <w:r w:rsidRPr="00CA7B27">
              <w:rPr>
                <w:rStyle w:val="SpecialBold"/>
              </w:rPr>
              <w:t>1</w:t>
            </w:r>
            <w:r w:rsidRPr="00CA7B27">
              <w:t xml:space="preserve">) </w:t>
            </w:r>
          </w:p>
          <w:p w:rsidR="00000000" w:rsidRPr="00CA7B27" w:rsidP="00CA7B27">
            <w:pPr>
              <w:pStyle w:val="BodyText"/>
            </w:pPr>
            <w:r w:rsidRPr="00CA7B27">
              <w:t>Longitudinal competency development approaches to assessment, such as Profiling, require data to be reliably gathered in a form that can be consistently interpreted over time. This approach is best utilised in Apprenticeship programs and reduces ass</w:t>
            </w:r>
            <w:r w:rsidRPr="00CA7B27">
              <w:t>essment intervention. It is the Industry's preferred model for apprenticeships. However, where summative (or final) assessment is used it is to include the application of the competency in the normal work environment or, at a minimum, the application of th</w:t>
            </w:r>
            <w:r w:rsidRPr="00CA7B27">
              <w:t>e competency in a realistically simulated work environment. It is recognised that, in some circumstances, assessment in part or full can occur outside the workplace. However, it must be in accord with Industry and Regulatory policy in this regard.</w:t>
            </w:r>
          </w:p>
          <w:p w:rsidR="00000000" w:rsidRPr="00CA7B27" w:rsidP="00CA7B27">
            <w:pPr>
              <w:pStyle w:val="BodyText"/>
            </w:pPr>
            <w:r w:rsidRPr="00CA7B27">
              <w:t xml:space="preserve">Methods </w:t>
            </w:r>
            <w:r w:rsidRPr="00CA7B27">
              <w:t>chosen for a particular assessment will be influenced by various factors. These include the extent of the assessment, the most effective locations for the assessment activities to take place, access to physical resources, additional safety measures that ma</w:t>
            </w:r>
            <w:r w:rsidRPr="00CA7B27">
              <w:t>y be required and the critical nature of the competencies being assessed.</w:t>
            </w:r>
          </w:p>
          <w:p w:rsidR="00000000" w:rsidRPr="00CA7B27" w:rsidP="00CA7B27">
            <w:pPr>
              <w:pStyle w:val="BodyText"/>
            </w:pPr>
            <w:r w:rsidRPr="00CA7B27">
              <w:t>The critical safety nature of working with electricity, electrical equipment, gas or any other hazardous substance/material carries risk in deeming a person competent. Hence, sources</w:t>
            </w:r>
            <w:r w:rsidRPr="00CA7B27">
              <w:t xml:space="preserve"> of evidence need to be 'rich' in nature so as to minimise error in judgment.</w:t>
            </w:r>
          </w:p>
          <w:p w:rsidR="00000000" w:rsidP="00CA7B27">
            <w:pPr>
              <w:pStyle w:val="BodyText"/>
              <w:rPr>
                <w:lang w:val="en-NZ"/>
              </w:rPr>
            </w:pPr>
            <w:r w:rsidRPr="00CA7B27">
              <w:t>Activities associated with normal every day work have a bearing on the decision as to how much and how detailed the data gathered will contribute to its 'richness'. Some skills a</w:t>
            </w:r>
            <w:r w:rsidRPr="00CA7B27">
              <w:t>re more critical to safety and operational requirements while the same skills may be more or less frequently practiced. These points are raised for the assessors to consider when choosing an assessment method and developing assessment instruments. Sample a</w:t>
            </w:r>
            <w:r w:rsidRPr="00CA7B27">
              <w:t>ssessment instruments are included for Assessors in the Assessment Guidelines of this Training Package.</w:t>
            </w:r>
          </w:p>
        </w:tc>
      </w:tr>
      <w:tr w:rsidTr="00124A3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8</w:t>
            </w:r>
            <w:r w:rsidRPr="00CA7B27">
              <w:t>.</w:t>
            </w:r>
            <w:r w:rsidRPr="00CA7B27">
              <w:rPr>
                <w:rStyle w:val="SpecialBold"/>
              </w:rPr>
              <w:t>2</w:t>
            </w:r>
            <w:r w:rsidRPr="00CA7B27">
              <w:t xml:space="preserve">) </w:t>
            </w:r>
          </w:p>
          <w:p w:rsidR="00000000" w:rsidP="00CA7B27">
            <w:pPr>
              <w:pStyle w:val="BodyText"/>
              <w:rPr>
                <w:lang w:val="en-NZ"/>
              </w:rPr>
            </w:pPr>
            <w:r w:rsidRPr="00CA7B27">
              <w:t>Bef</w:t>
            </w:r>
            <w:r w:rsidRPr="00CA7B27">
              <w:t>ore the critical aspects of evidence are considered all prerequisites shall be met.</w:t>
            </w:r>
          </w:p>
        </w:tc>
      </w:tr>
      <w:tr w:rsidTr="00124A3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t>Evidence for competence in this unit shall be considered holistically. Each element and associated Performance Criteria shall be demonstrated on at least two occasions in</w:t>
            </w:r>
            <w:r w:rsidRPr="00CA7B27">
              <w:t xml:space="preserve"> accordance with the 'Assessment Guidelines   UEG06'. Evidence shall also comprise:</w:t>
            </w:r>
          </w:p>
          <w:p w:rsidR="00000000" w:rsidP="00CA7B27">
            <w:pPr>
              <w:pStyle w:val="ListBullet"/>
              <w:rPr>
                <w:lang w:val="en-NZ"/>
              </w:rPr>
            </w:pPr>
            <w:r w:rsidRPr="00CA7B27">
              <w:t>A representative body of Performance Criteria demonstrated within the timeframes typically expected of the discipline, work function and industrial environment. In particu</w:t>
            </w:r>
            <w:r w:rsidRPr="00CA7B27">
              <w:t>lar this shall incorporate evidence that shows a candidate is able to:</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A7B27" w:rsidP="00CA7B27">
            <w:pPr>
              <w:pStyle w:val="ListBullet2"/>
            </w:pPr>
            <w:r w:rsidRPr="00CA7B27">
              <w:t>Implement Occupational Health and Safety workplace procedures and practices including the use of risk control measures as specified in the Performance Criteria and range</w:t>
            </w:r>
          </w:p>
          <w:p w:rsidR="00000000" w:rsidRPr="00CA7B27" w:rsidP="00CA7B27">
            <w:pPr>
              <w:pStyle w:val="ListBullet2"/>
            </w:pPr>
            <w:r w:rsidRPr="00CA7B27">
              <w:t>Apply sustainable energy principles and practices as specified in the Performance Criteria and range</w:t>
            </w:r>
          </w:p>
          <w:p w:rsidR="00000000" w:rsidRPr="00CA7B27" w:rsidP="00CA7B27">
            <w:pPr>
              <w:pStyle w:val="ListBullet2"/>
            </w:pPr>
            <w:r w:rsidRPr="00CA7B27">
              <w:t>Demonstrate an understanding of the essential knowledge and associated skills as described in this unit to such an extent that the learner's performance ou</w:t>
            </w:r>
            <w:r w:rsidRPr="00CA7B27">
              <w:t>tcome is reported in accordance with the preferred approach; namely a percentile graded result, where required by the regulated environment</w:t>
            </w:r>
          </w:p>
          <w:p w:rsidR="00000000" w:rsidRPr="00CA7B27" w:rsidP="00CA7B27">
            <w:pPr>
              <w:pStyle w:val="ListBullet2"/>
            </w:pPr>
            <w:r w:rsidRPr="00CA7B27">
              <w:t>Demonstrate an appropriate level of skills enabling employment</w:t>
            </w:r>
          </w:p>
          <w:p w:rsidR="00000000" w:rsidP="00CA7B27">
            <w:pPr>
              <w:pStyle w:val="ListBullet2"/>
              <w:rPr>
                <w:lang w:val="en-NZ"/>
              </w:rPr>
            </w:pPr>
            <w:r w:rsidRPr="00CA7B27">
              <w:t>Conduct work observing the relevant Anti discriminati</w:t>
            </w:r>
            <w:r w:rsidRPr="00CA7B27">
              <w:t>on legislation, regulations, polices and workplace procedures</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CA7B27" w:rsidP="00CA7B27">
            <w:pPr>
              <w:pStyle w:val="ListBullet2"/>
            </w:pPr>
            <w:r w:rsidRPr="00CA7B27">
              <w:t>Demonstrate performance across a representative range of contexts from the prescribed items below.</w:t>
            </w:r>
          </w:p>
        </w:tc>
      </w:tr>
    </w:tbl>
    <w:p w:rsidR="00000000" w:rsidRPr="00CA7B27" w:rsidP="00CA7B27">
      <w:pPr>
        <w:pStyle w:val="BodyText"/>
      </w:pPr>
    </w:p>
    <w:p w:rsidR="00000000" w:rsidRPr="00CA7B27" w:rsidP="00CA7B27">
      <w:pPr>
        <w:pStyle w:val="BodyText"/>
      </w:pPr>
    </w:p>
    <w:tbl>
      <w:tblPr>
        <w:tblW w:w="0" w:type="auto"/>
        <w:tblLayout w:type="fixed"/>
        <w:tblCellMar>
          <w:left w:w="62" w:type="dxa"/>
          <w:right w:w="62" w:type="dxa"/>
        </w:tblCellMar>
        <w:tblLook w:val="0000"/>
      </w:tblPr>
      <w:tblGrid>
        <w:gridCol w:w="2160"/>
        <w:gridCol w:w="360"/>
        <w:gridCol w:w="1080"/>
        <w:gridCol w:w="1980"/>
        <w:gridCol w:w="2880"/>
      </w:tblGrid>
      <w:tr w:rsidTr="00124A3E">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A7B27">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rPr>
                <w:rStyle w:val="SpecialBold"/>
              </w:rPr>
              <w:t>Range of tools</w:t>
            </w:r>
            <w:r w:rsidRPr="00CA7B27">
              <w:t>/</w:t>
            </w:r>
            <w:r w:rsidRPr="00CA7B27">
              <w:rPr>
                <w:rStyle w:val="SpecialBold"/>
              </w:rPr>
              <w:t>equipment</w:t>
            </w:r>
            <w:r w:rsidRPr="00CA7B27">
              <w:t>/</w:t>
            </w:r>
            <w:r w:rsidRPr="00CA7B27">
              <w:rPr>
                <w:rStyle w:val="SpecialBold"/>
              </w:rPr>
              <w:t>materials</w:t>
            </w:r>
            <w:r w:rsidRPr="00CA7B27">
              <w:t>/</w:t>
            </w:r>
            <w:r w:rsidRPr="00CA7B27">
              <w:rPr>
                <w:rStyle w:val="SpecialBold"/>
              </w:rPr>
              <w:t>procedures</w:t>
            </w:r>
            <w:r w:rsidRPr="00CA7B27">
              <w:t>/</w:t>
            </w:r>
            <w:r w:rsidRPr="00CA7B27">
              <w:br/>
            </w:r>
            <w:r w:rsidRPr="00CA7B27">
              <w:rPr>
                <w:rStyle w:val="SpecialBold"/>
              </w:rPr>
              <w:t>workplaces</w:t>
            </w:r>
            <w:r w:rsidRPr="00CA7B27">
              <w:t>/</w:t>
            </w:r>
            <w:r w:rsidRPr="00CA7B27">
              <w:rPr>
                <w:rStyle w:val="SpecialBold"/>
              </w:rPr>
              <w:t>other variables</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A7B27">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r w:rsidRPr="00CA7B27">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r w:rsidRPr="00CA7B27">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rPr>
                <w:rStyle w:val="SpecialBold"/>
              </w:rPr>
              <w:t>Item List</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r w:rsidRPr="00CA7B27">
              <w:t>Pipes</w:t>
            </w:r>
          </w:p>
          <w:p w:rsidR="00000000" w:rsidRPr="00CA7B27" w:rsidP="00CA7B27">
            <w:pPr>
              <w:pStyle w:val="BodyText"/>
            </w:pPr>
            <w:r w:rsidRPr="00CA7B27">
              <w:t>Hoses</w:t>
            </w:r>
          </w:p>
          <w:p w:rsidR="00000000" w:rsidRPr="00CA7B27" w:rsidP="00CA7B27">
            <w:pPr>
              <w:pStyle w:val="BodyText"/>
            </w:pPr>
            <w:r w:rsidRPr="00CA7B27">
              <w:t>Valves and gauges</w:t>
            </w:r>
          </w:p>
          <w:p w:rsidR="00000000" w:rsidP="00CA7B27">
            <w:pPr>
              <w:pStyle w:val="BodyText"/>
              <w:rPr>
                <w:lang w:val="en-NZ"/>
              </w:rPr>
            </w:pPr>
            <w:r w:rsidRPr="00CA7B27">
              <w:t>Operate other associated equipment within its limitations and to requirements</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At least 7</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r w:rsidRPr="00CA7B27">
              <w:t>Take into account:</w:t>
            </w:r>
          </w:p>
          <w:p w:rsidR="00000000" w:rsidRPr="00CA7B27" w:rsidP="00CA7B27">
            <w:pPr>
              <w:pStyle w:val="BodyText"/>
            </w:pPr>
            <w:r w:rsidRPr="00CA7B27">
              <w:t>Curfews</w:t>
            </w:r>
          </w:p>
          <w:p w:rsidR="00000000" w:rsidRPr="00CA7B27" w:rsidP="00CA7B27">
            <w:pPr>
              <w:pStyle w:val="BodyText"/>
            </w:pPr>
            <w:r w:rsidRPr="00CA7B27">
              <w:t>Number of customers</w:t>
            </w:r>
          </w:p>
          <w:p w:rsidR="00000000" w:rsidRPr="00CA7B27" w:rsidP="00CA7B27">
            <w:pPr>
              <w:pStyle w:val="BodyText"/>
            </w:pPr>
            <w:r w:rsidRPr="00CA7B27">
              <w:t>Volume of LPG to be delivered</w:t>
            </w:r>
          </w:p>
          <w:p w:rsidR="00000000" w:rsidRPr="00CA7B27" w:rsidP="00CA7B27">
            <w:pPr>
              <w:pStyle w:val="BodyText"/>
            </w:pPr>
            <w:r w:rsidRPr="00CA7B27">
              <w:t>Duration of shift</w:t>
            </w:r>
          </w:p>
          <w:p w:rsidR="00000000" w:rsidRPr="00CA7B27" w:rsidP="00CA7B27">
            <w:pPr>
              <w:pStyle w:val="BodyText"/>
            </w:pPr>
            <w:r w:rsidRPr="00CA7B27">
              <w:t>Distance to be travelled</w:t>
            </w:r>
          </w:p>
          <w:p w:rsidR="00000000" w:rsidRPr="00CA7B27" w:rsidP="00CA7B27">
            <w:pPr>
              <w:pStyle w:val="BodyText"/>
            </w:pPr>
            <w:r w:rsidRPr="00CA7B27">
              <w:t>Equipment type</w:t>
            </w:r>
          </w:p>
          <w:p w:rsidR="00000000" w:rsidRPr="00CA7B27" w:rsidP="00CA7B27">
            <w:pPr>
              <w:pStyle w:val="BodyText"/>
            </w:pPr>
            <w:r w:rsidRPr="00CA7B27">
              <w:t>Site access</w:t>
            </w:r>
          </w:p>
          <w:p w:rsidR="00000000" w:rsidRPr="00CA7B27" w:rsidP="00CA7B27">
            <w:pPr>
              <w:pStyle w:val="BodyText"/>
            </w:pPr>
            <w:r w:rsidRPr="00CA7B27">
              <w:t>Weather conditions</w:t>
            </w:r>
          </w:p>
          <w:p w:rsidR="00000000" w:rsidRPr="00CA7B27" w:rsidP="00CA7B27">
            <w:pPr>
              <w:pStyle w:val="BodyText"/>
            </w:pPr>
            <w:r w:rsidRPr="00CA7B27">
              <w:t>Delivery area is checked for ignition sources and other hazards</w:t>
            </w:r>
          </w:p>
          <w:p w:rsidR="00000000" w:rsidP="00CA7B27">
            <w:pPr>
              <w:pStyle w:val="BodyText"/>
              <w:rPr>
                <w:lang w:val="en-NZ"/>
              </w:rPr>
            </w:pPr>
            <w:r w:rsidRPr="00CA7B27">
              <w:t>Local environment</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C</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r w:rsidRPr="00CA7B27">
              <w:t>Standard Operating Procedures</w:t>
            </w:r>
          </w:p>
          <w:p w:rsidR="00000000" w:rsidRPr="00CA7B27" w:rsidP="00CA7B27">
            <w:pPr>
              <w:pStyle w:val="BodyText"/>
            </w:pPr>
            <w:r w:rsidRPr="00CA7B27">
              <w:t xml:space="preserve">Australian </w:t>
            </w:r>
            <w:r w:rsidRPr="00CA7B27">
              <w:t xml:space="preserve">Dangerous Goods Code </w:t>
            </w:r>
          </w:p>
          <w:p w:rsidR="00000000" w:rsidRPr="00CA7B27" w:rsidP="00CA7B27">
            <w:pPr>
              <w:pStyle w:val="BodyText"/>
            </w:pPr>
            <w:r w:rsidRPr="00CA7B27">
              <w:t>Emergency procedures and response action</w:t>
            </w:r>
          </w:p>
          <w:p w:rsidR="00000000" w:rsidRPr="00CA7B27" w:rsidP="00CA7B27">
            <w:pPr>
              <w:pStyle w:val="BodyText"/>
            </w:pPr>
            <w:r w:rsidRPr="00CA7B27">
              <w:t>AS1596 or replacement</w:t>
            </w:r>
          </w:p>
          <w:p w:rsidR="00000000" w:rsidRPr="00CA7B27" w:rsidP="00CA7B27">
            <w:pPr>
              <w:pStyle w:val="BodyText"/>
            </w:pPr>
            <w:r w:rsidRPr="00CA7B27">
              <w:t>Working knowledge of AS 2865</w:t>
            </w:r>
          </w:p>
          <w:p w:rsidR="00000000" w:rsidP="00CA7B27">
            <w:pPr>
              <w:pStyle w:val="BodyText"/>
              <w:rPr>
                <w:lang w:val="en-NZ"/>
              </w:rPr>
            </w:pPr>
            <w:r w:rsidRPr="00CA7B27">
              <w:t>State Regulations/Statutes/Permits</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D</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r w:rsidRPr="00CA7B27">
              <w:t>Work utilising relevant OHS legislation, regulations, codes of practice, policies and procedures</w:t>
            </w:r>
          </w:p>
          <w:p w:rsidR="00000000" w:rsidRPr="00CA7B27" w:rsidP="00CA7B27">
            <w:pPr>
              <w:pStyle w:val="BodyText"/>
            </w:pPr>
            <w:r w:rsidRPr="00CA7B27">
              <w:t>M</w:t>
            </w:r>
            <w:r w:rsidRPr="00CA7B27">
              <w:t>aintain a safe and clean workplace</w:t>
            </w:r>
          </w:p>
          <w:p w:rsidR="00000000" w:rsidRPr="00CA7B27" w:rsidP="00CA7B27">
            <w:pPr>
              <w:pStyle w:val="BodyText"/>
            </w:pPr>
            <w:r w:rsidRPr="00CA7B27">
              <w:t>Work safely with hazardous materials and equipment</w:t>
            </w:r>
          </w:p>
          <w:p w:rsidR="00000000" w:rsidRPr="00CA7B27" w:rsidP="00CA7B27">
            <w:pPr>
              <w:pStyle w:val="BodyText"/>
            </w:pPr>
            <w:r w:rsidRPr="00CA7B27">
              <w:t>Job safety analysis</w:t>
            </w:r>
          </w:p>
          <w:p w:rsidR="00000000" w:rsidRPr="00CA7B27" w:rsidP="00CA7B27">
            <w:pPr>
              <w:pStyle w:val="BodyText"/>
            </w:pPr>
            <w:r w:rsidRPr="00CA7B27">
              <w:t>Apply safe manual handling techniques</w:t>
            </w:r>
          </w:p>
          <w:p w:rsidR="00000000" w:rsidRPr="00CA7B27" w:rsidP="00CA7B27">
            <w:pPr>
              <w:pStyle w:val="BodyText"/>
            </w:pPr>
            <w:r w:rsidRPr="00CA7B27">
              <w:t>Respond to emergency situations</w:t>
            </w:r>
          </w:p>
          <w:p w:rsidR="00000000" w:rsidRPr="00CA7B27" w:rsidP="00CA7B27">
            <w:pPr>
              <w:pStyle w:val="BodyText"/>
            </w:pPr>
            <w:r w:rsidRPr="00CA7B27">
              <w:t>Communicate effectively in the workplace</w:t>
            </w:r>
          </w:p>
          <w:p w:rsidR="00000000" w:rsidP="00CA7B27">
            <w:pPr>
              <w:pStyle w:val="BodyText"/>
              <w:rPr>
                <w:lang w:val="en-NZ"/>
              </w:rPr>
            </w:pPr>
            <w:r w:rsidRPr="00CA7B27">
              <w:t>Apply basic planning and job completion skills</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Deal with an unplanned event by drawing on essential knowledge and associated skills to provide appropriate solutions incorporated in the holistic assessment with the above listed it</w:t>
            </w:r>
            <w:r w:rsidRPr="00CA7B27">
              <w:t xml:space="preserve">ems </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8</w:t>
            </w:r>
            <w:r w:rsidRPr="00CA7B27">
              <w:t>.</w:t>
            </w:r>
            <w:r w:rsidRPr="00CA7B27">
              <w:rPr>
                <w:rStyle w:val="SpecialBold"/>
              </w:rPr>
              <w:t>3</w:t>
            </w:r>
            <w:r w:rsidRPr="00CA7B27">
              <w:t xml:space="preserve">) </w:t>
            </w:r>
          </w:p>
          <w:p w:rsidR="00000000" w:rsidRPr="00CA7B27" w:rsidP="00CA7B27">
            <w:pPr>
              <w:pStyle w:val="BodyText"/>
            </w:pPr>
            <w:r w:rsidRPr="00CA7B27">
              <w:t>This unit should be assessed as it relates to normal work practice using procedures, information and resources typical of a workplace. This should include:</w:t>
            </w:r>
          </w:p>
          <w:p w:rsidR="00000000" w:rsidRPr="00CA7B27" w:rsidP="00CA7B27">
            <w:pPr>
              <w:pStyle w:val="ListBullet"/>
            </w:pPr>
            <w:r w:rsidRPr="00CA7B27">
              <w:t>OHS policy and work procedures and ins</w:t>
            </w:r>
            <w:r w:rsidRPr="00CA7B27">
              <w:t>tructions.</w:t>
            </w:r>
          </w:p>
          <w:p w:rsidR="00000000" w:rsidRPr="00CA7B27" w:rsidP="00CA7B27">
            <w:pPr>
              <w:pStyle w:val="ListBullet"/>
            </w:pPr>
            <w:r w:rsidRPr="00CA7B27">
              <w:t>Suitable work environment, facilities, equipment and materials to undertake actual work as prescribed by this Competency Standard Unit.</w:t>
            </w:r>
          </w:p>
          <w:p w:rsidR="00000000" w:rsidRPr="00CA7B27" w:rsidP="00CA7B27">
            <w:pPr>
              <w:pStyle w:val="ListBullet"/>
            </w:pPr>
            <w:r w:rsidRPr="00CA7B27">
              <w:t>Appropriate environmental regulation and work practices.</w:t>
            </w:r>
          </w:p>
          <w:p w:rsidR="00000000" w:rsidRPr="00CA7B27" w:rsidP="00CA7B27">
            <w:pPr>
              <w:pStyle w:val="ListBullet"/>
            </w:pPr>
            <w:r w:rsidRPr="00CA7B27">
              <w:t>Appropriate organisational requirements.</w:t>
            </w:r>
          </w:p>
          <w:p w:rsidR="00000000" w:rsidP="00CA7B27">
            <w:pPr>
              <w:pStyle w:val="ListBullet"/>
              <w:rPr>
                <w:lang w:val="en-NZ"/>
              </w:rPr>
            </w:pPr>
            <w:r w:rsidRPr="00CA7B27">
              <w:t>Appropriate work environment, equipment and tools.</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In addition to the resources listed above, in Context of and specific resources for assessment, evidence should show demonstrated competency in loading, discharging LPG by road tanker.</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Assessment of this competency must also be undertaken in either an actual workplace or under a simulated work environment. Assessment must also integrate the Key Competencies.</w:t>
            </w:r>
          </w:p>
        </w:tc>
      </w:tr>
      <w:tr w:rsidTr="00124A3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8</w:t>
            </w:r>
            <w:r w:rsidRPr="00CA7B27">
              <w:t>.</w:t>
            </w:r>
            <w:r w:rsidRPr="00CA7B27">
              <w:rPr>
                <w:rStyle w:val="SpecialBold"/>
              </w:rPr>
              <w:t>4</w:t>
            </w:r>
            <w:r w:rsidRPr="00CA7B27">
              <w:t xml:space="preserve">) </w:t>
            </w:r>
          </w:p>
          <w:p w:rsidR="00000000" w:rsidRPr="00CA7B27" w:rsidP="00CA7B27">
            <w:pPr>
              <w:pStyle w:val="BodyText"/>
            </w:pPr>
            <w:r w:rsidRPr="00CA7B27">
              <w:t>This Competency Standard Unit shall be assessed b</w:t>
            </w:r>
            <w:r w:rsidRPr="00CA7B27">
              <w:t>y methods given in Volume 1, Part 3 'Assessment Guidelines'.</w:t>
            </w:r>
          </w:p>
          <w:p w:rsidR="00000000" w:rsidRPr="00CA7B27" w:rsidP="00CA7B27">
            <w:pPr>
              <w:pStyle w:val="BodyText"/>
            </w:pPr>
            <w:r w:rsidRPr="00CA7B27">
              <w:t>Note:</w:t>
            </w:r>
            <w:r w:rsidRPr="00CA7B27">
              <w:br/>
              <w:t>Competent performance with inherent safe working practices is expected in the Industry to which this Competency Standard Unit applies. This requires that the specified Essential Knowledge a</w:t>
            </w:r>
            <w:r w:rsidRPr="00CA7B27">
              <w:t xml:space="preserve">nd Associated Skills are assessed in a structured environment which is primarily intended for learning/assessment and incorporates all necessary equipment and facilities for learners to develop and demonstrate the essential knowledge and associated skills </w:t>
            </w:r>
            <w:r w:rsidRPr="00CA7B27">
              <w:t>described in this unit.</w:t>
            </w:r>
          </w:p>
        </w:tc>
      </w:tr>
    </w:tbl>
    <w:p w:rsidR="00000000" w:rsidRPr="00CA7B27" w:rsidP="00CA7B27">
      <w:pPr>
        <w:pStyle w:val="BodyText"/>
      </w:pPr>
    </w:p>
    <w:p w:rsidR="00000000" w:rsidRPr="00CA7B27" w:rsidP="00CA7B27">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124A3E">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8</w:t>
            </w:r>
            <w:r w:rsidRPr="00CA7B27">
              <w:t>.</w:t>
            </w:r>
            <w:r w:rsidRPr="00CA7B27">
              <w:rPr>
                <w:rStyle w:val="SpecialBold"/>
              </w:rPr>
              <w:t>5</w:t>
            </w:r>
            <w:r w:rsidRPr="00CA7B27">
              <w:t xml:space="preserve">) </w:t>
            </w:r>
          </w:p>
        </w:tc>
      </w:tr>
      <w:tr w:rsidTr="00124A3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There are no recommended concurrent assessments with this unit, however in some cases efficiencies may be gained in terms of learning and assessment ef</w:t>
            </w:r>
            <w:r w:rsidRPr="00CA7B27">
              <w:t>fort being concurrently managed with allied Competency Standard Units where listed.</w:t>
            </w:r>
          </w:p>
        </w:tc>
      </w:tr>
      <w:tr w:rsidTr="00124A3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UEGNSG102A</w:t>
            </w:r>
          </w:p>
        </w:tc>
        <w:tc>
          <w:tcPr>
            <w:tcW w:w="4680" w:type="dxa"/>
            <w:gridSpan w:val="2"/>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Carry out work activities in a utilities industry work environment</w:t>
            </w:r>
          </w:p>
        </w:tc>
      </w:tr>
      <w:tr w:rsidTr="00124A3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UEGNSG103A</w:t>
            </w:r>
          </w:p>
        </w:tc>
        <w:tc>
          <w:tcPr>
            <w:tcW w:w="4680" w:type="dxa"/>
            <w:gridSpan w:val="2"/>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 xml:space="preserve">Comply with workplace OHS procedures and practices </w:t>
            </w:r>
          </w:p>
        </w:tc>
      </w:tr>
      <w:tr w:rsidTr="00124A3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UEGNSG104A</w:t>
            </w:r>
          </w:p>
        </w:tc>
        <w:tc>
          <w:tcPr>
            <w:tcW w:w="4680" w:type="dxa"/>
            <w:gridSpan w:val="2"/>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Comply with environmental policies and procedures</w:t>
            </w:r>
          </w:p>
        </w:tc>
      </w:tr>
      <w:tr w:rsidTr="00124A3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UEGNSG105A</w:t>
            </w:r>
          </w:p>
        </w:tc>
        <w:tc>
          <w:tcPr>
            <w:tcW w:w="4680" w:type="dxa"/>
            <w:gridSpan w:val="2"/>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Establish the work site</w:t>
            </w:r>
          </w:p>
        </w:tc>
      </w:tr>
      <w:tr w:rsidTr="00124A3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CA7B27" w:rsidP="00CA7B27">
            <w:pPr>
              <w:pStyle w:val="BodyText"/>
            </w:pPr>
            <w:r w:rsidRPr="00CA7B27">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8</w:t>
            </w:r>
            <w:r w:rsidRPr="00CA7B27">
              <w:t>.</w:t>
            </w:r>
            <w:r w:rsidRPr="00CA7B27">
              <w:rPr>
                <w:rStyle w:val="SpecialBold"/>
              </w:rPr>
              <w:t>6</w:t>
            </w:r>
            <w:r w:rsidRPr="00CA7B27">
              <w:t xml:space="preserve">) </w:t>
            </w:r>
          </w:p>
          <w:p w:rsidR="00000000" w:rsidP="00CA7B27">
            <w:pPr>
              <w:pStyle w:val="BodyText"/>
              <w:rPr>
                <w:lang w:val="en-NZ"/>
              </w:rPr>
            </w:pPr>
            <w:r w:rsidRPr="00CA7B27">
              <w:t xml:space="preserve">Evidence that particular Key Competencies </w:t>
            </w:r>
            <w:r w:rsidRPr="00CA7B27">
              <w:t>have been achieved within this Competency Standard Unit is in the context of the following Performance Criteria of evidence. See Volume 2, Part 4 for an explanation of Key Competencies and levels of this Training Package.</w:t>
            </w:r>
          </w:p>
        </w:tc>
      </w:tr>
      <w:tr w:rsidTr="00124A3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r w:rsidRPr="00CA7B27">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r w:rsidRPr="00CA7B2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rPr>
                <w:rStyle w:val="SpecialBold"/>
              </w:rPr>
              <w:t>Performance Level</w:t>
            </w:r>
          </w:p>
        </w:tc>
      </w:tr>
      <w:tr w:rsidTr="00124A3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p>
          <w:p w:rsidR="00000000" w:rsidP="00CA7B27">
            <w:pPr>
              <w:pStyle w:val="BodyText"/>
              <w:rPr>
                <w:lang w:val="en-NZ"/>
              </w:rPr>
            </w:pPr>
            <w:r w:rsidRPr="00CA7B27">
              <w:t>2</w:t>
            </w:r>
          </w:p>
        </w:tc>
      </w:tr>
      <w:tr w:rsidTr="00124A3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1.4;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p>
        </w:tc>
      </w:tr>
      <w:tr w:rsidTr="00124A3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p>
          <w:p w:rsidR="00000000" w:rsidP="00CA7B27">
            <w:pPr>
              <w:pStyle w:val="BodyText"/>
              <w:rPr>
                <w:lang w:val="en-NZ"/>
              </w:rPr>
            </w:pPr>
            <w:r w:rsidRPr="00CA7B27">
              <w:t>1</w:t>
            </w:r>
          </w:p>
        </w:tc>
      </w:tr>
      <w:tr w:rsidTr="00124A3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1.5; 2.5;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p>
        </w:tc>
      </w:tr>
      <w:tr w:rsidTr="00124A3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p>
          <w:p w:rsidR="00000000" w:rsidP="00CA7B27">
            <w:pPr>
              <w:pStyle w:val="BodyText"/>
              <w:rPr>
                <w:lang w:val="en-NZ"/>
              </w:rPr>
            </w:pPr>
            <w:r w:rsidRPr="00CA7B27">
              <w:t>2</w:t>
            </w:r>
          </w:p>
        </w:tc>
      </w:tr>
      <w:tr w:rsidTr="00124A3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p>
        </w:tc>
      </w:tr>
      <w:tr w:rsidTr="00124A3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p>
          <w:p w:rsidR="00000000" w:rsidP="00CA7B27">
            <w:pPr>
              <w:pStyle w:val="BodyText"/>
              <w:rPr>
                <w:lang w:val="en-NZ"/>
              </w:rPr>
            </w:pPr>
            <w:r w:rsidRPr="00CA7B27">
              <w:t>1</w:t>
            </w:r>
          </w:p>
        </w:tc>
      </w:tr>
      <w:tr w:rsidTr="00124A3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p>
        </w:tc>
      </w:tr>
      <w:tr w:rsidTr="00124A3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How are mathematical ideas and techniques used?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p>
          <w:p w:rsidR="00000000" w:rsidP="00CA7B27">
            <w:pPr>
              <w:pStyle w:val="BodyText"/>
              <w:rPr>
                <w:lang w:val="en-NZ"/>
              </w:rPr>
            </w:pPr>
            <w:r w:rsidRPr="00CA7B27">
              <w:t>N/A</w:t>
            </w:r>
          </w:p>
        </w:tc>
      </w:tr>
      <w:tr w:rsidTr="00124A3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p>
        </w:tc>
      </w:tr>
      <w:tr w:rsidTr="00124A3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p>
          <w:p w:rsidR="00000000" w:rsidP="00CA7B27">
            <w:pPr>
              <w:pStyle w:val="BodyText"/>
              <w:rPr>
                <w:lang w:val="en-NZ"/>
              </w:rPr>
            </w:pPr>
            <w:r w:rsidRPr="00CA7B27">
              <w:t>N/A</w:t>
            </w:r>
          </w:p>
        </w:tc>
      </w:tr>
      <w:tr w:rsidTr="00124A3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p>
        </w:tc>
      </w:tr>
      <w:tr w:rsidTr="00124A3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p>
          <w:p w:rsidR="00000000" w:rsidP="00CA7B27">
            <w:pPr>
              <w:pStyle w:val="BodyText"/>
              <w:rPr>
                <w:lang w:val="en-NZ"/>
              </w:rPr>
            </w:pPr>
            <w:r w:rsidRPr="00CA7B27">
              <w:t>N/A</w:t>
            </w:r>
          </w:p>
        </w:tc>
      </w:tr>
      <w:tr w:rsidTr="00124A3E">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24A3E">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CA7B27" w:rsidP="00CA7B27">
            <w:pPr>
              <w:pStyle w:val="BodyText"/>
            </w:pPr>
            <w:r w:rsidRPr="00CA7B27">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CA7B27" w:rsidP="00CA7B27">
            <w:pPr>
              <w:pStyle w:val="BodyText"/>
            </w:pPr>
            <w:r w:rsidRPr="00CA7B27">
              <w:rPr>
                <w:rStyle w:val="SpecialBold"/>
              </w:rPr>
              <w:t>8</w:t>
            </w:r>
            <w:r w:rsidRPr="00CA7B27">
              <w:t>.</w:t>
            </w:r>
            <w:r w:rsidRPr="00CA7B27">
              <w:rPr>
                <w:rStyle w:val="SpecialBold"/>
              </w:rPr>
              <w:t>7</w:t>
            </w:r>
            <w:r w:rsidRPr="00CA7B27">
              <w:t xml:space="preserve">) </w:t>
            </w:r>
          </w:p>
          <w:p w:rsidR="00000000" w:rsidP="00CA7B27">
            <w:pPr>
              <w:pStyle w:val="BodyText"/>
              <w:rPr>
                <w:lang w:val="en-NZ"/>
              </w:rPr>
            </w:pPr>
            <w:r w:rsidRPr="00CA7B27">
              <w:t>Evidence that competency in this unit incorporates skills enabling emp</w:t>
            </w:r>
            <w:r w:rsidRPr="00CA7B27">
              <w:t xml:space="preserve">loyment is in the context of the following performance. See Volume 2, Part 5 for definitions and an explanation of skills enabling employment. </w:t>
            </w:r>
          </w:p>
        </w:tc>
      </w:tr>
      <w:tr w:rsidTr="00124A3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r w:rsidRPr="00CA7B27">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rPr>
                <w:rStyle w:val="SpecialBold"/>
              </w:rPr>
              <w:t>Example of Application</w:t>
            </w:r>
          </w:p>
        </w:tc>
      </w:tr>
      <w:tr w:rsidTr="00124A3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r>
      <w:tr w:rsidTr="00124A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All</w:t>
            </w:r>
          </w:p>
        </w:tc>
      </w:tr>
      <w:tr w:rsidTr="00124A3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r>
      <w:tr w:rsidTr="00124A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1.1; 1.5</w:t>
            </w:r>
          </w:p>
        </w:tc>
      </w:tr>
      <w:tr w:rsidTr="00124A3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r>
      <w:tr w:rsidTr="00124A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3.1; 3.6</w:t>
            </w:r>
          </w:p>
        </w:tc>
      </w:tr>
      <w:tr w:rsidTr="00124A3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r>
      <w:tr w:rsidTr="00124A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1.2; 2.5; 2.9; 3.3</w:t>
            </w:r>
          </w:p>
        </w:tc>
      </w:tr>
      <w:tr w:rsidTr="00124A3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r>
      <w:tr w:rsidTr="00124A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1.4; 1.5; 1.7</w:t>
            </w:r>
          </w:p>
        </w:tc>
      </w:tr>
      <w:tr w:rsidTr="00124A3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Performing the work task in non-routine or contingent situations</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B27">
            <w:pPr>
              <w:pStyle w:val="BodyText"/>
              <w:rPr>
                <w:lang w:val="en-NZ"/>
              </w:rPr>
            </w:pPr>
            <w:r w:rsidRPr="00CA7B27">
              <w:t>Refer to the following Performance Criteria for examples of application:</w:t>
            </w:r>
          </w:p>
        </w:tc>
      </w:tr>
      <w:tr w:rsidTr="00124A3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B27" w:rsidP="00CA7B27">
            <w:pPr>
              <w:pStyle w:val="BodyText"/>
            </w:pPr>
            <w:r w:rsidRPr="00CA7B27">
              <w:t>2.6; 2.8</w:t>
            </w:r>
          </w:p>
        </w:tc>
      </w:tr>
    </w:tbl>
    <w:p w:rsidR="00124A3E" w:rsidP="00CA7B27">
      <w:pPr>
        <w:pStyle w:val="BodyText"/>
      </w:pPr>
    </w:p>
    <w:p w:rsidR="00124A3E" w:rsidP="00CA7B27">
      <w:pPr>
        <w:pStyle w:val="BodyText"/>
      </w:pPr>
    </w:p>
    <w:p w:rsidR="00000000" w:rsidRPr="00CA7B27" w:rsidP="00CA7B27">
      <w:pPr>
        <w:pStyle w:val="Heading1"/>
      </w:pPr>
      <w:bookmarkStart w:id="11" w:name="O_255816"/>
      <w:bookmarkEnd w:id="11"/>
      <w:r w:rsidRPr="00CA7B27">
        <w:t>Range Statement</w:t>
      </w:r>
    </w:p>
    <w:tbl>
      <w:tblPr>
        <w:tblW w:w="0" w:type="auto"/>
        <w:tblLayout w:type="fixed"/>
        <w:tblCellMar>
          <w:left w:w="62" w:type="dxa"/>
          <w:right w:w="62" w:type="dxa"/>
        </w:tblCellMar>
        <w:tblLook w:val="0000"/>
      </w:tblPr>
      <w:tblGrid>
        <w:gridCol w:w="8460"/>
      </w:tblGrid>
      <w:tr w:rsidTr="00124A3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RANGE STATEMENT</w:t>
            </w:r>
          </w:p>
        </w:tc>
      </w:tr>
      <w:tr w:rsidTr="00124A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7</w:t>
            </w:r>
            <w:r w:rsidRPr="00CA7B27">
              <w:t>) This relates to the competency standard unit as a whole providing the range of contexts and conditions to which the Performance Criteria apply. It allows for different work environments and situations that will affect performance.</w:t>
            </w:r>
          </w:p>
        </w:tc>
      </w:tr>
      <w:tr w:rsidTr="00124A3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t>This Competency Standard Unit shall/may be demonstrated in relation to loading, discharging LPG by road tanker.</w:t>
            </w:r>
          </w:p>
          <w:p w:rsidR="00000000" w:rsidRPr="00CA7B27" w:rsidP="00CA7B27">
            <w:pPr>
              <w:pStyle w:val="BodyText"/>
            </w:pPr>
            <w:r w:rsidRPr="00CA7B27">
              <w:t>The following constants and variables included in the element/Performance Criteria in this unit are fully described in the Definitions Section o</w:t>
            </w:r>
            <w:r w:rsidRPr="00CA7B27">
              <w:t>f this volume and form an integral part of the Range Statement of this unit:</w:t>
            </w:r>
          </w:p>
          <w:p w:rsidR="00000000" w:rsidRPr="00CA7B27" w:rsidP="00CA7B27">
            <w:pPr>
              <w:pStyle w:val="BodyText"/>
            </w:pPr>
            <w:r w:rsidRPr="00CA7B27">
              <w:t>Appropriate persons (2)</w:t>
            </w:r>
          </w:p>
          <w:p w:rsidR="00000000" w:rsidRPr="00CA7B27" w:rsidP="00CA7B27">
            <w:pPr>
              <w:pStyle w:val="BodyText"/>
            </w:pPr>
            <w:r w:rsidRPr="00CA7B27">
              <w:t>Tools and equipment for LPG</w:t>
            </w:r>
          </w:p>
          <w:p w:rsidR="00000000" w:rsidRPr="00CA7B27" w:rsidP="00CA7B27">
            <w:pPr>
              <w:pStyle w:val="BodyText"/>
            </w:pPr>
            <w:r w:rsidRPr="00CA7B27">
              <w:t xml:space="preserve">Loading and discharging LPG </w:t>
            </w:r>
          </w:p>
          <w:p w:rsidR="00000000" w:rsidRPr="00CA7B27" w:rsidP="00CA7B27">
            <w:pPr>
              <w:pStyle w:val="BodyText"/>
            </w:pPr>
            <w:r w:rsidRPr="00CA7B27">
              <w:t>Standard operating procedures</w:t>
            </w:r>
          </w:p>
          <w:p w:rsidR="00000000" w:rsidRPr="00CA7B27" w:rsidP="00CA7B27">
            <w:pPr>
              <w:pStyle w:val="BodyText"/>
            </w:pPr>
            <w:r w:rsidRPr="00CA7B27">
              <w:t>Records/documentation (2)</w:t>
            </w:r>
          </w:p>
        </w:tc>
      </w:tr>
    </w:tbl>
    <w:p w:rsidR="00124A3E" w:rsidP="00CA7B27">
      <w:pPr>
        <w:pStyle w:val="BodyText"/>
      </w:pPr>
    </w:p>
    <w:p w:rsidR="00124A3E" w:rsidP="00CA7B27">
      <w:pPr>
        <w:pStyle w:val="BodyText"/>
      </w:pPr>
    </w:p>
    <w:p w:rsidR="00000000" w:rsidRPr="00CA7B27" w:rsidP="00CA7B27">
      <w:pPr>
        <w:pStyle w:val="Heading1"/>
      </w:pPr>
      <w:bookmarkStart w:id="12" w:name="O_296829"/>
      <w:bookmarkEnd w:id="12"/>
      <w:r w:rsidRPr="00CA7B27">
        <w:t>Unit Sector(s)</w:t>
      </w:r>
    </w:p>
    <w:p w:rsidR="00000000" w:rsidRPr="00CA7B27" w:rsidP="00CA7B27">
      <w:pPr>
        <w:pStyle w:val="BodyText"/>
      </w:pPr>
      <w:r w:rsidRPr="00CA7B27">
        <w:t>Not Ap</w:t>
      </w:r>
      <w:r w:rsidRPr="00CA7B27">
        <w:t>plicable</w:t>
      </w:r>
    </w:p>
    <w:p w:rsidR="00000000" w:rsidRPr="00CA7B27" w:rsidP="00CA7B27">
      <w:pPr>
        <w:pStyle w:val="AllowPageBreak"/>
      </w:pPr>
    </w:p>
    <w:p w:rsidR="00000000" w:rsidRPr="00CA7B27" w:rsidP="00CA7B27">
      <w:pPr>
        <w:pStyle w:val="Heading1"/>
      </w:pPr>
      <w:bookmarkStart w:id="13" w:name="O_229633"/>
      <w:bookmarkEnd w:id="13"/>
      <w:r w:rsidRPr="00CA7B2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24A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2</w:t>
            </w:r>
            <w:r w:rsidRPr="00CA7B27">
              <w:t>.</w:t>
            </w:r>
            <w:r w:rsidRPr="00CA7B27">
              <w:rPr>
                <w:rStyle w:val="SpecialBold"/>
              </w:rPr>
              <w:t>2</w:t>
            </w:r>
            <w:r w:rsidRPr="00CA7B27">
              <w:t xml:space="preserve">) </w:t>
            </w:r>
          </w:p>
          <w:p w:rsidR="00000000" w:rsidP="00CA7B27">
            <w:pPr>
              <w:pStyle w:val="BodyText"/>
              <w:rPr>
                <w:lang w:val="en-NZ"/>
              </w:rPr>
            </w:pPr>
            <w:r w:rsidRPr="00CA7B27">
              <w:t>Participants are best equipped to achieve this unit if they have reading, writing and numeracy skills indicated by the following scales. Description of each scale is given in Volume 2, Part 3 'Literacy and Numeracy'</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Reading</w:t>
            </w:r>
          </w:p>
        </w:tc>
        <w:tc>
          <w:tcPr>
            <w:tcW w:w="805"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3</w:t>
            </w:r>
          </w:p>
        </w:tc>
        <w:tc>
          <w:tcPr>
            <w:tcW w:w="1184"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Writing</w:t>
            </w:r>
          </w:p>
        </w:tc>
        <w:tc>
          <w:tcPr>
            <w:tcW w:w="805"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3</w:t>
            </w:r>
          </w:p>
        </w:tc>
        <w:tc>
          <w:tcPr>
            <w:tcW w:w="1172"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t>Numeracy</w:t>
            </w:r>
          </w:p>
        </w:tc>
        <w:tc>
          <w:tcPr>
            <w:tcW w:w="805"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t>3</w:t>
            </w:r>
          </w:p>
        </w:tc>
      </w:tr>
    </w:tbl>
    <w:p w:rsidR="00124A3E" w:rsidP="00CA7B27">
      <w:pPr>
        <w:pStyle w:val="BodyText"/>
      </w:pPr>
    </w:p>
    <w:p w:rsidR="00124A3E" w:rsidP="00CA7B27">
      <w:pPr>
        <w:pStyle w:val="BodyText"/>
      </w:pPr>
    </w:p>
    <w:p w:rsidR="00000000" w:rsidRPr="00CA7B27" w:rsidP="00CA7B27">
      <w:pPr>
        <w:pStyle w:val="Heading1"/>
      </w:pPr>
      <w:bookmarkStart w:id="14" w:name="O_229636"/>
      <w:bookmarkEnd w:id="14"/>
      <w:r w:rsidRPr="00CA7B27">
        <w:t>Competency Field</w:t>
      </w:r>
    </w:p>
    <w:tbl>
      <w:tblPr>
        <w:tblW w:w="0" w:type="auto"/>
        <w:tblLayout w:type="fixed"/>
        <w:tblCellMar>
          <w:left w:w="62" w:type="dxa"/>
          <w:right w:w="62" w:type="dxa"/>
        </w:tblCellMar>
        <w:tblLook w:val="0000"/>
      </w:tblPr>
      <w:tblGrid>
        <w:gridCol w:w="2700"/>
        <w:gridCol w:w="5760"/>
      </w:tblGrid>
      <w:tr w:rsidTr="00124A3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A7B27">
            <w:pPr>
              <w:pStyle w:val="BodyText"/>
              <w:rPr>
                <w:lang w:val="en-NZ"/>
              </w:rPr>
            </w:pPr>
            <w:r w:rsidRPr="00CA7B27">
              <w:rPr>
                <w:rStyle w:val="SpecialBold"/>
              </w:rPr>
              <w:t>4</w:t>
            </w:r>
            <w:r w:rsidRPr="00CA7B27">
              <w:t>)</w:t>
            </w:r>
          </w:p>
        </w:tc>
      </w:tr>
      <w:tr w:rsidTr="00124A3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7B27" w:rsidP="00CA7B27">
            <w:pPr>
              <w:pStyle w:val="BodyText"/>
            </w:pPr>
            <w:r w:rsidRPr="00CA7B27">
              <w:t>LPG.</w:t>
            </w:r>
          </w:p>
        </w:tc>
      </w:tr>
    </w:tbl>
    <w:p w:rsidR="00124A3E" w:rsidP="00CA7B27">
      <w:pPr>
        <w:pStyle w:val="BodyText"/>
      </w:pPr>
    </w:p>
    <w:p w:rsidR="00124A3E" w:rsidP="00CA7B27">
      <w:pPr>
        <w:pStyle w:val="BodyText"/>
      </w:pPr>
    </w:p>
    <w:p w:rsidR="00000000" w:rsidRPr="00CA7B27" w:rsidP="00CA7B27"/>
    <w:sectPr w:rsidSect="00CA7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A3E" w:rsidP="00124A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A3E" w:rsidP="00CA7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24A3E" w:rsidP="00CA7B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24A3E" w:rsidP="00CA7B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A3E" w:rsidP="00124A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A3E" w:rsidP="00CA7B27">
    <w:pPr>
      <w:pStyle w:val="Header"/>
      <w:framePr w:wrap="around"/>
    </w:pPr>
    <w:r>
      <w:fldChar w:fldCharType="begin"/>
    </w:r>
    <w:r>
      <w:instrText xml:space="preserve"> TITLE   \* MERGEFORMAT </w:instrText>
    </w:r>
    <w:r>
      <w:fldChar w:fldCharType="separate"/>
    </w:r>
    <w:r>
      <w:t>UEGNSG602A Load, discharging LPG by road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4A3E" w:rsidP="00CA7B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341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5C7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EC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7B27"/>
    <w:pPr>
      <w:spacing w:before="360" w:after="60"/>
      <w:outlineLvl w:val="0"/>
    </w:pPr>
    <w:rPr>
      <w:sz w:val="32"/>
    </w:rPr>
  </w:style>
  <w:style w:type="paragraph" w:styleId="Heading2">
    <w:name w:val="heading 2"/>
    <w:basedOn w:val="HeadingBase"/>
    <w:next w:val="BodyText"/>
    <w:link w:val="Heading2Char"/>
    <w:qFormat/>
    <w:rsid w:val="00CA7B27"/>
    <w:pPr>
      <w:keepLines/>
      <w:spacing w:before="240" w:after="120"/>
      <w:outlineLvl w:val="1"/>
    </w:pPr>
    <w:rPr>
      <w:sz w:val="28"/>
      <w:szCs w:val="40"/>
    </w:rPr>
  </w:style>
  <w:style w:type="paragraph" w:styleId="Heading3">
    <w:name w:val="heading 3"/>
    <w:basedOn w:val="HeadingBase"/>
    <w:next w:val="BodyText"/>
    <w:link w:val="Heading3Char"/>
    <w:qFormat/>
    <w:rsid w:val="00CA7B27"/>
    <w:pPr>
      <w:spacing w:before="180" w:after="120"/>
      <w:outlineLvl w:val="2"/>
    </w:pPr>
    <w:rPr>
      <w:spacing w:val="-10"/>
      <w:kern w:val="32"/>
    </w:rPr>
  </w:style>
  <w:style w:type="paragraph" w:styleId="Heading4">
    <w:name w:val="heading 4"/>
    <w:basedOn w:val="HeadingBase"/>
    <w:next w:val="BodyText"/>
    <w:link w:val="Heading4Char"/>
    <w:qFormat/>
    <w:rsid w:val="00CA7B27"/>
    <w:pPr>
      <w:spacing w:before="160" w:after="120"/>
      <w:outlineLvl w:val="3"/>
    </w:pPr>
    <w:rPr>
      <w:sz w:val="22"/>
    </w:rPr>
  </w:style>
  <w:style w:type="paragraph" w:styleId="Heading5">
    <w:name w:val="heading 5"/>
    <w:basedOn w:val="HeadingBase"/>
    <w:next w:val="Normal"/>
    <w:link w:val="Heading5Char"/>
    <w:qFormat/>
    <w:rsid w:val="00CA7B27"/>
    <w:pPr>
      <w:spacing w:before="80"/>
      <w:outlineLvl w:val="4"/>
    </w:pPr>
    <w:rPr>
      <w:color w:val="918585"/>
      <w:sz w:val="20"/>
    </w:rPr>
  </w:style>
  <w:style w:type="paragraph" w:styleId="Heading6">
    <w:name w:val="heading 6"/>
    <w:basedOn w:val="HeadingBase"/>
    <w:next w:val="Normal"/>
    <w:link w:val="Heading6Char"/>
    <w:qFormat/>
    <w:rsid w:val="00CA7B27"/>
    <w:pPr>
      <w:spacing w:before="60"/>
      <w:outlineLvl w:val="5"/>
    </w:pPr>
    <w:rPr>
      <w:color w:val="918585"/>
      <w:sz w:val="20"/>
    </w:rPr>
  </w:style>
  <w:style w:type="paragraph" w:styleId="Heading7">
    <w:name w:val="heading 7"/>
    <w:basedOn w:val="Normal"/>
    <w:next w:val="Normal"/>
    <w:link w:val="Heading7Char"/>
    <w:qFormat/>
    <w:rsid w:val="00CA7B27"/>
    <w:pPr>
      <w:ind w:left="720"/>
      <w:outlineLvl w:val="6"/>
    </w:pPr>
    <w:rPr>
      <w:i/>
    </w:rPr>
  </w:style>
  <w:style w:type="paragraph" w:styleId="Heading8">
    <w:name w:val="heading 8"/>
    <w:basedOn w:val="Normal"/>
    <w:next w:val="Normal"/>
    <w:link w:val="Heading8Char"/>
    <w:qFormat/>
    <w:rsid w:val="00CA7B27"/>
    <w:pPr>
      <w:ind w:left="720"/>
      <w:outlineLvl w:val="7"/>
    </w:pPr>
    <w:rPr>
      <w:i/>
    </w:rPr>
  </w:style>
  <w:style w:type="paragraph" w:styleId="Heading9">
    <w:name w:val="heading 9"/>
    <w:basedOn w:val="Normal"/>
    <w:next w:val="Normal"/>
    <w:link w:val="Heading9Char"/>
    <w:qFormat/>
    <w:rsid w:val="00CA7B27"/>
    <w:pPr>
      <w:ind w:left="720"/>
      <w:outlineLvl w:val="8"/>
    </w:pPr>
    <w:rPr>
      <w:i/>
    </w:rPr>
  </w:style>
  <w:style w:type="character" w:default="1" w:styleId="DefaultParagraphFont">
    <w:name w:val="Default Paragraph Font"/>
    <w:uiPriority w:val="1"/>
    <w:unhideWhenUsed/>
    <w:rsid w:val="00CA7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B27"/>
  </w:style>
  <w:style w:type="character" w:customStyle="1" w:styleId="Heading1Char">
    <w:name w:val="Heading 1 Char"/>
    <w:link w:val="Heading1"/>
    <w:rsid w:val="00CA7B27"/>
    <w:rPr>
      <w:rFonts w:ascii="Times New Roman" w:eastAsia="Times New Roman" w:hAnsi="Times New Roman" w:cs="Times New Roman"/>
      <w:b/>
      <w:sz w:val="32"/>
      <w:szCs w:val="20"/>
      <w:lang w:eastAsia="en-US"/>
    </w:rPr>
  </w:style>
  <w:style w:type="paragraph" w:styleId="BodyText">
    <w:name w:val="Body Text"/>
    <w:basedOn w:val="Normal"/>
    <w:link w:val="BodyTextChar"/>
    <w:rsid w:val="00CA7B27"/>
    <w:pPr>
      <w:spacing w:before="120" w:after="120"/>
      <w:contextualSpacing/>
    </w:pPr>
    <w:rPr>
      <w:rFonts w:ascii="Times New Roman" w:hAnsi="Times New Roman"/>
      <w:sz w:val="24"/>
      <w:szCs w:val="22"/>
    </w:rPr>
  </w:style>
  <w:style w:type="character" w:customStyle="1" w:styleId="BodyTextChar">
    <w:name w:val="Body Text Char"/>
    <w:link w:val="BodyText"/>
    <w:rsid w:val="00CA7B27"/>
    <w:rPr>
      <w:rFonts w:ascii="Times New Roman" w:eastAsia="Times New Roman" w:hAnsi="Times New Roman" w:cs="Times New Roman"/>
      <w:sz w:val="24"/>
      <w:lang w:val="en-US" w:eastAsia="en-US"/>
    </w:rPr>
  </w:style>
  <w:style w:type="paragraph" w:styleId="Footer">
    <w:name w:val="footer"/>
    <w:basedOn w:val="Normal"/>
    <w:link w:val="FooterChar"/>
    <w:rsid w:val="00CA7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7B27"/>
    <w:rPr>
      <w:rFonts w:ascii="Times New Roman" w:eastAsia="Times New Roman" w:hAnsi="Times New Roman" w:cs="Times New Roman"/>
      <w:sz w:val="16"/>
      <w:lang w:val="en-US" w:eastAsia="en-US"/>
    </w:rPr>
  </w:style>
  <w:style w:type="paragraph" w:styleId="ListBullet">
    <w:name w:val="List Bullet"/>
    <w:basedOn w:val="List"/>
    <w:rsid w:val="00CA7B27"/>
    <w:pPr>
      <w:numPr>
        <w:numId w:val="13"/>
      </w:numPr>
      <w:tabs>
        <w:tab w:val="clear" w:pos="340"/>
      </w:tabs>
      <w:spacing w:before="40" w:after="40"/>
    </w:pPr>
  </w:style>
  <w:style w:type="character" w:customStyle="1" w:styleId="SpecialBold">
    <w:name w:val="Special Bold"/>
    <w:rsid w:val="00CA7B27"/>
    <w:rPr>
      <w:b/>
      <w:spacing w:val="0"/>
    </w:rPr>
  </w:style>
  <w:style w:type="paragraph" w:styleId="ListBullet2">
    <w:name w:val="List Bullet 2"/>
    <w:basedOn w:val="List2"/>
    <w:rsid w:val="00CA7B27"/>
    <w:pPr>
      <w:numPr>
        <w:numId w:val="14"/>
      </w:numPr>
      <w:tabs>
        <w:tab w:val="clear" w:pos="680"/>
      </w:tabs>
    </w:pPr>
  </w:style>
  <w:style w:type="paragraph" w:styleId="Header">
    <w:name w:val="header"/>
    <w:basedOn w:val="Normal"/>
    <w:link w:val="HeaderChar"/>
    <w:rsid w:val="00CA7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7B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7B27"/>
    <w:pPr>
      <w:spacing w:before="240" w:after="120"/>
      <w:outlineLvl w:val="0"/>
    </w:pPr>
    <w:rPr>
      <w:rFonts w:ascii="Times New Roman" w:hAnsi="Times New Roman"/>
      <w:b/>
      <w:sz w:val="28"/>
    </w:rPr>
  </w:style>
  <w:style w:type="paragraph" w:customStyle="1" w:styleId="AllowPageBreak">
    <w:name w:val="AllowPageBreak"/>
    <w:rsid w:val="00CA7B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A7B27"/>
    <w:rPr>
      <w:rFonts w:ascii="Times New Roman" w:eastAsia="Times New Roman" w:hAnsi="Times New Roman" w:cs="Times New Roman"/>
      <w:b/>
      <w:sz w:val="28"/>
      <w:szCs w:val="40"/>
      <w:lang w:eastAsia="en-US"/>
    </w:rPr>
  </w:style>
  <w:style w:type="character" w:customStyle="1" w:styleId="Heading3Char">
    <w:name w:val="Heading 3 Char"/>
    <w:link w:val="Heading3"/>
    <w:rsid w:val="00CA7B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7B27"/>
    <w:rPr>
      <w:rFonts w:ascii="Times New Roman" w:eastAsia="Times New Roman" w:hAnsi="Times New Roman" w:cs="Times New Roman"/>
      <w:b/>
      <w:szCs w:val="20"/>
      <w:lang w:eastAsia="en-US"/>
    </w:rPr>
  </w:style>
  <w:style w:type="character" w:customStyle="1" w:styleId="Heading5Char">
    <w:name w:val="Heading 5 Char"/>
    <w:link w:val="Heading5"/>
    <w:rsid w:val="00CA7B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7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B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7B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7B27"/>
    <w:rPr>
      <w:rFonts w:ascii="Courier New" w:eastAsia="Times New Roman" w:hAnsi="Courier New" w:cs="Times New Roman"/>
      <w:i/>
      <w:szCs w:val="20"/>
      <w:lang w:val="en-US" w:eastAsia="en-US"/>
    </w:rPr>
  </w:style>
  <w:style w:type="paragraph" w:customStyle="1" w:styleId="HeadingBase">
    <w:name w:val="Heading Base"/>
    <w:rsid w:val="00CA7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B27"/>
    <w:pPr>
      <w:tabs>
        <w:tab w:val="right" w:leader="dot" w:pos="9072"/>
      </w:tabs>
      <w:ind w:left="567"/>
    </w:pPr>
    <w:rPr>
      <w:szCs w:val="22"/>
    </w:rPr>
  </w:style>
  <w:style w:type="paragraph" w:customStyle="1" w:styleId="TOCBase">
    <w:name w:val="TOC Base"/>
    <w:rsid w:val="00CA7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B27"/>
    <w:pPr>
      <w:tabs>
        <w:tab w:val="right" w:leader="dot" w:pos="9072"/>
      </w:tabs>
      <w:spacing w:before="40" w:after="40"/>
      <w:ind w:left="284"/>
    </w:pPr>
    <w:rPr>
      <w:rFonts w:ascii="Times New Roman" w:hAnsi="Times New Roman"/>
    </w:rPr>
  </w:style>
  <w:style w:type="paragraph" w:styleId="TOC1">
    <w:name w:val="toc 1"/>
    <w:basedOn w:val="TOCBase"/>
    <w:next w:val="Normal"/>
    <w:rsid w:val="00CA7B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7B27"/>
    <w:pPr>
      <w:spacing w:before="5040"/>
      <w:jc w:val="center"/>
    </w:pPr>
    <w:rPr>
      <w:sz w:val="48"/>
      <w:szCs w:val="72"/>
      <w:lang w:val="en-US"/>
    </w:rPr>
  </w:style>
  <w:style w:type="character" w:customStyle="1" w:styleId="TitleChar">
    <w:name w:val="Title Char"/>
    <w:link w:val="Title"/>
    <w:rsid w:val="00CA7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B27"/>
    <w:pPr>
      <w:tabs>
        <w:tab w:val="left" w:pos="3600"/>
        <w:tab w:val="left" w:pos="3958"/>
      </w:tabs>
    </w:pPr>
  </w:style>
  <w:style w:type="paragraph" w:styleId="List">
    <w:name w:val="List"/>
    <w:basedOn w:val="BodyText"/>
    <w:next w:val="BodyText"/>
    <w:rsid w:val="00CA7B27"/>
    <w:pPr>
      <w:tabs>
        <w:tab w:val="left" w:pos="340"/>
      </w:tabs>
      <w:spacing w:before="60" w:after="60"/>
      <w:ind w:left="340" w:hanging="340"/>
    </w:pPr>
  </w:style>
  <w:style w:type="paragraph" w:customStyle="1" w:styleId="Note">
    <w:name w:val="Note"/>
    <w:basedOn w:val="BodyText"/>
    <w:rsid w:val="00CA7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B27"/>
    <w:pPr>
      <w:framePr w:wrap="auto" w:hAnchor="text" w:y="6049"/>
    </w:pPr>
    <w:rPr>
      <w:color w:val="000000"/>
      <w:sz w:val="40"/>
    </w:rPr>
  </w:style>
  <w:style w:type="paragraph" w:customStyle="1" w:styleId="TOCTitle">
    <w:name w:val="TOCTitle"/>
    <w:basedOn w:val="Heading1"/>
    <w:rsid w:val="00CA7B27"/>
    <w:pPr>
      <w:spacing w:after="240"/>
      <w:jc w:val="center"/>
      <w:outlineLvl w:val="9"/>
    </w:pPr>
    <w:rPr>
      <w:caps/>
    </w:rPr>
  </w:style>
  <w:style w:type="paragraph" w:customStyle="1" w:styleId="Version">
    <w:name w:val="Version"/>
    <w:rsid w:val="00CA7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7B27"/>
    <w:pPr>
      <w:keepNext w:val="0"/>
      <w:tabs>
        <w:tab w:val="right" w:pos="4176"/>
      </w:tabs>
      <w:ind w:left="198" w:hanging="198"/>
    </w:pPr>
    <w:rPr>
      <w:rFonts w:ascii="Garamond" w:hAnsi="Garamond"/>
    </w:rPr>
  </w:style>
  <w:style w:type="paragraph" w:styleId="IndexHeading">
    <w:name w:val="index heading"/>
    <w:basedOn w:val="Normal"/>
    <w:next w:val="Index1"/>
    <w:semiHidden/>
    <w:rsid w:val="00CA7B27"/>
    <w:pPr>
      <w:spacing w:before="120" w:after="120"/>
    </w:pPr>
    <w:rPr>
      <w:rFonts w:ascii="Arial" w:hAnsi="Arial"/>
      <w:b/>
      <w:color w:val="918585"/>
      <w:sz w:val="24"/>
    </w:rPr>
  </w:style>
  <w:style w:type="paragraph" w:customStyle="1" w:styleId="Chapter">
    <w:name w:val="Chapter"/>
    <w:basedOn w:val="Normal"/>
    <w:rsid w:val="00CA7B27"/>
    <w:pPr>
      <w:spacing w:before="240"/>
    </w:pPr>
    <w:rPr>
      <w:rFonts w:ascii="Times New Roman" w:hAnsi="Times New Roman"/>
      <w:smallCaps/>
      <w:spacing w:val="80"/>
      <w:sz w:val="28"/>
    </w:rPr>
  </w:style>
  <w:style w:type="paragraph" w:customStyle="1" w:styleId="InChapter">
    <w:name w:val="InChapter"/>
    <w:basedOn w:val="Heading3"/>
    <w:rsid w:val="00CA7B27"/>
    <w:pPr>
      <w:spacing w:after="240"/>
      <w:outlineLvl w:val="9"/>
    </w:pPr>
    <w:rPr>
      <w:noProof/>
    </w:rPr>
  </w:style>
  <w:style w:type="paragraph" w:styleId="Index2">
    <w:name w:val="index 2"/>
    <w:basedOn w:val="Normal"/>
    <w:next w:val="Normal"/>
    <w:semiHidden/>
    <w:rsid w:val="00CA7B27"/>
    <w:pPr>
      <w:tabs>
        <w:tab w:val="right" w:pos="4176"/>
      </w:tabs>
      <w:ind w:left="568" w:hanging="284"/>
    </w:pPr>
    <w:rPr>
      <w:rFonts w:ascii="Garamond" w:hAnsi="Garamond"/>
    </w:rPr>
  </w:style>
  <w:style w:type="paragraph" w:customStyle="1" w:styleId="Byline">
    <w:name w:val="Byline"/>
    <w:rsid w:val="00CA7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B27"/>
    <w:pPr>
      <w:tabs>
        <w:tab w:val="clear" w:pos="3600"/>
        <w:tab w:val="clear" w:pos="3958"/>
      </w:tabs>
      <w:jc w:val="right"/>
    </w:pPr>
  </w:style>
  <w:style w:type="character" w:styleId="Emphasis">
    <w:name w:val="Emphasis"/>
    <w:qFormat/>
    <w:rsid w:val="00CA7B27"/>
    <w:rPr>
      <w:i/>
    </w:rPr>
  </w:style>
  <w:style w:type="paragraph" w:styleId="Caption">
    <w:name w:val="caption"/>
    <w:basedOn w:val="BodyText"/>
    <w:next w:val="Normal"/>
    <w:qFormat/>
    <w:rsid w:val="00CA7B27"/>
    <w:pPr>
      <w:framePr w:w="2268" w:hSpace="181" w:vSpace="181" w:wrap="around" w:vAnchor="text" w:hAnchor="page" w:x="1135" w:y="285" w:anchorLock="1"/>
    </w:pPr>
    <w:rPr>
      <w:i/>
    </w:rPr>
  </w:style>
  <w:style w:type="paragraph" w:customStyle="1" w:styleId="MiniTOCTitle">
    <w:name w:val="MiniTOCTitle"/>
    <w:basedOn w:val="Heading4"/>
    <w:rsid w:val="00CA7B27"/>
    <w:pPr>
      <w:spacing w:before="240"/>
      <w:outlineLvl w:val="9"/>
    </w:pPr>
    <w:rPr>
      <w:noProof/>
      <w:sz w:val="24"/>
    </w:rPr>
  </w:style>
  <w:style w:type="paragraph" w:customStyle="1" w:styleId="MiniTOCItem">
    <w:name w:val="MiniTOCItem"/>
    <w:basedOn w:val="ListBullet"/>
    <w:rsid w:val="00CA7B27"/>
    <w:pPr>
      <w:numPr>
        <w:numId w:val="0"/>
      </w:numPr>
      <w:tabs>
        <w:tab w:val="right" w:leader="dot" w:pos="6521"/>
      </w:tabs>
      <w:spacing w:before="0" w:after="0"/>
    </w:pPr>
  </w:style>
  <w:style w:type="paragraph" w:customStyle="1" w:styleId="TOFTitle">
    <w:name w:val="TOFTitle"/>
    <w:basedOn w:val="TOCTitle"/>
    <w:rsid w:val="00CA7B27"/>
  </w:style>
  <w:style w:type="paragraph" w:styleId="TableofFigures">
    <w:name w:val="table of figures"/>
    <w:basedOn w:val="Normal"/>
    <w:next w:val="Normal"/>
    <w:semiHidden/>
    <w:rsid w:val="00CA7B27"/>
    <w:pPr>
      <w:tabs>
        <w:tab w:val="right" w:leader="dot" w:pos="9072"/>
      </w:tabs>
      <w:ind w:left="970" w:hanging="403"/>
    </w:pPr>
    <w:rPr>
      <w:rFonts w:ascii="Times New Roman" w:hAnsi="Times New Roman"/>
      <w:b/>
    </w:rPr>
  </w:style>
  <w:style w:type="paragraph" w:styleId="ListNumber">
    <w:name w:val="List Number"/>
    <w:basedOn w:val="List"/>
    <w:rsid w:val="00CA7B27"/>
    <w:pPr>
      <w:numPr>
        <w:numId w:val="11"/>
      </w:numPr>
    </w:pPr>
  </w:style>
  <w:style w:type="character" w:customStyle="1" w:styleId="WingdingSymbols">
    <w:name w:val="Wingding Symbols"/>
    <w:rsid w:val="00CA7B27"/>
    <w:rPr>
      <w:rFonts w:ascii="Wingdings" w:hAnsi="Wingdings"/>
    </w:rPr>
  </w:style>
  <w:style w:type="paragraph" w:customStyle="1" w:styleId="TableHeading">
    <w:name w:val="Table Heading"/>
    <w:basedOn w:val="HeadingBase"/>
    <w:rsid w:val="00CA7B27"/>
    <w:pPr>
      <w:keepLines/>
      <w:pBdr>
        <w:bottom w:val="single" w:sz="6" w:space="1" w:color="918585"/>
      </w:pBdr>
      <w:spacing w:before="240"/>
    </w:pPr>
  </w:style>
  <w:style w:type="character" w:customStyle="1" w:styleId="HotSpot">
    <w:name w:val="HotSpot"/>
    <w:rsid w:val="00CA7B27"/>
    <w:rPr>
      <w:color w:val="0033CC"/>
      <w:u w:val="none"/>
    </w:rPr>
  </w:style>
  <w:style w:type="paragraph" w:customStyle="1" w:styleId="BodyTextRight">
    <w:name w:val="Body Text Right"/>
    <w:basedOn w:val="BodyText"/>
    <w:rsid w:val="00CA7B27"/>
    <w:pPr>
      <w:spacing w:before="0" w:after="0"/>
      <w:jc w:val="right"/>
    </w:pPr>
  </w:style>
  <w:style w:type="paragraph" w:styleId="Index3">
    <w:name w:val="index 3"/>
    <w:basedOn w:val="ListNumber2"/>
    <w:next w:val="Normal"/>
    <w:semiHidden/>
    <w:rsid w:val="00CA7B27"/>
    <w:pPr>
      <w:numPr>
        <w:numId w:val="0"/>
      </w:numPr>
      <w:tabs>
        <w:tab w:val="right" w:leader="dot" w:pos="4176"/>
      </w:tabs>
    </w:pPr>
  </w:style>
  <w:style w:type="paragraph" w:styleId="ListNumber2">
    <w:name w:val="List Number 2"/>
    <w:basedOn w:val="List2"/>
    <w:rsid w:val="00CA7B27"/>
    <w:pPr>
      <w:numPr>
        <w:numId w:val="10"/>
      </w:numPr>
      <w:tabs>
        <w:tab w:val="clear" w:pos="1060"/>
      </w:tabs>
    </w:pPr>
  </w:style>
  <w:style w:type="paragraph" w:customStyle="1" w:styleId="MarginNote">
    <w:name w:val="Margin Note"/>
    <w:basedOn w:val="BodyText"/>
    <w:rsid w:val="00CA7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7B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7B27"/>
    <w:rPr>
      <w:sz w:val="32"/>
    </w:rPr>
  </w:style>
  <w:style w:type="paragraph" w:customStyle="1" w:styleId="HeadingProcedure">
    <w:name w:val="Heading Procedure"/>
    <w:basedOn w:val="HeadingBase"/>
    <w:next w:val="Normal"/>
    <w:rsid w:val="00CA7B27"/>
    <w:pPr>
      <w:tabs>
        <w:tab w:val="left" w:pos="0"/>
      </w:tabs>
      <w:spacing w:before="120" w:after="60"/>
    </w:pPr>
    <w:rPr>
      <w:i/>
      <w:color w:val="918585"/>
      <w:sz w:val="22"/>
    </w:rPr>
  </w:style>
  <w:style w:type="paragraph" w:customStyle="1" w:styleId="TableBodyText">
    <w:name w:val="Table Body Text"/>
    <w:basedOn w:val="BodyText"/>
    <w:rsid w:val="00CA7B27"/>
    <w:pPr>
      <w:spacing w:before="60" w:after="60"/>
    </w:pPr>
  </w:style>
  <w:style w:type="paragraph" w:styleId="ListContinue">
    <w:name w:val="List Continue"/>
    <w:basedOn w:val="List"/>
    <w:rsid w:val="00CA7B27"/>
    <w:pPr>
      <w:ind w:firstLine="0"/>
    </w:pPr>
  </w:style>
  <w:style w:type="paragraph" w:customStyle="1" w:styleId="ListNote">
    <w:name w:val="List Note"/>
    <w:basedOn w:val="List"/>
    <w:rsid w:val="00CA7B27"/>
    <w:pPr>
      <w:pBdr>
        <w:top w:val="single" w:sz="6" w:space="2" w:color="918585"/>
        <w:bottom w:val="single" w:sz="6" w:space="2" w:color="918585"/>
      </w:pBdr>
      <w:tabs>
        <w:tab w:val="left" w:pos="1021"/>
      </w:tabs>
      <w:ind w:firstLine="0"/>
    </w:pPr>
  </w:style>
  <w:style w:type="paragraph" w:customStyle="1" w:styleId="Warning">
    <w:name w:val="Warning"/>
    <w:basedOn w:val="BodyText"/>
    <w:rsid w:val="00CA7B27"/>
    <w:pPr>
      <w:shd w:val="clear" w:color="auto" w:fill="D9D9D9"/>
      <w:tabs>
        <w:tab w:val="left" w:pos="992"/>
      </w:tabs>
      <w:ind w:left="119" w:right="119"/>
    </w:pPr>
    <w:rPr>
      <w:sz w:val="20"/>
    </w:rPr>
  </w:style>
  <w:style w:type="paragraph" w:customStyle="1" w:styleId="MarginIcons">
    <w:name w:val="Margin Icons"/>
    <w:basedOn w:val="BodyText"/>
    <w:rsid w:val="00CA7B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7B27"/>
    <w:rPr>
      <w:rFonts w:ascii="Courier New" w:hAnsi="Courier New"/>
    </w:rPr>
  </w:style>
  <w:style w:type="paragraph" w:customStyle="1" w:styleId="NoteBullet">
    <w:name w:val="Note Bullet"/>
    <w:basedOn w:val="Note"/>
    <w:rsid w:val="00CA7B27"/>
    <w:pPr>
      <w:tabs>
        <w:tab w:val="clear" w:pos="680"/>
      </w:tabs>
      <w:spacing w:before="60" w:after="60"/>
    </w:pPr>
  </w:style>
  <w:style w:type="paragraph" w:customStyle="1" w:styleId="SubHeading2">
    <w:name w:val="SubHeading2"/>
    <w:basedOn w:val="HeadingBase"/>
    <w:rsid w:val="00CA7B27"/>
    <w:pPr>
      <w:spacing w:before="240" w:after="60"/>
    </w:pPr>
    <w:rPr>
      <w:sz w:val="20"/>
    </w:rPr>
  </w:style>
  <w:style w:type="paragraph" w:customStyle="1" w:styleId="SubHeading1">
    <w:name w:val="SubHeading1"/>
    <w:basedOn w:val="HeadingBase"/>
    <w:rsid w:val="00CA7B27"/>
    <w:pPr>
      <w:spacing w:before="240" w:after="60"/>
    </w:pPr>
    <w:rPr>
      <w:color w:val="918585"/>
      <w:sz w:val="22"/>
    </w:rPr>
  </w:style>
  <w:style w:type="paragraph" w:customStyle="1" w:styleId="SideHeading">
    <w:name w:val="Side Heading"/>
    <w:basedOn w:val="HeadingBase"/>
    <w:rsid w:val="00CA7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B27"/>
    <w:pPr>
      <w:numPr>
        <w:numId w:val="12"/>
      </w:numPr>
    </w:pPr>
  </w:style>
  <w:style w:type="paragraph" w:styleId="PlainText">
    <w:name w:val="Plain Text"/>
    <w:basedOn w:val="Normal"/>
    <w:link w:val="PlainTextChar"/>
    <w:rsid w:val="00CA7B27"/>
    <w:rPr>
      <w:sz w:val="20"/>
    </w:rPr>
  </w:style>
  <w:style w:type="character" w:customStyle="1" w:styleId="PlainTextChar">
    <w:name w:val="Plain Text Char"/>
    <w:basedOn w:val="DefaultParagraphFont"/>
    <w:link w:val="PlainText"/>
    <w:rsid w:val="00CA7B27"/>
    <w:rPr>
      <w:rFonts w:ascii="Courier New" w:eastAsia="Times New Roman" w:hAnsi="Courier New" w:cs="Times New Roman"/>
      <w:sz w:val="20"/>
      <w:szCs w:val="20"/>
      <w:lang w:val="en-US" w:eastAsia="en-US"/>
    </w:rPr>
  </w:style>
  <w:style w:type="character" w:customStyle="1" w:styleId="MenuOption">
    <w:name w:val="Menu Option"/>
    <w:rsid w:val="00CA7B27"/>
    <w:rPr>
      <w:b/>
      <w:smallCaps/>
    </w:rPr>
  </w:style>
  <w:style w:type="paragraph" w:customStyle="1" w:styleId="TableListNumber">
    <w:name w:val="Table List Number"/>
    <w:basedOn w:val="ListNumber"/>
    <w:rsid w:val="00CA7B27"/>
    <w:pPr>
      <w:numPr>
        <w:numId w:val="0"/>
      </w:numPr>
    </w:pPr>
  </w:style>
  <w:style w:type="paragraph" w:styleId="TOC4">
    <w:name w:val="toc 4"/>
    <w:basedOn w:val="TOCBase"/>
    <w:next w:val="Normal"/>
    <w:semiHidden/>
    <w:rsid w:val="00CA7B27"/>
    <w:pPr>
      <w:tabs>
        <w:tab w:val="right" w:leader="dot" w:pos="9071"/>
      </w:tabs>
      <w:ind w:left="1701"/>
    </w:pPr>
  </w:style>
  <w:style w:type="paragraph" w:customStyle="1" w:styleId="ListAlpha">
    <w:name w:val="List Alpha"/>
    <w:basedOn w:val="List"/>
    <w:rsid w:val="00CA7B27"/>
    <w:pPr>
      <w:numPr>
        <w:numId w:val="9"/>
      </w:numPr>
    </w:pPr>
  </w:style>
  <w:style w:type="paragraph" w:customStyle="1" w:styleId="ListAlpha2">
    <w:name w:val="List Alpha 2"/>
    <w:basedOn w:val="List2"/>
    <w:rsid w:val="00CA7B27"/>
    <w:pPr>
      <w:numPr>
        <w:numId w:val="8"/>
      </w:numPr>
    </w:pPr>
  </w:style>
  <w:style w:type="paragraph" w:styleId="List2">
    <w:name w:val="List 2"/>
    <w:basedOn w:val="BodyText"/>
    <w:rsid w:val="00CA7B27"/>
    <w:pPr>
      <w:tabs>
        <w:tab w:val="left" w:pos="680"/>
      </w:tabs>
      <w:spacing w:before="60" w:after="60"/>
      <w:ind w:left="680" w:hanging="340"/>
    </w:pPr>
  </w:style>
  <w:style w:type="paragraph" w:styleId="List3">
    <w:name w:val="List 3"/>
    <w:basedOn w:val="BodyText"/>
    <w:rsid w:val="00CA7B27"/>
    <w:pPr>
      <w:tabs>
        <w:tab w:val="left" w:pos="1021"/>
      </w:tabs>
      <w:spacing w:before="60" w:after="60"/>
      <w:ind w:left="1020" w:hanging="340"/>
    </w:pPr>
  </w:style>
  <w:style w:type="paragraph" w:styleId="List4">
    <w:name w:val="List 4"/>
    <w:basedOn w:val="BodyText"/>
    <w:rsid w:val="00CA7B27"/>
    <w:pPr>
      <w:tabs>
        <w:tab w:val="left" w:pos="1361"/>
      </w:tabs>
      <w:spacing w:before="60" w:after="60"/>
      <w:ind w:left="1361" w:hanging="340"/>
    </w:pPr>
  </w:style>
  <w:style w:type="paragraph" w:styleId="List5">
    <w:name w:val="List 5"/>
    <w:basedOn w:val="BodyText"/>
    <w:rsid w:val="00CA7B27"/>
    <w:pPr>
      <w:tabs>
        <w:tab w:val="left" w:pos="1701"/>
      </w:tabs>
      <w:spacing w:before="60" w:after="60"/>
      <w:ind w:left="1701" w:hanging="340"/>
    </w:pPr>
  </w:style>
  <w:style w:type="paragraph" w:styleId="ListBullet3">
    <w:name w:val="List Bullet 3"/>
    <w:basedOn w:val="List3"/>
    <w:rsid w:val="00CA7B27"/>
    <w:pPr>
      <w:numPr>
        <w:numId w:val="15"/>
      </w:numPr>
      <w:tabs>
        <w:tab w:val="clear" w:pos="1021"/>
      </w:tabs>
      <w:ind w:left="1037" w:hanging="357"/>
    </w:pPr>
  </w:style>
  <w:style w:type="paragraph" w:styleId="ListBullet4">
    <w:name w:val="List Bullet 4"/>
    <w:basedOn w:val="List4"/>
    <w:rsid w:val="00CA7B27"/>
    <w:pPr>
      <w:numPr>
        <w:numId w:val="3"/>
      </w:numPr>
    </w:pPr>
  </w:style>
  <w:style w:type="paragraph" w:styleId="ListBullet5">
    <w:name w:val="List Bullet 5"/>
    <w:basedOn w:val="List5"/>
    <w:rsid w:val="00CA7B27"/>
    <w:pPr>
      <w:numPr>
        <w:numId w:val="4"/>
      </w:numPr>
    </w:pPr>
  </w:style>
  <w:style w:type="paragraph" w:styleId="ListContinue2">
    <w:name w:val="List Continue 2"/>
    <w:basedOn w:val="List2"/>
    <w:rsid w:val="00CA7B27"/>
    <w:pPr>
      <w:ind w:firstLine="0"/>
    </w:pPr>
  </w:style>
  <w:style w:type="paragraph" w:styleId="ListContinue3">
    <w:name w:val="List Continue 3"/>
    <w:basedOn w:val="List3"/>
    <w:rsid w:val="00CA7B27"/>
    <w:pPr>
      <w:ind w:left="1021" w:firstLine="0"/>
    </w:pPr>
  </w:style>
  <w:style w:type="paragraph" w:styleId="ListContinue4">
    <w:name w:val="List Continue 4"/>
    <w:basedOn w:val="List4"/>
    <w:rsid w:val="00CA7B27"/>
    <w:pPr>
      <w:ind w:firstLine="0"/>
    </w:pPr>
  </w:style>
  <w:style w:type="paragraph" w:styleId="ListContinue5">
    <w:name w:val="List Continue 5"/>
    <w:basedOn w:val="List5"/>
    <w:rsid w:val="00CA7B27"/>
    <w:pPr>
      <w:ind w:firstLine="0"/>
    </w:pPr>
  </w:style>
  <w:style w:type="paragraph" w:styleId="ListNumber3">
    <w:name w:val="List Number 3"/>
    <w:basedOn w:val="List3"/>
    <w:rsid w:val="00CA7B27"/>
    <w:pPr>
      <w:numPr>
        <w:numId w:val="5"/>
      </w:numPr>
    </w:pPr>
  </w:style>
  <w:style w:type="paragraph" w:styleId="ListNumber4">
    <w:name w:val="List Number 4"/>
    <w:basedOn w:val="List4"/>
    <w:rsid w:val="00CA7B27"/>
    <w:pPr>
      <w:numPr>
        <w:numId w:val="6"/>
      </w:numPr>
    </w:pPr>
  </w:style>
  <w:style w:type="paragraph" w:styleId="ListNumber5">
    <w:name w:val="List Number 5"/>
    <w:basedOn w:val="List5"/>
    <w:rsid w:val="00CA7B27"/>
    <w:pPr>
      <w:numPr>
        <w:numId w:val="7"/>
      </w:numPr>
    </w:pPr>
  </w:style>
  <w:style w:type="paragraph" w:styleId="BlockText">
    <w:name w:val="Block Text"/>
    <w:basedOn w:val="Normal"/>
    <w:rsid w:val="00CA7B27"/>
    <w:pPr>
      <w:spacing w:after="120"/>
      <w:ind w:left="1440" w:right="1440"/>
    </w:pPr>
  </w:style>
  <w:style w:type="character" w:customStyle="1" w:styleId="Subscript">
    <w:name w:val="Subscript"/>
    <w:rsid w:val="00CA7B27"/>
    <w:rPr>
      <w:sz w:val="16"/>
      <w:vertAlign w:val="subscript"/>
    </w:rPr>
  </w:style>
  <w:style w:type="character" w:customStyle="1" w:styleId="Superscript">
    <w:name w:val="Superscript"/>
    <w:rsid w:val="00CA7B27"/>
    <w:rPr>
      <w:sz w:val="16"/>
      <w:vertAlign w:val="superscript"/>
    </w:rPr>
  </w:style>
  <w:style w:type="character" w:customStyle="1" w:styleId="Symbols">
    <w:name w:val="Symbols"/>
    <w:rsid w:val="00CA7B27"/>
    <w:rPr>
      <w:rFonts w:ascii="Symbol" w:hAnsi="Symbol"/>
    </w:rPr>
  </w:style>
  <w:style w:type="character" w:customStyle="1" w:styleId="MenuOptions">
    <w:name w:val="Menu Options"/>
    <w:rsid w:val="00CA7B27"/>
    <w:rPr>
      <w:rFonts w:ascii="Arial Narrow" w:hAnsi="Arial Narrow"/>
      <w:smallCaps/>
    </w:rPr>
  </w:style>
  <w:style w:type="character" w:customStyle="1" w:styleId="Buttons">
    <w:name w:val="Buttons"/>
    <w:rsid w:val="00CA7B27"/>
    <w:rPr>
      <w:b/>
    </w:rPr>
  </w:style>
  <w:style w:type="character" w:customStyle="1" w:styleId="Underlined">
    <w:name w:val="Underlined"/>
    <w:rsid w:val="00CA7B27"/>
    <w:rPr>
      <w:u w:val="single"/>
    </w:rPr>
  </w:style>
  <w:style w:type="paragraph" w:customStyle="1" w:styleId="TableBodyTextRight">
    <w:name w:val="Table Body Text Right"/>
    <w:basedOn w:val="TableBodyText"/>
    <w:rsid w:val="00CA7B27"/>
    <w:pPr>
      <w:widowControl w:val="0"/>
      <w:autoSpaceDE w:val="0"/>
      <w:autoSpaceDN w:val="0"/>
      <w:adjustRightInd w:val="0"/>
      <w:jc w:val="right"/>
    </w:pPr>
    <w:rPr>
      <w:rFonts w:cs="Arial"/>
      <w:szCs w:val="18"/>
    </w:rPr>
  </w:style>
  <w:style w:type="paragraph" w:customStyle="1" w:styleId="CopyrightText">
    <w:name w:val="Copyright Text"/>
    <w:basedOn w:val="BodyText"/>
    <w:rsid w:val="00CA7B27"/>
    <w:rPr>
      <w:sz w:val="18"/>
    </w:rPr>
  </w:style>
  <w:style w:type="paragraph" w:customStyle="1" w:styleId="BodySmallRight">
    <w:name w:val="Body Small Right"/>
    <w:basedOn w:val="BodyTextRight"/>
    <w:rsid w:val="00CA7B27"/>
    <w:rPr>
      <w:sz w:val="18"/>
      <w:szCs w:val="18"/>
    </w:rPr>
  </w:style>
  <w:style w:type="paragraph" w:customStyle="1" w:styleId="MarginEdition">
    <w:name w:val="Margin Edition"/>
    <w:basedOn w:val="MarginNote"/>
    <w:rsid w:val="00CA7B27"/>
    <w:pPr>
      <w:spacing w:before="0" w:after="0"/>
    </w:pPr>
    <w:rPr>
      <w:rFonts w:ascii="Times New Roman" w:hAnsi="Times New Roman"/>
      <w:color w:val="999999"/>
    </w:rPr>
  </w:style>
  <w:style w:type="paragraph" w:customStyle="1" w:styleId="Spacer">
    <w:name w:val="Spacer"/>
    <w:basedOn w:val="Normal"/>
    <w:rsid w:val="00CA7B27"/>
    <w:rPr>
      <w:sz w:val="2"/>
      <w:szCs w:val="2"/>
    </w:rPr>
  </w:style>
  <w:style w:type="character" w:customStyle="1" w:styleId="Small">
    <w:name w:val="Small"/>
    <w:rsid w:val="00CA7B27"/>
    <w:rPr>
      <w:sz w:val="16"/>
    </w:rPr>
  </w:style>
  <w:style w:type="paragraph" w:customStyle="1" w:styleId="WideTable">
    <w:name w:val="Wide Table"/>
    <w:basedOn w:val="Normal"/>
    <w:rsid w:val="00CA7B27"/>
    <w:pPr>
      <w:ind w:left="-1418"/>
    </w:pPr>
    <w:rPr>
      <w:sz w:val="2"/>
      <w:szCs w:val="2"/>
    </w:rPr>
  </w:style>
  <w:style w:type="character" w:styleId="PageNumber">
    <w:name w:val="page number"/>
    <w:rsid w:val="00CA7B27"/>
  </w:style>
  <w:style w:type="paragraph" w:styleId="Quote">
    <w:name w:val="Quote"/>
    <w:basedOn w:val="Heading1"/>
    <w:link w:val="QuoteChar"/>
    <w:qFormat/>
    <w:rsid w:val="00CA7B27"/>
    <w:rPr>
      <w:b w:val="0"/>
      <w:sz w:val="72"/>
      <w:szCs w:val="72"/>
      <w:lang w:val="en-NZ"/>
    </w:rPr>
  </w:style>
  <w:style w:type="character" w:customStyle="1" w:styleId="QuoteChar">
    <w:name w:val="Quote Char"/>
    <w:link w:val="Quote"/>
    <w:rsid w:val="00CA7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B27"/>
    <w:pPr>
      <w:pageBreakBefore/>
    </w:pPr>
  </w:style>
  <w:style w:type="paragraph" w:customStyle="1" w:styleId="Border">
    <w:name w:val="Border"/>
    <w:basedOn w:val="Normal"/>
    <w:qFormat/>
    <w:rsid w:val="00CA7B27"/>
    <w:pPr>
      <w:pBdr>
        <w:top w:val="single" w:sz="18" w:space="1" w:color="auto"/>
      </w:pBdr>
    </w:pPr>
    <w:rPr>
      <w:rFonts w:ascii="Times New Roman" w:hAnsi="Times New Roman"/>
      <w:color w:val="FFFFFF"/>
      <w:sz w:val="2"/>
    </w:rPr>
  </w:style>
  <w:style w:type="character" w:styleId="IntenseEmphasis">
    <w:name w:val="Intense Emphasis"/>
    <w:uiPriority w:val="21"/>
    <w:qFormat/>
    <w:rsid w:val="00CA7B27"/>
    <w:rPr>
      <w:b/>
      <w:bCs/>
      <w:i/>
      <w:iCs/>
      <w:color w:val="auto"/>
    </w:rPr>
  </w:style>
  <w:style w:type="paragraph" w:styleId="IntenseQuote">
    <w:name w:val="Intense Quote"/>
    <w:basedOn w:val="Normal"/>
    <w:next w:val="Normal"/>
    <w:link w:val="IntenseQuoteChar"/>
    <w:uiPriority w:val="30"/>
    <w:qFormat/>
    <w:rsid w:val="00CA7B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7B27"/>
    <w:rPr>
      <w:rFonts w:ascii="Courier New" w:eastAsia="Times New Roman" w:hAnsi="Courier New" w:cs="Times New Roman"/>
      <w:b/>
      <w:bCs/>
      <w:i/>
      <w:iCs/>
      <w:szCs w:val="20"/>
      <w:lang w:val="en-US" w:eastAsia="en-US"/>
    </w:rPr>
  </w:style>
  <w:style w:type="character" w:styleId="SubtleReference">
    <w:name w:val="Subtle Reference"/>
    <w:uiPriority w:val="31"/>
    <w:qFormat/>
    <w:rsid w:val="00CA7B27"/>
    <w:rPr>
      <w:smallCaps/>
      <w:color w:val="auto"/>
      <w:u w:val="single"/>
    </w:rPr>
  </w:style>
  <w:style w:type="character" w:styleId="IntenseReference">
    <w:name w:val="Intense Reference"/>
    <w:uiPriority w:val="32"/>
    <w:qFormat/>
    <w:rsid w:val="00CA7B27"/>
    <w:rPr>
      <w:b/>
      <w:bCs/>
      <w:smallCaps/>
      <w:color w:val="auto"/>
      <w:spacing w:val="5"/>
      <w:u w:val="single"/>
    </w:rPr>
  </w:style>
  <w:style w:type="paragraph" w:customStyle="1" w:styleId="2ColumnHeading">
    <w:name w:val="2Column Heading"/>
    <w:basedOn w:val="BodyText"/>
    <w:qFormat/>
    <w:rsid w:val="00CA7B27"/>
    <w:pPr>
      <w:spacing w:after="60"/>
      <w:ind w:left="-2268"/>
    </w:pPr>
    <w:rPr>
      <w:b/>
    </w:rPr>
  </w:style>
  <w:style w:type="paragraph" w:customStyle="1" w:styleId="Heading1TOC">
    <w:name w:val="Heading1 TOC"/>
    <w:basedOn w:val="Normal"/>
    <w:qFormat/>
    <w:rsid w:val="00CA7B27"/>
    <w:pPr>
      <w:spacing w:before="240" w:after="120"/>
    </w:pPr>
    <w:rPr>
      <w:rFonts w:ascii="Times New Roman" w:hAnsi="Times New Roman"/>
      <w:b/>
      <w:sz w:val="32"/>
    </w:rPr>
  </w:style>
  <w:style w:type="paragraph" w:customStyle="1" w:styleId="Heading2TOC">
    <w:name w:val="Heading2 TOC"/>
    <w:basedOn w:val="Normal"/>
    <w:qFormat/>
    <w:rsid w:val="00CA7B27"/>
    <w:pPr>
      <w:spacing w:before="240" w:after="60"/>
    </w:pPr>
    <w:rPr>
      <w:rFonts w:ascii="Times New Roman" w:hAnsi="Times New Roman"/>
      <w:b/>
      <w:sz w:val="28"/>
    </w:rPr>
  </w:style>
  <w:style w:type="character" w:customStyle="1" w:styleId="Underline">
    <w:name w:val="Underline"/>
    <w:qFormat/>
    <w:rsid w:val="00CA7B27"/>
    <w:rPr>
      <w:u w:val="single"/>
    </w:rPr>
  </w:style>
  <w:style w:type="character" w:customStyle="1" w:styleId="BoldandItalics">
    <w:name w:val="Bold and Italics"/>
    <w:qFormat/>
    <w:rsid w:val="00CA7B27"/>
    <w:rPr>
      <w:b/>
      <w:i/>
      <w:u w:val="none"/>
    </w:rPr>
  </w:style>
  <w:style w:type="paragraph" w:styleId="BalloonText">
    <w:name w:val="Balloon Text"/>
    <w:basedOn w:val="Normal"/>
    <w:link w:val="BalloonTextChar"/>
    <w:rsid w:val="00CA7B27"/>
    <w:rPr>
      <w:rFonts w:ascii="Tahoma" w:hAnsi="Tahoma" w:cs="Tahoma"/>
      <w:sz w:val="16"/>
      <w:szCs w:val="16"/>
    </w:rPr>
  </w:style>
  <w:style w:type="character" w:customStyle="1" w:styleId="BalloonTextChar">
    <w:name w:val="Balloon Text Char"/>
    <w:link w:val="BalloonText"/>
    <w:rsid w:val="00CA7B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7B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7B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2681</Words>
  <Characters>15691</Characters>
  <Application>Microsoft Office Word</Application>
  <DocSecurity>0</DocSecurity>
  <Lines>794</Lines>
  <Paragraphs>320</Paragraphs>
  <ScaleCrop>false</ScaleCrop>
  <Company>Author-it Software Corporation Ltd.</Company>
  <LinksUpToDate>false</LinksUpToDate>
  <CharactersWithSpaces>18088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UEGNSG602A Load, discharging LPG by road tanker</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2012-05-26T22:09:00Z</dcterms:created>
  <dcterms:modified xsi:type="dcterms:W3CDTF">2012-05-26T22:09:00Z</dcterms:modified>
</cp:coreProperties>
</file>