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BE8" w:rsidP="00F81BE8">
      <w:pPr>
        <w:pStyle w:val="Title"/>
      </w:pPr>
      <w:r>
        <w:fldChar w:fldCharType="begin"/>
      </w:r>
      <w:r>
        <w:instrText xml:space="preserve"> TITLE   \* MERGEFORMAT </w:instrText>
      </w:r>
      <w:r>
        <w:fldChar w:fldCharType="separate"/>
      </w:r>
      <w:r>
        <w:t>UEGNSG504A Monitoring and controlling field activities</w:t>
      </w:r>
      <w:r>
        <w:fldChar w:fldCharType="end"/>
      </w:r>
    </w:p>
    <w:p w:rsidR="00F81BE8" w:rsidP="00F81BE8">
      <w:pPr>
        <w:pStyle w:val="Version"/>
        <w:sectPr w:rsidSect="003534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434" w:rsidP="00353434">
      <w:pPr>
        <w:pStyle w:val="SuperHeading"/>
      </w:pPr>
      <w:r w:rsidRPr="00353434">
        <w:t>UEGNSG504A Monitoring and controlling field activities</w:t>
      </w:r>
    </w:p>
    <w:p w:rsidR="00000000" w:rsidRPr="00353434" w:rsidP="00353434">
      <w:pPr>
        <w:pStyle w:val="Heading1"/>
      </w:pPr>
      <w:bookmarkStart w:id="1" w:name="O_275132"/>
      <w:bookmarkEnd w:id="1"/>
      <w:r w:rsidRPr="00353434">
        <w:t>Modification History</w:t>
      </w:r>
    </w:p>
    <w:p w:rsidR="00000000" w:rsidRPr="00353434" w:rsidP="00353434">
      <w:pPr>
        <w:pStyle w:val="BodyText"/>
      </w:pPr>
      <w:r w:rsidRPr="00353434">
        <w:t>Not Applicable</w:t>
      </w:r>
    </w:p>
    <w:p w:rsidR="00000000" w:rsidRPr="00353434" w:rsidP="00353434">
      <w:pPr>
        <w:pStyle w:val="AllowPageBreak"/>
      </w:pPr>
    </w:p>
    <w:p w:rsidR="00000000" w:rsidRPr="00353434" w:rsidP="00353434">
      <w:pPr>
        <w:pStyle w:val="Heading1"/>
      </w:pPr>
      <w:bookmarkStart w:id="2" w:name="O_229613"/>
      <w:bookmarkEnd w:id="2"/>
      <w:r w:rsidRPr="00353434">
        <w:t>Unit Descriptor</w:t>
      </w:r>
    </w:p>
    <w:tbl>
      <w:tblPr>
        <w:tblW w:w="0" w:type="auto"/>
        <w:tblLayout w:type="fixed"/>
        <w:tblCellMar>
          <w:left w:w="62" w:type="dxa"/>
          <w:right w:w="62" w:type="dxa"/>
        </w:tblCellMar>
        <w:tblLook w:val="0000"/>
      </w:tblPr>
      <w:tblGrid>
        <w:gridCol w:w="2700"/>
        <w:gridCol w:w="5760"/>
      </w:tblGrid>
      <w:tr w:rsidTr="00F8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1</w:t>
            </w:r>
            <w:r w:rsidRPr="00353434">
              <w:t xml:space="preserve">) </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This competency standard covers the monitoring of permit to work requests, dispatching personnel, responding to alarms, travel and activity monitoring of field personnel, monitoring work activities of field personnel against work schedule, contingency skil</w:t>
            </w:r>
            <w:r w:rsidRPr="00353434">
              <w:t>ls, response to third party enquiries, out of hours pipeline notification, response to man down alarm, tracking of field personnel (remote area), monitoring activities on pipeline, monitoring availability of assets (maintain a log), monitor equipment statu</w:t>
            </w:r>
            <w:r w:rsidRPr="00353434">
              <w:t>s, coordinating field activities, controlling and authorising field works, preparing incident reports, controlling gas flow and quality, controlling pressure and temperature of gas.</w:t>
            </w:r>
          </w:p>
        </w:tc>
      </w:tr>
    </w:tbl>
    <w:p w:rsidR="00F81BE8" w:rsidP="00353434">
      <w:pPr>
        <w:pStyle w:val="BodyText"/>
      </w:pPr>
    </w:p>
    <w:p w:rsidR="00F81BE8" w:rsidP="00353434">
      <w:pPr>
        <w:pStyle w:val="BodyText"/>
      </w:pPr>
    </w:p>
    <w:p w:rsidR="00000000" w:rsidRPr="00353434" w:rsidP="00353434">
      <w:pPr>
        <w:pStyle w:val="Heading1"/>
      </w:pPr>
      <w:bookmarkStart w:id="3" w:name="O_229616"/>
      <w:bookmarkEnd w:id="3"/>
      <w:r w:rsidRPr="00353434">
        <w:t>Application of the Unit</w:t>
      </w:r>
    </w:p>
    <w:tbl>
      <w:tblPr>
        <w:tblW w:w="0" w:type="auto"/>
        <w:tblLayout w:type="fixed"/>
        <w:tblCellMar>
          <w:left w:w="62" w:type="dxa"/>
          <w:right w:w="62" w:type="dxa"/>
        </w:tblCellMar>
        <w:tblLook w:val="0000"/>
      </w:tblPr>
      <w:tblGrid>
        <w:gridCol w:w="2700"/>
        <w:gridCol w:w="5760"/>
      </w:tblGrid>
      <w:tr w:rsidTr="00F8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3</w:t>
            </w:r>
            <w:r w:rsidRPr="00353434">
              <w:t xml:space="preserve">) </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This Competency Standard Unit is intended to augment formally acquired competencies. It is suitable for employment-based programs under an approved contract of training.</w:t>
            </w:r>
          </w:p>
        </w:tc>
      </w:tr>
    </w:tbl>
    <w:p w:rsidR="00F81BE8" w:rsidP="00353434">
      <w:pPr>
        <w:pStyle w:val="BodyText"/>
      </w:pPr>
    </w:p>
    <w:p w:rsidR="00F81BE8" w:rsidP="00353434">
      <w:pPr>
        <w:pStyle w:val="BodyText"/>
      </w:pPr>
    </w:p>
    <w:p w:rsidR="00000000" w:rsidRPr="00353434" w:rsidP="00353434">
      <w:pPr>
        <w:pStyle w:val="Heading1"/>
      </w:pPr>
      <w:bookmarkStart w:id="4" w:name="O_229617"/>
      <w:bookmarkEnd w:id="4"/>
      <w:r w:rsidRPr="00353434">
        <w:t>Licensing/Regulatory Information</w:t>
      </w:r>
    </w:p>
    <w:tbl>
      <w:tblPr>
        <w:tblW w:w="0" w:type="auto"/>
        <w:tblLayout w:type="fixed"/>
        <w:tblCellMar>
          <w:left w:w="62" w:type="dxa"/>
          <w:right w:w="62" w:type="dxa"/>
        </w:tblCellMar>
        <w:tblLook w:val="0000"/>
      </w:tblPr>
      <w:tblGrid>
        <w:gridCol w:w="2700"/>
        <w:gridCol w:w="5760"/>
      </w:tblGrid>
      <w:tr w:rsidTr="00F8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3</w:t>
            </w:r>
            <w:r w:rsidRPr="00353434">
              <w:t>.</w:t>
            </w:r>
            <w:r w:rsidRPr="00353434">
              <w:rPr>
                <w:rStyle w:val="SpecialBold"/>
              </w:rPr>
              <w:t>1</w:t>
            </w:r>
            <w:r w:rsidRPr="00353434">
              <w:t xml:space="preserve">) </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 xml:space="preserve">The skills and knowledge described in this unit do not require a licence to practice in the workplace. However, practice in this unit is subject to regulations directly </w:t>
            </w:r>
            <w:r w:rsidRPr="00353434">
              <w:t>related to Occupational Health and Safety and where applicable contracts of training su</w:t>
            </w:r>
            <w:r w:rsidRPr="00353434">
              <w:t>ch as New Apprenticeships and the like.</w:t>
            </w:r>
          </w:p>
        </w:tc>
      </w:tr>
    </w:tbl>
    <w:p w:rsidR="00F81BE8" w:rsidP="00353434">
      <w:pPr>
        <w:pStyle w:val="BodyText"/>
      </w:pPr>
    </w:p>
    <w:p w:rsidR="00F81BE8" w:rsidP="00353434">
      <w:pPr>
        <w:pStyle w:val="BodyText"/>
      </w:pPr>
    </w:p>
    <w:p w:rsidR="00000000" w:rsidRPr="00353434" w:rsidP="00353434">
      <w:pPr>
        <w:pStyle w:val="Heading1"/>
      </w:pPr>
      <w:bookmarkStart w:id="5" w:name="O_229614"/>
      <w:bookmarkEnd w:id="5"/>
      <w:r w:rsidRPr="00353434">
        <w:t>Pre-Requisites</w:t>
      </w:r>
    </w:p>
    <w:tbl>
      <w:tblPr>
        <w:tblW w:w="0" w:type="auto"/>
        <w:tblLayout w:type="fixed"/>
        <w:tblCellMar>
          <w:left w:w="62" w:type="dxa"/>
          <w:right w:w="62" w:type="dxa"/>
        </w:tblCellMar>
        <w:tblLook w:val="0000"/>
      </w:tblPr>
      <w:tblGrid>
        <w:gridCol w:w="2700"/>
        <w:gridCol w:w="5760"/>
      </w:tblGrid>
      <w:tr w:rsidTr="00F8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Prerequisite Unit</w:t>
            </w:r>
            <w:r w:rsidRPr="00353434">
              <w:t>(</w:t>
            </w:r>
            <w:r w:rsidRPr="00353434">
              <w:rPr>
                <w:rStyle w:val="SpecialBold"/>
              </w:rPr>
              <w:t>s</w:t>
            </w:r>
            <w:r w:rsidRPr="00353434">
              <w:t>)</w:t>
            </w:r>
          </w:p>
        </w:tc>
        <w:tc>
          <w:tcPr>
            <w:tcW w:w="57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2</w:t>
            </w:r>
            <w:r w:rsidRPr="00353434">
              <w:t xml:space="preserve">) </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2</w:t>
            </w:r>
            <w:r w:rsidRPr="00353434">
              <w:t>.</w:t>
            </w:r>
            <w:r w:rsidRPr="00353434">
              <w:rPr>
                <w:rStyle w:val="SpecialBold"/>
              </w:rPr>
              <w:t>1</w:t>
            </w:r>
            <w:r w:rsidRPr="00353434">
              <w:t xml:space="preserve">) </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To minimise incidents related to safe systems of work, entry into</w:t>
            </w:r>
            <w:r w:rsidRPr="00353434">
              <w:t xml:space="preserve"> this unit requires at a minimum that an individual has demonstrated or possesses a gas industry or relevant technical engineering discipline competencies of at least AQF level 3. It is intended that an individual will be expected to perform with a large d</w:t>
            </w:r>
            <w:r w:rsidRPr="00353434">
              <w:t>egree of autonomy in decision-making, whilst in an individual environment.</w:t>
            </w:r>
          </w:p>
          <w:p w:rsidR="00000000" w:rsidRPr="00353434" w:rsidP="00353434">
            <w:pPr>
              <w:pStyle w:val="BodyText"/>
            </w:pPr>
            <w:r w:rsidRPr="00353434">
              <w:t>This may include immediate response to protect human life, adverse effect on safety, security of supply or the integrity of the assets.</w:t>
            </w:r>
          </w:p>
          <w:p w:rsidR="00000000" w:rsidRPr="00353434" w:rsidP="00353434">
            <w:pPr>
              <w:pStyle w:val="BodyText"/>
            </w:pPr>
            <w:r w:rsidRPr="00353434">
              <w:t>NOTE: Typically the following disciplines pro</w:t>
            </w:r>
            <w:r w:rsidRPr="00353434">
              <w:t>vide direct entry; electrical or instrumentation, fitting and turning or mechanical trade or marine engineering technologist.</w:t>
            </w:r>
          </w:p>
          <w:p w:rsidR="00000000" w:rsidRPr="00353434" w:rsidP="00353434">
            <w:pPr>
              <w:pStyle w:val="BodyText"/>
            </w:pPr>
            <w:r w:rsidRPr="00353434">
              <w:t xml:space="preserve">Where an individual does not possess or demonstrate the requisite entry requirement, an equivalent bridging program shall be used </w:t>
            </w:r>
            <w:r w:rsidRPr="00353434">
              <w:t>to ensure equivalence of entry.</w:t>
            </w:r>
          </w:p>
        </w:tc>
      </w:tr>
    </w:tbl>
    <w:p w:rsidR="00F81BE8" w:rsidP="00353434">
      <w:pPr>
        <w:pStyle w:val="BodyText"/>
      </w:pPr>
    </w:p>
    <w:p w:rsidR="00F81BE8" w:rsidP="00353434">
      <w:pPr>
        <w:pStyle w:val="BodyText"/>
      </w:pPr>
    </w:p>
    <w:p w:rsidR="00000000" w:rsidRPr="00353434" w:rsidP="00353434">
      <w:pPr>
        <w:pStyle w:val="Heading1"/>
      </w:pPr>
      <w:bookmarkStart w:id="6" w:name="O_285381"/>
      <w:bookmarkEnd w:id="6"/>
      <w:r w:rsidRPr="00353434">
        <w:t>Employability Skills Information</w:t>
      </w:r>
    </w:p>
    <w:p w:rsidR="00000000" w:rsidRPr="00353434" w:rsidP="00353434">
      <w:pPr>
        <w:pStyle w:val="BodyText"/>
      </w:pPr>
      <w:r w:rsidRPr="00353434">
        <w:t>Refer to the Evidence Guide</w:t>
      </w:r>
    </w:p>
    <w:p w:rsidR="00000000" w:rsidRPr="00353434" w:rsidP="00353434">
      <w:pPr>
        <w:pStyle w:val="AllowPageBreak"/>
      </w:pPr>
    </w:p>
    <w:p w:rsidR="00000000" w:rsidRPr="00353434" w:rsidP="00353434">
      <w:pPr>
        <w:pStyle w:val="Heading1"/>
      </w:pPr>
      <w:bookmarkStart w:id="7" w:name="O_293178"/>
      <w:bookmarkEnd w:id="7"/>
      <w:r w:rsidRPr="00353434">
        <w:t>Elements and Performance Criteria Pre-Content</w:t>
      </w:r>
    </w:p>
    <w:tbl>
      <w:tblPr>
        <w:tblW w:w="0" w:type="auto"/>
        <w:tblLayout w:type="fixed"/>
        <w:tblCellMar>
          <w:left w:w="62" w:type="dxa"/>
          <w:right w:w="62" w:type="dxa"/>
        </w:tblCellMar>
        <w:tblLook w:val="0000"/>
      </w:tblPr>
      <w:tblGrid>
        <w:gridCol w:w="2700"/>
        <w:gridCol w:w="5760"/>
      </w:tblGrid>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5</w:t>
            </w:r>
            <w:r w:rsidRPr="0035343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Performance criteria describe the required performance needed to demonstrate achievement of the element. Assessment of performance is to be consistent with the Evidence Guide.</w:t>
            </w:r>
          </w:p>
        </w:tc>
      </w:tr>
    </w:tbl>
    <w:p w:rsidR="00000000" w:rsidRPr="00353434" w:rsidP="00353434">
      <w:pPr>
        <w:pStyle w:val="BodyText"/>
      </w:pPr>
    </w:p>
    <w:p w:rsidR="00000000" w:rsidRPr="00353434" w:rsidP="00353434">
      <w:pPr>
        <w:pStyle w:val="AllowPageBreak"/>
      </w:pPr>
    </w:p>
    <w:p w:rsidR="00000000" w:rsidRPr="00353434" w:rsidP="00353434">
      <w:pPr>
        <w:pStyle w:val="Heading1"/>
      </w:pPr>
      <w:bookmarkStart w:id="8" w:name="O_239846"/>
      <w:bookmarkEnd w:id="8"/>
      <w:r w:rsidRPr="0035343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81B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PERFORMANCE CRITER</w:t>
            </w:r>
            <w:r w:rsidRPr="00353434">
              <w:rPr>
                <w:rStyle w:val="SpecialBold"/>
              </w:rPr>
              <w:t>IA</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1</w:t>
            </w:r>
          </w:p>
        </w:tc>
        <w:tc>
          <w:tcPr>
            <w:tcW w:w="2296" w:type="dxa"/>
            <w:vMerge w:val="restart"/>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Plan for the monitoring and controlling of field activities</w:t>
            </w: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1.1</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 xml:space="preserve">Work schedules, plans, requirements, established procedures detailed and analysed and if necessary and the extent of the preparation of the </w:t>
            </w:r>
            <w:r w:rsidRPr="00353434">
              <w:t xml:space="preserve">work determined for planning and coordination </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1.2</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Shift hand-over detail is received and understood and confirmed according to established procedures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1.3</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Work is analysed, prioritised and sequenced for the most efficient and effective outcome follow</w:t>
            </w:r>
            <w:r w:rsidRPr="00353434">
              <w:t xml:space="preserve">ing consultation with others for completion within acceptable timeframes to a quality standard and in accordance with established procedures </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1.4</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Risk control measures for identified hazards are prioritised, implemented and evaluated against the work schedule</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1.5</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 xml:space="preserve">Salient system constraints are communicated to relevant persons and identified for work sites as per established procedures </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1.6</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Ope</w:t>
            </w:r>
            <w:r w:rsidRPr="00353434">
              <w:t xml:space="preserve">rational and commercial requirements are communicated to stakeholders as per established procedures </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1.7</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OHS, environmental and sustainable energy policies and procedures related to the work are identified to ensure safe systems of work are followed</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1.8</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 xml:space="preserve">Relevant work permits are secured to coordinate the performance of work according to requirements and established procedures </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1.9</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Liaison and communication with authorised persons, authorities, clients and land-owners is performed/actioned and activ</w:t>
            </w:r>
            <w:r w:rsidRPr="00353434">
              <w:t>ities are coordinated to carry out work</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2</w:t>
            </w:r>
          </w:p>
        </w:tc>
        <w:tc>
          <w:tcPr>
            <w:tcW w:w="2296"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Undertake monitoring and controlling of field activities</w:t>
            </w: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2.1</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OHS policies and procedures and safe work practices are followed to eliminate or minimise incidents and hazards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2.2</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Work is performed and coordinated</w:t>
            </w:r>
            <w:r w:rsidRPr="00353434">
              <w:t xml:space="preserve"> in accordance with a work schedule and established procedures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2.3</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OHS risks and incidents are identified and action taken according to established procedures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2.4</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Remedial actions are taken to overcome any shortfalls encountered in the work schedule according to requirements and established procedures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2.5</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Essential Knowledge and Associated Skills are applied in an agreed timeframe and to quality standards efficie</w:t>
            </w:r>
            <w:r w:rsidRPr="00353434">
              <w:t>ntly according to requirements and established procedures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2.6</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Solutions to non-routine problems are identified and actioned using Essential Knowledge and Associated Skills according to requirements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2.7</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Ongoing checks of quality of the work are undert</w:t>
            </w:r>
            <w:r w:rsidRPr="00353434">
              <w:t>aken in accordance with requirements and established procedures to ensure a quality outcome is achieved for the client/customer to community and industry standards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3</w:t>
            </w:r>
          </w:p>
        </w:tc>
        <w:tc>
          <w:tcPr>
            <w:tcW w:w="2296"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Complete procedures monitoring and controlling field activities</w:t>
            </w: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3.1</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Work undertaken is checked against works schedule for conformance with requirements and anomalies are reported and solutions identified in accordance with established procedures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3.2</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Relevant work permit(s) and field activities are signed off and the sta</w:t>
            </w:r>
            <w:r w:rsidRPr="00353434">
              <w:t>tus of plant, equipment and personnel movements recorded and handover procedures are conducted as per established procedures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3.3</w:t>
            </w:r>
          </w:p>
        </w:tc>
        <w:tc>
          <w:tcPr>
            <w:tcW w:w="48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Shift handover detail is relayed and confirmed according to established procedures</w:t>
            </w:r>
          </w:p>
        </w:tc>
      </w:tr>
      <w:tr w:rsidTr="00F8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3.4</w:t>
            </w:r>
          </w:p>
        </w:tc>
        <w:tc>
          <w:tcPr>
            <w:tcW w:w="486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 xml:space="preserve">Work completion records, reports, </w:t>
            </w:r>
            <w:r w:rsidRPr="00353434">
              <w:t xml:space="preserve">documentation and information is confirmed, processed and the appropriate persons notified </w:t>
            </w:r>
          </w:p>
        </w:tc>
      </w:tr>
    </w:tbl>
    <w:p w:rsidR="00F81BE8" w:rsidP="00353434">
      <w:pPr>
        <w:pStyle w:val="BodyText"/>
      </w:pPr>
    </w:p>
    <w:p w:rsidR="00F81BE8" w:rsidP="00353434">
      <w:pPr>
        <w:pStyle w:val="BodyText"/>
      </w:pPr>
    </w:p>
    <w:p w:rsidR="00000000" w:rsidRPr="00353434" w:rsidP="00353434">
      <w:pPr>
        <w:pStyle w:val="Heading1"/>
      </w:pPr>
      <w:bookmarkStart w:id="9" w:name="O_263637"/>
      <w:bookmarkEnd w:id="9"/>
      <w:r w:rsidRPr="00353434">
        <w:t>Required Skills and Knowledge</w:t>
      </w:r>
    </w:p>
    <w:tbl>
      <w:tblPr>
        <w:tblW w:w="0" w:type="auto"/>
        <w:tblLayout w:type="fixed"/>
        <w:tblCellMar>
          <w:left w:w="62" w:type="dxa"/>
          <w:right w:w="62" w:type="dxa"/>
        </w:tblCellMar>
        <w:tblLook w:val="0000"/>
      </w:tblPr>
      <w:tblGrid>
        <w:gridCol w:w="2700"/>
        <w:gridCol w:w="1080"/>
        <w:gridCol w:w="4680"/>
      </w:tblGrid>
      <w:tr w:rsidTr="00F81BE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REQUIRED SKILLS AND KNOWLEDGE</w:t>
            </w:r>
          </w:p>
        </w:tc>
      </w:tr>
      <w:tr w:rsidTr="00F81B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6</w:t>
            </w:r>
            <w:r w:rsidRPr="00353434">
              <w:t>) This describes the essential skills and knowledge and their level, required for this unit.</w:t>
            </w:r>
          </w:p>
        </w:tc>
      </w:tr>
      <w:tr w:rsidTr="00F81B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Evidence shall show that knowledge has been acquired of monitoring and controlling field activities. The extent of the essential knowledge and associated skills</w:t>
            </w:r>
            <w:r w:rsidRPr="00353434">
              <w:t xml:space="preserve"> (EKAS) required is given in Volume 2 - Part 2.2 EKAS.  It forms an integral part of this unit.</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2.1.1</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Working in the gas sector</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2.1.4</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 xml:space="preserve">Apply relevant OHS regulations, policies and procedures </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2.1.5</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Maintain a safe, clean and healthy workplace</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2.1.9</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Respond to emergency and accident situations</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2.1.12</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Communicate in the workplace</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2.1.13</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Communicate effectively in a team</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 xml:space="preserve">G 2.1.14 </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Read and interpret workplace documents</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4.1.1</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 xml:space="preserve">Operating and supervising in the Gas Industry </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4.1.2</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Understand the effective operation of Gas Industry plant and equipment and materials</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4.1.3</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Communicating in the Gas Industry at a supervisory level</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4.1.4</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Gas Industry products and services</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4.1.5</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Interpreting Gas Industry drawings</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4.1.7</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 xml:space="preserve">Complete Gas Industry reports and documentation </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4.1.8</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Use a personal computer</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4.1.10</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Understanding security breach procedures</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4.1.11</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Emergency manual</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4.1.14</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Environmental and cultural issues</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4.1.17</w:t>
            </w:r>
          </w:p>
        </w:tc>
        <w:tc>
          <w:tcPr>
            <w:tcW w:w="46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 xml:space="preserve">Pipeline systems knowledge </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G 4.1.18</w:t>
            </w:r>
          </w:p>
        </w:tc>
        <w:tc>
          <w:tcPr>
            <w:tcW w:w="468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Problem solving for Gas Industry supervisors</w:t>
            </w:r>
          </w:p>
        </w:tc>
      </w:tr>
    </w:tbl>
    <w:p w:rsidR="00F81BE8" w:rsidP="00353434">
      <w:pPr>
        <w:pStyle w:val="BodyText"/>
      </w:pPr>
    </w:p>
    <w:p w:rsidR="00F81BE8" w:rsidP="00353434">
      <w:pPr>
        <w:pStyle w:val="BodyText"/>
      </w:pPr>
    </w:p>
    <w:p w:rsidR="00000000" w:rsidRPr="00353434" w:rsidP="00353434">
      <w:pPr>
        <w:pStyle w:val="Heading1"/>
      </w:pPr>
      <w:bookmarkStart w:id="10" w:name="O_247829"/>
      <w:bookmarkEnd w:id="10"/>
      <w:r w:rsidRPr="00353434">
        <w:t>Evidence Guide</w:t>
      </w:r>
    </w:p>
    <w:tbl>
      <w:tblPr>
        <w:tblW w:w="0" w:type="auto"/>
        <w:tblLayout w:type="fixed"/>
        <w:tblCellMar>
          <w:left w:w="62" w:type="dxa"/>
          <w:right w:w="62" w:type="dxa"/>
        </w:tblCellMar>
        <w:tblLook w:val="0000"/>
      </w:tblPr>
      <w:tblGrid>
        <w:gridCol w:w="326"/>
        <w:gridCol w:w="1834"/>
        <w:gridCol w:w="360"/>
        <w:gridCol w:w="1080"/>
        <w:gridCol w:w="360"/>
        <w:gridCol w:w="1620"/>
        <w:gridCol w:w="1317"/>
        <w:gridCol w:w="1563"/>
      </w:tblGrid>
      <w:tr w:rsidTr="00F81BE8">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EVIDENCE GUIDE</w:t>
            </w:r>
          </w:p>
        </w:tc>
      </w:tr>
      <w:tr w:rsidTr="00F81BE8">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8</w:t>
            </w:r>
            <w:r w:rsidRPr="00353434">
              <w:t xml:space="preserve">) </w:t>
            </w:r>
          </w:p>
          <w:p w:rsidR="00000000" w:rsidP="00353434">
            <w:pPr>
              <w:pStyle w:val="BodyText"/>
              <w:rPr>
                <w:lang w:val="en-NZ"/>
              </w:rPr>
            </w:pPr>
            <w:r w:rsidRPr="00353434">
              <w:t>The Evidence Guide forms an integral part of this Competency Standard Unit and shall be used in conjunction with all components parts of this unit and, performed in accordance with the Assessment Guidelines of this Training Package.</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8</w:t>
            </w:r>
            <w:r w:rsidRPr="00353434">
              <w:t>.</w:t>
            </w:r>
            <w:r w:rsidRPr="00353434">
              <w:rPr>
                <w:rStyle w:val="SpecialBold"/>
              </w:rPr>
              <w:t>1</w:t>
            </w:r>
            <w:r w:rsidRPr="00353434">
              <w:t xml:space="preserve">) </w:t>
            </w:r>
          </w:p>
          <w:p w:rsidR="00000000" w:rsidRPr="00353434" w:rsidP="00353434">
            <w:pPr>
              <w:pStyle w:val="BodyText"/>
            </w:pPr>
            <w:r w:rsidRPr="00353434">
              <w:t>Longitudinal competency development approaches to assessment, such as Profiling, require data to be reliably gathered in a form that can be consistently interpreted over time. This approach is best utilised in Apprenticeship p</w:t>
            </w:r>
            <w:r w:rsidRPr="00353434">
              <w:t>rograms and reduces assessment intervention. It is the Industry's preferred model for apprenticeships. However, where summative (or final) assessment is used it is to include the application of the competency in the normal work environment or, at a minimum</w:t>
            </w:r>
            <w:r w:rsidRPr="00353434">
              <w:t xml:space="preserve">, the application of the competency in a realistically simulated work environment. It is recognised that, in some circumstances, assessment in part or full can occur outside the workplace. However, it must be in accord with Industry and, Regulatory policy </w:t>
            </w:r>
            <w:r w:rsidRPr="00353434">
              <w:t>in this regard.</w:t>
            </w:r>
          </w:p>
          <w:p w:rsidR="00000000" w:rsidRPr="00353434" w:rsidP="00353434">
            <w:pPr>
              <w:pStyle w:val="BodyText"/>
            </w:pPr>
            <w:r w:rsidRPr="00353434">
              <w:t>Methods chosen for a particular assessment will be influenced by various factors. These include the extent of the assessment, the most effective locations for the assessment activities to take place, access to physical resources, additional</w:t>
            </w:r>
            <w:r w:rsidRPr="00353434">
              <w:t xml:space="preserve"> safety measures that may be required and the critical nature of the competencies being assessed.</w:t>
            </w:r>
          </w:p>
          <w:p w:rsidR="00000000" w:rsidRPr="00353434" w:rsidP="00353434">
            <w:pPr>
              <w:pStyle w:val="BodyText"/>
            </w:pPr>
            <w:r w:rsidRPr="00353434">
              <w:t>The critical safety nature of working with electricity, electrical equipment, gas or any other hazardous substance/material carries risk in deeming a person c</w:t>
            </w:r>
            <w:r w:rsidRPr="00353434">
              <w:t>ompetent. Hence, sources of evidence need to be 'rich' in nature so as to minimise error in judgment.</w:t>
            </w:r>
          </w:p>
          <w:p w:rsidR="00000000" w:rsidP="00353434">
            <w:pPr>
              <w:pStyle w:val="BodyText"/>
              <w:rPr>
                <w:lang w:val="en-NZ"/>
              </w:rPr>
            </w:pPr>
            <w:r w:rsidRPr="00353434">
              <w:t>Activities associated with normal every day work have a bearing on the decision as to how much and how detailed the data gathered will contribute to its '</w:t>
            </w:r>
            <w:r w:rsidRPr="00353434">
              <w:t>richness'. Some skills are more critical to safety and operational requirements while the same skills may be more or less frequently practiced. These points are raised for the assessors to consider when choosing an assessment method and developing assessme</w:t>
            </w:r>
            <w:r w:rsidRPr="00353434">
              <w:t>nt instruments. Sample assessment instruments are included for Assessors in the Assessment Guidelines of this Training Package.</w:t>
            </w:r>
          </w:p>
        </w:tc>
      </w:tr>
      <w:tr w:rsidTr="00F81BE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8</w:t>
            </w:r>
            <w:r w:rsidRPr="00353434">
              <w:t>.</w:t>
            </w:r>
            <w:r w:rsidRPr="00353434">
              <w:rPr>
                <w:rStyle w:val="SpecialBold"/>
              </w:rPr>
              <w:t>2</w:t>
            </w:r>
            <w:r w:rsidRPr="00353434">
              <w:t xml:space="preserve">) </w:t>
            </w:r>
          </w:p>
          <w:p w:rsidR="00000000" w:rsidP="00353434">
            <w:pPr>
              <w:pStyle w:val="BodyText"/>
              <w:rPr>
                <w:lang w:val="en-NZ"/>
              </w:rPr>
            </w:pPr>
            <w:r w:rsidRPr="00353434">
              <w:t>Before the critical aspects</w:t>
            </w:r>
            <w:r w:rsidRPr="00353434">
              <w:t xml:space="preserve"> of evidence are considered all prerequisites shall be met.</w:t>
            </w:r>
          </w:p>
        </w:tc>
      </w:tr>
      <w:tr w:rsidTr="00F81BE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Evidence for competence in this unit shall be considered holistically. Each element and associated performance criteria shall be demonstrated on at least two occasions in accordance with t</w:t>
            </w:r>
            <w:r w:rsidRPr="00353434">
              <w:t>he 'Assessment Guidelines  UEG06'. Evidence shall also comprise:</w:t>
            </w:r>
          </w:p>
          <w:p w:rsidR="00000000" w:rsidP="00353434">
            <w:pPr>
              <w:pStyle w:val="ListBullet"/>
              <w:rPr>
                <w:lang w:val="en-NZ"/>
              </w:rPr>
            </w:pPr>
            <w:r w:rsidRPr="00353434">
              <w:t>A representative body of performance criteria demonstrated within the timeframes typically expected of the discipline, work function and industrial environment. In particular this shall inco</w:t>
            </w:r>
            <w:r w:rsidRPr="00353434">
              <w:t>rporate evidence that shows a candidate is able to:</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53434">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353434" w:rsidP="00353434">
            <w:pPr>
              <w:pStyle w:val="ListBullet2"/>
            </w:pPr>
            <w:r w:rsidRPr="00353434">
              <w:t>Implement Occupational Health and Safety workplace procedures and practices including the use of risk control measures as specified in the performance criteria and range</w:t>
            </w:r>
          </w:p>
          <w:p w:rsidR="00000000" w:rsidRPr="00353434" w:rsidP="00353434">
            <w:pPr>
              <w:pStyle w:val="ListBullet2"/>
            </w:pPr>
            <w:r w:rsidRPr="00353434">
              <w:t>Apply sustainable energy principles and practices as specified in the performance criteria and range</w:t>
            </w:r>
          </w:p>
          <w:p w:rsidR="00000000" w:rsidRPr="00353434" w:rsidP="00353434">
            <w:pPr>
              <w:pStyle w:val="ListBullet2"/>
            </w:pPr>
            <w:r w:rsidRPr="00353434">
              <w:t>Demonstrate an understanding of the essential knowledge and associated skills as described in this unit to such an extent that the learner's performance ou</w:t>
            </w:r>
            <w:r w:rsidRPr="00353434">
              <w:t>tcome is reported in accordance with the preferred approach; namely a percentile graded result, where required by the regulated environment</w:t>
            </w:r>
          </w:p>
          <w:p w:rsidR="00000000" w:rsidRPr="00353434" w:rsidP="00353434">
            <w:pPr>
              <w:pStyle w:val="ListBullet2"/>
            </w:pPr>
            <w:r w:rsidRPr="00353434">
              <w:t>Demonstrate an appropriate level of skills enabling employment</w:t>
            </w:r>
          </w:p>
          <w:p w:rsidR="00000000" w:rsidP="00353434">
            <w:pPr>
              <w:pStyle w:val="ListBullet2"/>
              <w:rPr>
                <w:lang w:val="en-NZ"/>
              </w:rPr>
            </w:pPr>
            <w:r w:rsidRPr="00353434">
              <w:t>Conduct work observing the relevant anti discriminati</w:t>
            </w:r>
            <w:r w:rsidRPr="00353434">
              <w:t>on legislation, regulations, polices and workplace procedures</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53434">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353434">
            <w:pPr>
              <w:pStyle w:val="ListBullet2"/>
              <w:rPr>
                <w:lang w:val="en-NZ"/>
              </w:rPr>
            </w:pPr>
            <w:r w:rsidRPr="00353434">
              <w:t>Demonstrate performance across a representative range of contexts from the prescribed items below.</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53434">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rPr>
                <w:rStyle w:val="SpecialBold"/>
              </w:rPr>
              <w:t>Range of tools</w:t>
            </w:r>
            <w:r w:rsidRPr="00353434">
              <w:t>/</w:t>
            </w:r>
            <w:r w:rsidRPr="00353434">
              <w:rPr>
                <w:rStyle w:val="SpecialBold"/>
              </w:rPr>
              <w:t>equipment</w:t>
            </w:r>
            <w:r w:rsidRPr="00353434">
              <w:t>/</w:t>
            </w:r>
            <w:r w:rsidRPr="00353434">
              <w:rPr>
                <w:rStyle w:val="SpecialBold"/>
              </w:rPr>
              <w:t>materials</w:t>
            </w:r>
            <w:r w:rsidRPr="00353434">
              <w:t>/</w:t>
            </w:r>
            <w:r w:rsidRPr="00353434">
              <w:rPr>
                <w:rStyle w:val="SpecialBold"/>
              </w:rPr>
              <w:t>procedures</w:t>
            </w:r>
            <w:r w:rsidRPr="00353434">
              <w:t>/</w:t>
            </w:r>
            <w:r w:rsidRPr="00353434">
              <w:br/>
            </w:r>
            <w:r w:rsidRPr="00353434">
              <w:rPr>
                <w:rStyle w:val="SpecialBold"/>
              </w:rPr>
              <w:t>workplaces</w:t>
            </w:r>
            <w:r w:rsidRPr="00353434">
              <w:t>/</w:t>
            </w:r>
            <w:r w:rsidRPr="00353434">
              <w:rPr>
                <w:rStyle w:val="SpecialBold"/>
              </w:rPr>
              <w:t>other variables</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53434">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r w:rsidRPr="00353434">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r w:rsidRPr="00353434">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rPr>
                <w:rStyle w:val="SpecialBold"/>
              </w:rPr>
              <w:t>Item List</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r w:rsidRPr="00353434">
              <w:t>Evaluate, respond and report threats to pipeline systems operation</w:t>
            </w:r>
          </w:p>
          <w:p w:rsidR="00000000" w:rsidRPr="00353434" w:rsidP="00353434">
            <w:pPr>
              <w:pStyle w:val="BodyText"/>
            </w:pPr>
            <w:r w:rsidRPr="00353434">
              <w:t xml:space="preserve">Working knowledge of sections of the relevant Australian pipeline and associated standards </w:t>
            </w:r>
          </w:p>
          <w:p w:rsidR="00000000" w:rsidRPr="00353434" w:rsidP="00353434">
            <w:pPr>
              <w:pStyle w:val="BodyText"/>
            </w:pPr>
            <w:r w:rsidRPr="00353434">
              <w:t>Working knowledge of the station function including identification of abnormal conditions of stations and reporting</w:t>
            </w:r>
          </w:p>
          <w:p w:rsidR="00000000" w:rsidRPr="00353434" w:rsidP="00353434">
            <w:pPr>
              <w:pStyle w:val="BodyText"/>
            </w:pPr>
            <w:r w:rsidRPr="00353434">
              <w:t>Working knowledge of pipeline operational parame</w:t>
            </w:r>
            <w:r w:rsidRPr="00353434">
              <w:t>ters</w:t>
            </w:r>
          </w:p>
          <w:p w:rsidR="00000000" w:rsidRPr="00353434" w:rsidP="00353434">
            <w:pPr>
              <w:pStyle w:val="BodyText"/>
            </w:pPr>
            <w:r w:rsidRPr="00353434">
              <w:t xml:space="preserve">Use relevant field permit to work systems </w:t>
            </w:r>
          </w:p>
          <w:p w:rsidR="00000000" w:rsidRPr="00353434" w:rsidP="00353434">
            <w:pPr>
              <w:pStyle w:val="BodyText"/>
            </w:pPr>
            <w:r w:rsidRPr="00353434">
              <w:t>Respond correctly to alarms</w:t>
            </w:r>
          </w:p>
          <w:p w:rsidR="00000000" w:rsidRPr="00353434" w:rsidP="00353434">
            <w:pPr>
              <w:pStyle w:val="BodyText"/>
            </w:pPr>
            <w:r w:rsidRPr="00353434">
              <w:t>Working knowledge of monitoring field work</w:t>
            </w:r>
          </w:p>
          <w:p w:rsidR="00000000" w:rsidRPr="00353434" w:rsidP="00353434">
            <w:pPr>
              <w:pStyle w:val="BodyText"/>
            </w:pPr>
            <w:r w:rsidRPr="00353434">
              <w:t>Communicate effectively in the workplace</w:t>
            </w:r>
          </w:p>
          <w:p w:rsidR="00000000" w:rsidRPr="00353434" w:rsidP="00353434">
            <w:pPr>
              <w:pStyle w:val="BodyText"/>
            </w:pPr>
            <w:r w:rsidRPr="00353434">
              <w:t>Operating communications equipment</w:t>
            </w:r>
          </w:p>
          <w:p w:rsidR="00000000" w:rsidRPr="00353434" w:rsidP="00353434">
            <w:pPr>
              <w:pStyle w:val="BodyText"/>
            </w:pPr>
            <w:r w:rsidRPr="00353434">
              <w:t>Interpret technical drawings and symbols</w:t>
            </w:r>
          </w:p>
          <w:p w:rsidR="00000000" w:rsidRPr="00353434" w:rsidP="00353434">
            <w:pPr>
              <w:pStyle w:val="BodyText"/>
            </w:pPr>
            <w:r w:rsidRPr="00353434">
              <w:t>Emergency Response procedures</w:t>
            </w:r>
          </w:p>
          <w:p w:rsidR="00000000" w:rsidRPr="00353434" w:rsidP="00353434">
            <w:pPr>
              <w:pStyle w:val="BodyText"/>
            </w:pPr>
            <w:r w:rsidRPr="00353434">
              <w:t>Responding to a Dial Before You Dig enquiry</w:t>
            </w:r>
          </w:p>
          <w:p w:rsidR="00000000" w:rsidRPr="00353434" w:rsidP="00353434">
            <w:pPr>
              <w:pStyle w:val="BodyText"/>
            </w:pPr>
            <w:r w:rsidRPr="00353434">
              <w:t>Work utilising relevant OHS legislation, regulations, codes of practice, policies and procedures</w:t>
            </w:r>
          </w:p>
          <w:p w:rsidR="00000000" w:rsidRPr="00353434" w:rsidP="00353434">
            <w:pPr>
              <w:pStyle w:val="BodyText"/>
            </w:pPr>
            <w:r w:rsidRPr="00353434">
              <w:t>Maintain a safe and clean workplace</w:t>
            </w:r>
          </w:p>
          <w:p w:rsidR="00000000" w:rsidP="00353434">
            <w:pPr>
              <w:pStyle w:val="BodyText"/>
              <w:rPr>
                <w:lang w:val="en-NZ"/>
              </w:rPr>
            </w:pPr>
            <w:r w:rsidRPr="00353434">
              <w:t>Apply planning skills</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At least one occasio</w:t>
            </w:r>
            <w:r w:rsidRPr="00353434">
              <w:t>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 xml:space="preserve">Deal with an unplanned event by drawing on essential knowledge and associated skills to provide appropriate solutions incorporated in the holistic assessment with the above listed items </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8</w:t>
            </w:r>
            <w:r w:rsidRPr="00353434">
              <w:t>.</w:t>
            </w:r>
            <w:r w:rsidRPr="00353434">
              <w:rPr>
                <w:rStyle w:val="SpecialBold"/>
              </w:rPr>
              <w:t>3</w:t>
            </w:r>
            <w:r w:rsidRPr="00353434">
              <w:t xml:space="preserve">) </w:t>
            </w:r>
          </w:p>
          <w:p w:rsidR="00000000" w:rsidRPr="00353434" w:rsidP="00353434">
            <w:pPr>
              <w:pStyle w:val="BodyText"/>
            </w:pPr>
            <w:r w:rsidRPr="00353434">
              <w:t>This unit should be assessed as it relates to normal work practice using procedures, information and resources typical of a workplace. This should include:</w:t>
            </w:r>
          </w:p>
          <w:p w:rsidR="00000000" w:rsidRPr="00353434" w:rsidP="00353434">
            <w:pPr>
              <w:pStyle w:val="ListBullet"/>
            </w:pPr>
            <w:r w:rsidRPr="00353434">
              <w:t>OHS policy and work procedures and instructions.</w:t>
            </w:r>
          </w:p>
          <w:p w:rsidR="00000000" w:rsidRPr="00353434" w:rsidP="00353434">
            <w:pPr>
              <w:pStyle w:val="ListBullet"/>
            </w:pPr>
            <w:r w:rsidRPr="00353434">
              <w:t>Suitable work environment, facilities, equipment and materials to undertake actual work as prescribed by this Competency Standard Unit.</w:t>
            </w:r>
          </w:p>
          <w:p w:rsidR="00000000" w:rsidRPr="00353434" w:rsidP="00353434">
            <w:pPr>
              <w:pStyle w:val="ListBullet"/>
            </w:pPr>
            <w:r w:rsidRPr="00353434">
              <w:t>Appropriate environmental regulation and work practices.</w:t>
            </w:r>
          </w:p>
          <w:p w:rsidR="00000000" w:rsidRPr="00353434" w:rsidP="00353434">
            <w:pPr>
              <w:pStyle w:val="ListBullet"/>
            </w:pPr>
            <w:r w:rsidRPr="00353434">
              <w:t>Appropriate organisational requirements.</w:t>
            </w:r>
          </w:p>
          <w:p w:rsidR="00000000" w:rsidP="00353434">
            <w:pPr>
              <w:pStyle w:val="ListBullet"/>
              <w:rPr>
                <w:lang w:val="en-NZ"/>
              </w:rPr>
            </w:pPr>
            <w:r w:rsidRPr="00353434">
              <w:t>Appropriate work envir</w:t>
            </w:r>
            <w:r w:rsidRPr="00353434">
              <w:t>onment, equipment and tools.</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In addition to the resources listed above, in Context of and specific resources for assessment, evidence should show demonstrated competency in monitoring and controlling field activities.</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Assessment of this competency must also be undertaken in either an actual workplace or under a simulated work environment. Assessment must also integrate the Key Competencies.</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8</w:t>
            </w:r>
            <w:r w:rsidRPr="00353434">
              <w:t>.</w:t>
            </w:r>
            <w:r w:rsidRPr="00353434">
              <w:rPr>
                <w:rStyle w:val="SpecialBold"/>
              </w:rPr>
              <w:t>4</w:t>
            </w:r>
            <w:r w:rsidRPr="00353434">
              <w:t xml:space="preserve">) </w:t>
            </w:r>
          </w:p>
          <w:p w:rsidR="00000000" w:rsidRPr="00353434" w:rsidP="00353434">
            <w:pPr>
              <w:pStyle w:val="BodyText"/>
            </w:pPr>
            <w:r w:rsidRPr="00353434">
              <w:t>This Competency Standard Unit shall be assesse</w:t>
            </w:r>
            <w:r w:rsidRPr="00353434">
              <w:t>d by methods given in Volume 1, Part 3 'Assessment Guidelines'.</w:t>
            </w:r>
          </w:p>
          <w:p w:rsidR="00000000" w:rsidP="00353434">
            <w:pPr>
              <w:pStyle w:val="BodyText"/>
              <w:rPr>
                <w:lang w:val="en-NZ"/>
              </w:rPr>
            </w:pPr>
            <w:r w:rsidRPr="00353434">
              <w:t>Note:</w:t>
            </w:r>
            <w:r w:rsidRPr="00353434">
              <w:br/>
            </w:r>
            <w:r w:rsidRPr="00353434">
              <w:t>Competent performance with inherent safe working practices is expected in the Industry to which this Competency Standard Unit applies. This requires that the specified Essential Knowledge and Associated Skills are assessed in a structured environment which</w:t>
            </w:r>
            <w:r w:rsidRPr="00353434">
              <w:t xml:space="preserve"> is primarily intended for learning/assessment and incorporates all necessary equipment and facilities for learners to develop and demonstrate the essential knowledge and associated skills described in this unit.</w:t>
            </w:r>
          </w:p>
        </w:tc>
      </w:tr>
      <w:tr w:rsidTr="00F81BE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Concurrent assessment and relationshi</w:t>
            </w:r>
            <w:r w:rsidRPr="00353434">
              <w:rPr>
                <w:rStyle w:val="SpecialBold"/>
              </w:rPr>
              <w:t>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8</w:t>
            </w:r>
            <w:r w:rsidRPr="00353434">
              <w:t>.</w:t>
            </w:r>
            <w:r w:rsidRPr="00353434">
              <w:rPr>
                <w:rStyle w:val="SpecialBold"/>
              </w:rPr>
              <w:t>5</w:t>
            </w:r>
            <w:r w:rsidRPr="00353434">
              <w:t xml:space="preserve">) </w:t>
            </w:r>
          </w:p>
        </w:tc>
      </w:tr>
      <w:tr w:rsidTr="00F81BE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 xml:space="preserve">There are no recommended concurrent assessments with this unit, however in some cases efficiencies may be gained in terms of learning and assessment </w:t>
            </w:r>
            <w:r w:rsidRPr="00353434">
              <w:t>effort being concurrently managed with allied Competency Standard Units where listed.</w:t>
            </w:r>
          </w:p>
        </w:tc>
      </w:tr>
      <w:tr w:rsidTr="00F81BE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BSBFLM405A</w:t>
            </w:r>
          </w:p>
        </w:tc>
        <w:tc>
          <w:tcPr>
            <w:tcW w:w="4500" w:type="dxa"/>
            <w:gridSpan w:val="3"/>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Implement operational plans</w:t>
            </w:r>
          </w:p>
        </w:tc>
      </w:tr>
      <w:tr w:rsidTr="00F81BE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BSBCMN411A</w:t>
            </w:r>
          </w:p>
        </w:tc>
        <w:tc>
          <w:tcPr>
            <w:tcW w:w="4500" w:type="dxa"/>
            <w:gridSpan w:val="3"/>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Monitor a safe workplace</w:t>
            </w:r>
          </w:p>
        </w:tc>
      </w:tr>
      <w:tr w:rsidTr="00F81BE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53434" w:rsidP="00353434">
            <w:pPr>
              <w:pStyle w:val="BodyText"/>
            </w:pPr>
            <w:r w:rsidRPr="00353434">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8</w:t>
            </w:r>
            <w:r w:rsidRPr="00353434">
              <w:t>.</w:t>
            </w:r>
            <w:r w:rsidRPr="00353434">
              <w:rPr>
                <w:rStyle w:val="SpecialBold"/>
              </w:rPr>
              <w:t>6</w:t>
            </w:r>
            <w:r w:rsidRPr="00353434">
              <w:t xml:space="preserve">) </w:t>
            </w:r>
          </w:p>
          <w:p w:rsidR="00000000" w:rsidP="00353434">
            <w:pPr>
              <w:pStyle w:val="BodyText"/>
              <w:rPr>
                <w:lang w:val="en-NZ"/>
              </w:rPr>
            </w:pPr>
            <w:r w:rsidRPr="00353434">
              <w:t>Evidence that particular Key Competencies have been achieved within this Competency Standard Unit is in the context of the following performance criteria of evidence. See Volume 2, Part 4 for an explanation of Key Competencies and levels of this Training P</w:t>
            </w:r>
            <w:r w:rsidRPr="00353434">
              <w:t>ackage.</w:t>
            </w:r>
          </w:p>
        </w:tc>
      </w:tr>
      <w:tr w:rsidTr="00F81BE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r w:rsidRPr="00353434">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r w:rsidRPr="0035343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rPr>
                <w:rStyle w:val="SpecialBold"/>
              </w:rPr>
              <w:t>Performance Level</w:t>
            </w:r>
          </w:p>
        </w:tc>
      </w:tr>
      <w:tr w:rsidTr="00F81B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p>
          <w:p w:rsidR="00000000" w:rsidP="00353434">
            <w:pPr>
              <w:pStyle w:val="BodyText"/>
              <w:rPr>
                <w:lang w:val="en-NZ"/>
              </w:rPr>
            </w:pPr>
            <w:r w:rsidRPr="00353434">
              <w:t>1</w:t>
            </w:r>
          </w:p>
        </w:tc>
      </w:tr>
      <w:tr w:rsidTr="00F81B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1.1; 1.2; 1.4; 1.7; 1.8; 2.3; 2.4; 2.5; 2.7; 2.8; 3.6; 3.7; 3.8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p>
        </w:tc>
      </w:tr>
      <w:tr w:rsidTr="00F81B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How can information be collected, analysed and organised?</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p>
          <w:p w:rsidR="00000000" w:rsidP="00353434">
            <w:pPr>
              <w:pStyle w:val="BodyText"/>
              <w:rPr>
                <w:lang w:val="en-NZ"/>
              </w:rPr>
            </w:pPr>
            <w:r w:rsidRPr="00353434">
              <w:t>1</w:t>
            </w:r>
          </w:p>
        </w:tc>
      </w:tr>
      <w:tr w:rsidTr="00F81B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p>
        </w:tc>
      </w:tr>
      <w:tr w:rsidTr="00F81B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p>
          <w:p w:rsidR="00000000" w:rsidP="00353434">
            <w:pPr>
              <w:pStyle w:val="BodyText"/>
              <w:rPr>
                <w:lang w:val="en-NZ"/>
              </w:rPr>
            </w:pPr>
            <w:r w:rsidRPr="00353434">
              <w:t>1</w:t>
            </w:r>
          </w:p>
        </w:tc>
      </w:tr>
      <w:tr w:rsidTr="00F81B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1.1; 1.3; 1.6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p>
        </w:tc>
      </w:tr>
      <w:tr w:rsidTr="00F81B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p>
          <w:p w:rsidR="00000000" w:rsidP="00353434">
            <w:pPr>
              <w:pStyle w:val="BodyText"/>
              <w:rPr>
                <w:lang w:val="en-NZ"/>
              </w:rPr>
            </w:pPr>
            <w:r w:rsidRPr="00353434">
              <w:t>1</w:t>
            </w:r>
          </w:p>
        </w:tc>
      </w:tr>
      <w:tr w:rsidTr="00F81B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1.1; 1.2; 1.4; 1.8; 2.3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p>
        </w:tc>
      </w:tr>
      <w:tr w:rsidTr="00F81B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p>
          <w:p w:rsidR="00000000" w:rsidP="00353434">
            <w:pPr>
              <w:pStyle w:val="BodyText"/>
              <w:rPr>
                <w:lang w:val="en-NZ"/>
              </w:rPr>
            </w:pPr>
            <w:r w:rsidRPr="00353434">
              <w:t>N/A</w:t>
            </w:r>
          </w:p>
        </w:tc>
      </w:tr>
      <w:tr w:rsidTr="00F81B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p>
        </w:tc>
      </w:tr>
      <w:tr w:rsidTr="00F81B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p>
          <w:p w:rsidR="00000000" w:rsidP="00353434">
            <w:pPr>
              <w:pStyle w:val="BodyText"/>
              <w:rPr>
                <w:lang w:val="en-NZ"/>
              </w:rPr>
            </w:pPr>
            <w:r w:rsidRPr="00353434">
              <w:t>N/A</w:t>
            </w:r>
          </w:p>
        </w:tc>
      </w:tr>
      <w:tr w:rsidTr="00F81BE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p>
        </w:tc>
      </w:tr>
      <w:tr w:rsidTr="00F81BE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p>
          <w:p w:rsidR="00000000" w:rsidP="00353434">
            <w:pPr>
              <w:pStyle w:val="BodyText"/>
              <w:rPr>
                <w:lang w:val="en-NZ"/>
              </w:rPr>
            </w:pPr>
            <w:r w:rsidRPr="00353434">
              <w:t>N/A</w:t>
            </w:r>
          </w:p>
        </w:tc>
      </w:tr>
      <w:tr w:rsidTr="00F81BE8">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81BE8">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353434" w:rsidP="00353434">
            <w:pPr>
              <w:pStyle w:val="BodyText"/>
            </w:pPr>
            <w:r w:rsidRPr="00353434">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353434" w:rsidP="00353434">
            <w:pPr>
              <w:pStyle w:val="BodyText"/>
            </w:pPr>
            <w:r w:rsidRPr="00353434">
              <w:rPr>
                <w:rStyle w:val="SpecialBold"/>
              </w:rPr>
              <w:t>8</w:t>
            </w:r>
            <w:r w:rsidRPr="00353434">
              <w:t>.</w:t>
            </w:r>
            <w:r w:rsidRPr="00353434">
              <w:rPr>
                <w:rStyle w:val="SpecialBold"/>
              </w:rPr>
              <w:t>7</w:t>
            </w:r>
            <w:r w:rsidRPr="00353434">
              <w:t xml:space="preserve">) </w:t>
            </w:r>
          </w:p>
          <w:p w:rsidR="00000000" w:rsidP="00353434">
            <w:pPr>
              <w:pStyle w:val="BodyText"/>
              <w:rPr>
                <w:lang w:val="en-NZ"/>
              </w:rPr>
            </w:pPr>
            <w:r w:rsidRPr="00353434">
              <w:t xml:space="preserve">Evidence that competency in this unit incorporates skills enabling employment is in the context of the following performance. See Volume 2, Part 5 for definitions and an explanation of skills enabling employment. </w:t>
            </w:r>
          </w:p>
        </w:tc>
      </w:tr>
      <w:tr w:rsidTr="00F81BE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r w:rsidRPr="00353434">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rPr>
                <w:rStyle w:val="SpecialBold"/>
              </w:rPr>
              <w:t>Example of Application</w:t>
            </w:r>
          </w:p>
        </w:tc>
      </w:tr>
      <w:tr w:rsidTr="00F81B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r>
      <w:tr w:rsidTr="00F81B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All</w:t>
            </w:r>
          </w:p>
        </w:tc>
      </w:tr>
      <w:tr w:rsidTr="00F81B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r>
      <w:tr w:rsidTr="00F81B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1.3; 2.3; 2.4; 2.5</w:t>
            </w:r>
          </w:p>
        </w:tc>
      </w:tr>
      <w:tr w:rsidTr="00F81B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Reflecting on the outcome and process of work task</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r>
      <w:tr w:rsidTr="00F81B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3.7; 3.8</w:t>
            </w:r>
          </w:p>
        </w:tc>
      </w:tr>
      <w:tr w:rsidTr="00F81B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r>
      <w:tr w:rsidTr="00F81B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1.1; 1.2; 1.4; 1.7; 1.8; 2.3; 2.4; 2.5; 2.7; 2.8; 3.6; 3.7</w:t>
            </w:r>
          </w:p>
        </w:tc>
      </w:tr>
      <w:tr w:rsidTr="00F81B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r>
      <w:tr w:rsidTr="00F81B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1.1; 1.2; 1.3</w:t>
            </w:r>
          </w:p>
        </w:tc>
      </w:tr>
      <w:tr w:rsidTr="00F81BE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34">
            <w:pPr>
              <w:pStyle w:val="BodyText"/>
              <w:rPr>
                <w:lang w:val="en-NZ"/>
              </w:rPr>
            </w:pPr>
            <w:r w:rsidRPr="00353434">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434">
            <w:pPr>
              <w:pStyle w:val="BodyText"/>
              <w:rPr>
                <w:lang w:val="en-NZ"/>
              </w:rPr>
            </w:pPr>
            <w:r w:rsidRPr="00353434">
              <w:t>Refer to the following Performance Criteria for examples of application:</w:t>
            </w:r>
          </w:p>
        </w:tc>
      </w:tr>
      <w:tr w:rsidTr="00F81BE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53434" w:rsidP="00353434">
            <w:pPr>
              <w:pStyle w:val="BodyText"/>
            </w:pPr>
            <w:r w:rsidRPr="00353434">
              <w:t>2.5</w:t>
            </w:r>
          </w:p>
        </w:tc>
      </w:tr>
    </w:tbl>
    <w:p w:rsidR="00F81BE8" w:rsidP="00353434">
      <w:pPr>
        <w:pStyle w:val="BodyText"/>
      </w:pPr>
    </w:p>
    <w:p w:rsidR="00F81BE8" w:rsidP="00353434">
      <w:pPr>
        <w:pStyle w:val="BodyText"/>
      </w:pPr>
    </w:p>
    <w:p w:rsidR="00000000" w:rsidRPr="00353434" w:rsidP="00353434">
      <w:pPr>
        <w:pStyle w:val="Heading1"/>
      </w:pPr>
      <w:bookmarkStart w:id="11" w:name="O_255813"/>
      <w:bookmarkEnd w:id="11"/>
      <w:r w:rsidRPr="00353434">
        <w:t>Range Statement</w:t>
      </w:r>
    </w:p>
    <w:tbl>
      <w:tblPr>
        <w:tblW w:w="0" w:type="auto"/>
        <w:tblLayout w:type="fixed"/>
        <w:tblCellMar>
          <w:left w:w="62" w:type="dxa"/>
          <w:right w:w="62" w:type="dxa"/>
        </w:tblCellMar>
        <w:tblLook w:val="0000"/>
      </w:tblPr>
      <w:tblGrid>
        <w:gridCol w:w="8460"/>
      </w:tblGrid>
      <w:tr w:rsidTr="00F81B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RANGE STATEMENT</w:t>
            </w:r>
          </w:p>
        </w:tc>
      </w:tr>
      <w:tr w:rsidTr="00F81B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7</w:t>
            </w:r>
            <w:r w:rsidRPr="00353434">
              <w:t xml:space="preserve">) This relates to the competency standard unit as a whole providing the range of contexts and conditions </w:t>
            </w:r>
            <w:r w:rsidRPr="00353434">
              <w:t>to which the performance criteria apply. It allows for different work environments and situations that will affect performance.</w:t>
            </w:r>
          </w:p>
        </w:tc>
      </w:tr>
      <w:tr w:rsidTr="00F81B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 xml:space="preserve">This Competency Standard Unit shall/may be demonstrated in relation to compliance with the monitoring of permit to work requests, dispatching personnel, responding to alarms, travel and activity monitoring of field personnel, monitoring work activities of </w:t>
            </w:r>
            <w:r w:rsidRPr="00353434">
              <w:t>field personnel against work schedule, contingency skills, response to third party enquiries, out of hours pipeline notification, response to man down alarm, tracking of field personnel (remote area), monitoring activities on pipeline, monitoring availabil</w:t>
            </w:r>
            <w:r w:rsidRPr="00353434">
              <w:t>ity of assets (maintain a log), monitor equipment status, coordinating field activities, controlling and authorising field works, preparing incident reports, controlling gas flow and quality, controlling pressure and temperature of gas.</w:t>
            </w:r>
          </w:p>
          <w:p w:rsidR="00000000" w:rsidRPr="00353434" w:rsidP="00353434">
            <w:pPr>
              <w:pStyle w:val="BodyText"/>
            </w:pPr>
            <w:r w:rsidRPr="00353434">
              <w:t>The following const</w:t>
            </w:r>
            <w:r w:rsidRPr="00353434">
              <w:t>ants and variables included in the element/performance criteria in this unit are fully described in the Definitions Section of this volume and form an integral part of the Range Statement of this unit:</w:t>
            </w:r>
          </w:p>
          <w:p w:rsidR="00000000" w:rsidRPr="00353434" w:rsidP="00353434">
            <w:pPr>
              <w:pStyle w:val="BodyText"/>
            </w:pPr>
            <w:r w:rsidRPr="00353434">
              <w:t>Areas to be monitored:</w:t>
            </w:r>
          </w:p>
          <w:p w:rsidR="00000000" w:rsidRPr="00353434" w:rsidP="00353434">
            <w:pPr>
              <w:pStyle w:val="BodyText"/>
            </w:pPr>
            <w:r w:rsidRPr="00353434">
              <w:t>Areas to control:</w:t>
            </w:r>
          </w:p>
          <w:p w:rsidR="00000000" w:rsidRPr="00353434" w:rsidP="00353434">
            <w:pPr>
              <w:pStyle w:val="BodyText"/>
            </w:pPr>
            <w:r w:rsidRPr="00353434">
              <w:t>Gas infrastru</w:t>
            </w:r>
            <w:r w:rsidRPr="00353434">
              <w:t xml:space="preserve">cture: </w:t>
            </w:r>
          </w:p>
          <w:p w:rsidR="00000000" w:rsidRPr="00353434" w:rsidP="00353434">
            <w:pPr>
              <w:pStyle w:val="BodyText"/>
            </w:pPr>
            <w:r w:rsidRPr="00353434">
              <w:t>Organisational requirements (4)</w:t>
            </w:r>
          </w:p>
          <w:p w:rsidR="00000000" w:rsidRPr="00353434" w:rsidP="00353434">
            <w:pPr>
              <w:pStyle w:val="BodyText"/>
            </w:pPr>
            <w:r w:rsidRPr="00353434">
              <w:t>Records/reports (5)</w:t>
            </w:r>
          </w:p>
          <w:p w:rsidR="00000000" w:rsidRPr="00353434" w:rsidP="00353434">
            <w:pPr>
              <w:pStyle w:val="BodyText"/>
            </w:pPr>
            <w:r w:rsidRPr="00353434">
              <w:t>Information systems</w:t>
            </w:r>
          </w:p>
          <w:p w:rsidR="00000000" w:rsidRPr="00353434" w:rsidP="00353434">
            <w:pPr>
              <w:pStyle w:val="BodyText"/>
            </w:pPr>
            <w:r w:rsidRPr="00353434">
              <w:t>Maps and drawings</w:t>
            </w:r>
          </w:p>
          <w:p w:rsidR="00000000" w:rsidRPr="00353434" w:rsidP="00353434">
            <w:pPr>
              <w:pStyle w:val="BodyText"/>
            </w:pPr>
            <w:r w:rsidRPr="00353434">
              <w:t>Established procedures</w:t>
            </w:r>
          </w:p>
        </w:tc>
      </w:tr>
    </w:tbl>
    <w:p w:rsidR="00F81BE8" w:rsidP="00353434">
      <w:pPr>
        <w:pStyle w:val="BodyText"/>
      </w:pPr>
    </w:p>
    <w:p w:rsidR="00F81BE8" w:rsidP="00353434">
      <w:pPr>
        <w:pStyle w:val="BodyText"/>
      </w:pPr>
    </w:p>
    <w:p w:rsidR="00000000" w:rsidRPr="00353434" w:rsidP="00353434">
      <w:pPr>
        <w:pStyle w:val="Heading1"/>
      </w:pPr>
      <w:bookmarkStart w:id="12" w:name="O_296826"/>
      <w:bookmarkEnd w:id="12"/>
      <w:r w:rsidRPr="00353434">
        <w:t>Unit Sector(s)</w:t>
      </w:r>
    </w:p>
    <w:p w:rsidR="00000000" w:rsidRPr="00353434" w:rsidP="00353434">
      <w:pPr>
        <w:pStyle w:val="BodyText"/>
      </w:pPr>
      <w:r w:rsidRPr="00353434">
        <w:t>Not Applicable</w:t>
      </w:r>
    </w:p>
    <w:p w:rsidR="00000000" w:rsidRPr="00353434" w:rsidP="00353434">
      <w:pPr>
        <w:pStyle w:val="AllowPageBreak"/>
      </w:pPr>
    </w:p>
    <w:p w:rsidR="00000000" w:rsidRPr="00353434" w:rsidP="00353434">
      <w:pPr>
        <w:pStyle w:val="Heading1"/>
      </w:pPr>
      <w:bookmarkStart w:id="13" w:name="O_229615"/>
      <w:bookmarkEnd w:id="13"/>
      <w:r w:rsidRPr="0035343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8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2</w:t>
            </w:r>
            <w:r w:rsidRPr="00353434">
              <w:t>.</w:t>
            </w:r>
            <w:r w:rsidRPr="00353434">
              <w:rPr>
                <w:rStyle w:val="SpecialBold"/>
              </w:rPr>
              <w:t>2</w:t>
            </w:r>
            <w:r w:rsidRPr="00353434">
              <w:t xml:space="preserve">) </w:t>
            </w:r>
          </w:p>
          <w:p w:rsidR="00000000" w:rsidP="00353434">
            <w:pPr>
              <w:pStyle w:val="BodyText"/>
              <w:rPr>
                <w:lang w:val="en-NZ"/>
              </w:rPr>
            </w:pPr>
            <w:r w:rsidRPr="00353434">
              <w:t>Participants are best equipped to achieve this unit if they have reading, writing and numeracy skills indicated by the following scales. Description of each scale is given in Volume 2, Part 3 'Literacy and Numeracy'</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Reading</w:t>
            </w:r>
          </w:p>
        </w:tc>
        <w:tc>
          <w:tcPr>
            <w:tcW w:w="805"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4</w:t>
            </w:r>
          </w:p>
        </w:tc>
        <w:tc>
          <w:tcPr>
            <w:tcW w:w="1184"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Writing</w:t>
            </w:r>
          </w:p>
        </w:tc>
        <w:tc>
          <w:tcPr>
            <w:tcW w:w="805"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4</w:t>
            </w:r>
          </w:p>
        </w:tc>
        <w:tc>
          <w:tcPr>
            <w:tcW w:w="1172"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t>Numeracy</w:t>
            </w:r>
          </w:p>
        </w:tc>
        <w:tc>
          <w:tcPr>
            <w:tcW w:w="805"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4</w:t>
            </w:r>
          </w:p>
        </w:tc>
      </w:tr>
    </w:tbl>
    <w:p w:rsidR="00F81BE8" w:rsidP="00353434">
      <w:pPr>
        <w:pStyle w:val="BodyText"/>
      </w:pPr>
    </w:p>
    <w:p w:rsidR="00F81BE8" w:rsidP="00353434">
      <w:pPr>
        <w:pStyle w:val="BodyText"/>
      </w:pPr>
    </w:p>
    <w:p w:rsidR="00000000" w:rsidRPr="00353434" w:rsidP="00353434">
      <w:pPr>
        <w:pStyle w:val="Heading1"/>
      </w:pPr>
      <w:bookmarkStart w:id="14" w:name="O_229618"/>
      <w:bookmarkEnd w:id="14"/>
      <w:r w:rsidRPr="00353434">
        <w:t>Competency Field</w:t>
      </w:r>
    </w:p>
    <w:tbl>
      <w:tblPr>
        <w:tblW w:w="0" w:type="auto"/>
        <w:tblLayout w:type="fixed"/>
        <w:tblCellMar>
          <w:left w:w="62" w:type="dxa"/>
          <w:right w:w="62" w:type="dxa"/>
        </w:tblCellMar>
        <w:tblLook w:val="0000"/>
      </w:tblPr>
      <w:tblGrid>
        <w:gridCol w:w="2700"/>
        <w:gridCol w:w="5760"/>
      </w:tblGrid>
      <w:tr w:rsidTr="00F8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53434">
            <w:pPr>
              <w:pStyle w:val="BodyText"/>
              <w:rPr>
                <w:lang w:val="en-NZ"/>
              </w:rPr>
            </w:pPr>
            <w:r w:rsidRPr="00353434">
              <w:rPr>
                <w:rStyle w:val="SpecialBold"/>
              </w:rPr>
              <w:t>4</w:t>
            </w:r>
            <w:r w:rsidRPr="00353434">
              <w:t xml:space="preserve">) </w:t>
            </w:r>
          </w:p>
        </w:tc>
      </w:tr>
      <w:tr w:rsidTr="00F8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3434" w:rsidP="00353434">
            <w:pPr>
              <w:pStyle w:val="BodyText"/>
            </w:pPr>
            <w:r w:rsidRPr="00353434">
              <w:t>Control centre.</w:t>
            </w:r>
          </w:p>
        </w:tc>
      </w:tr>
    </w:tbl>
    <w:p w:rsidR="00F81BE8" w:rsidP="00353434">
      <w:pPr>
        <w:pStyle w:val="BodyText"/>
      </w:pPr>
    </w:p>
    <w:p w:rsidR="00F81BE8" w:rsidP="00353434">
      <w:pPr>
        <w:pStyle w:val="BodyText"/>
      </w:pPr>
    </w:p>
    <w:p w:rsidR="00000000" w:rsidRPr="00353434" w:rsidP="00353434"/>
    <w:sectPr w:rsidSect="003534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BE8" w:rsidP="00F81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E8" w:rsidP="003534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81BE8" w:rsidP="003534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81BE8" w:rsidP="003534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BE8" w:rsidP="00F81B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E8" w:rsidP="00353434">
    <w:pPr>
      <w:pStyle w:val="Header"/>
      <w:framePr w:wrap="around"/>
    </w:pPr>
    <w:r>
      <w:fldChar w:fldCharType="begin"/>
    </w:r>
    <w:r>
      <w:instrText xml:space="preserve"> TITLE   \* MERGEFORMAT </w:instrText>
    </w:r>
    <w:r>
      <w:fldChar w:fldCharType="separate"/>
    </w:r>
    <w:r>
      <w:t>UEGNSG504A Monitoring and controlling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1BE8" w:rsidP="003534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4D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3C99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002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4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3434"/>
    <w:pPr>
      <w:spacing w:before="360" w:after="60"/>
      <w:outlineLvl w:val="0"/>
    </w:pPr>
    <w:rPr>
      <w:sz w:val="32"/>
    </w:rPr>
  </w:style>
  <w:style w:type="paragraph" w:styleId="Heading2">
    <w:name w:val="heading 2"/>
    <w:basedOn w:val="HeadingBase"/>
    <w:next w:val="BodyText"/>
    <w:link w:val="Heading2Char"/>
    <w:qFormat/>
    <w:rsid w:val="00353434"/>
    <w:pPr>
      <w:keepLines/>
      <w:spacing w:before="240" w:after="120"/>
      <w:outlineLvl w:val="1"/>
    </w:pPr>
    <w:rPr>
      <w:sz w:val="28"/>
      <w:szCs w:val="40"/>
    </w:rPr>
  </w:style>
  <w:style w:type="paragraph" w:styleId="Heading3">
    <w:name w:val="heading 3"/>
    <w:basedOn w:val="HeadingBase"/>
    <w:next w:val="BodyText"/>
    <w:link w:val="Heading3Char"/>
    <w:qFormat/>
    <w:rsid w:val="00353434"/>
    <w:pPr>
      <w:spacing w:before="180" w:after="120"/>
      <w:outlineLvl w:val="2"/>
    </w:pPr>
    <w:rPr>
      <w:spacing w:val="-10"/>
      <w:kern w:val="32"/>
    </w:rPr>
  </w:style>
  <w:style w:type="paragraph" w:styleId="Heading4">
    <w:name w:val="heading 4"/>
    <w:basedOn w:val="HeadingBase"/>
    <w:next w:val="BodyText"/>
    <w:link w:val="Heading4Char"/>
    <w:qFormat/>
    <w:rsid w:val="00353434"/>
    <w:pPr>
      <w:spacing w:before="160" w:after="120"/>
      <w:outlineLvl w:val="3"/>
    </w:pPr>
    <w:rPr>
      <w:sz w:val="22"/>
    </w:rPr>
  </w:style>
  <w:style w:type="paragraph" w:styleId="Heading5">
    <w:name w:val="heading 5"/>
    <w:basedOn w:val="HeadingBase"/>
    <w:next w:val="Normal"/>
    <w:link w:val="Heading5Char"/>
    <w:qFormat/>
    <w:rsid w:val="00353434"/>
    <w:pPr>
      <w:spacing w:before="80"/>
      <w:outlineLvl w:val="4"/>
    </w:pPr>
    <w:rPr>
      <w:color w:val="918585"/>
      <w:sz w:val="20"/>
    </w:rPr>
  </w:style>
  <w:style w:type="paragraph" w:styleId="Heading6">
    <w:name w:val="heading 6"/>
    <w:basedOn w:val="HeadingBase"/>
    <w:next w:val="Normal"/>
    <w:link w:val="Heading6Char"/>
    <w:qFormat/>
    <w:rsid w:val="00353434"/>
    <w:pPr>
      <w:spacing w:before="60"/>
      <w:outlineLvl w:val="5"/>
    </w:pPr>
    <w:rPr>
      <w:color w:val="918585"/>
      <w:sz w:val="20"/>
    </w:rPr>
  </w:style>
  <w:style w:type="paragraph" w:styleId="Heading7">
    <w:name w:val="heading 7"/>
    <w:basedOn w:val="Normal"/>
    <w:next w:val="Normal"/>
    <w:link w:val="Heading7Char"/>
    <w:qFormat/>
    <w:rsid w:val="00353434"/>
    <w:pPr>
      <w:ind w:left="720"/>
      <w:outlineLvl w:val="6"/>
    </w:pPr>
    <w:rPr>
      <w:i/>
    </w:rPr>
  </w:style>
  <w:style w:type="paragraph" w:styleId="Heading8">
    <w:name w:val="heading 8"/>
    <w:basedOn w:val="Normal"/>
    <w:next w:val="Normal"/>
    <w:link w:val="Heading8Char"/>
    <w:qFormat/>
    <w:rsid w:val="00353434"/>
    <w:pPr>
      <w:ind w:left="720"/>
      <w:outlineLvl w:val="7"/>
    </w:pPr>
    <w:rPr>
      <w:i/>
    </w:rPr>
  </w:style>
  <w:style w:type="paragraph" w:styleId="Heading9">
    <w:name w:val="heading 9"/>
    <w:basedOn w:val="Normal"/>
    <w:next w:val="Normal"/>
    <w:link w:val="Heading9Char"/>
    <w:qFormat/>
    <w:rsid w:val="00353434"/>
    <w:pPr>
      <w:ind w:left="720"/>
      <w:outlineLvl w:val="8"/>
    </w:pPr>
    <w:rPr>
      <w:i/>
    </w:rPr>
  </w:style>
  <w:style w:type="character" w:default="1" w:styleId="DefaultParagraphFont">
    <w:name w:val="Default Paragraph Font"/>
    <w:uiPriority w:val="1"/>
    <w:unhideWhenUsed/>
    <w:rsid w:val="003534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434"/>
  </w:style>
  <w:style w:type="character" w:customStyle="1" w:styleId="Heading1Char">
    <w:name w:val="Heading 1 Char"/>
    <w:basedOn w:val="DefaultParagraphFont"/>
    <w:link w:val="Heading1"/>
    <w:rsid w:val="00353434"/>
    <w:rPr>
      <w:rFonts w:ascii="Times New Roman" w:eastAsia="Times New Roman" w:hAnsi="Times New Roman" w:cs="Times New Roman"/>
      <w:b/>
      <w:sz w:val="32"/>
      <w:szCs w:val="20"/>
      <w:lang w:eastAsia="en-US"/>
    </w:rPr>
  </w:style>
  <w:style w:type="paragraph" w:styleId="BodyText">
    <w:name w:val="Body Text"/>
    <w:basedOn w:val="Normal"/>
    <w:link w:val="BodyTextChar"/>
    <w:rsid w:val="003534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434"/>
    <w:rPr>
      <w:rFonts w:ascii="Times New Roman" w:eastAsia="Times New Roman" w:hAnsi="Times New Roman" w:cs="Times New Roman"/>
      <w:sz w:val="24"/>
      <w:lang w:val="en-US" w:eastAsia="en-US"/>
    </w:rPr>
  </w:style>
  <w:style w:type="paragraph" w:styleId="Footer">
    <w:name w:val="footer"/>
    <w:basedOn w:val="Normal"/>
    <w:link w:val="FooterChar"/>
    <w:rsid w:val="003534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434"/>
    <w:rPr>
      <w:rFonts w:ascii="Times New Roman" w:eastAsia="Times New Roman" w:hAnsi="Times New Roman" w:cs="Times New Roman"/>
      <w:sz w:val="16"/>
      <w:lang w:val="en-US" w:eastAsia="en-US"/>
    </w:rPr>
  </w:style>
  <w:style w:type="paragraph" w:styleId="ListBullet">
    <w:name w:val="List Bullet"/>
    <w:basedOn w:val="List"/>
    <w:rsid w:val="00353434"/>
    <w:pPr>
      <w:numPr>
        <w:numId w:val="13"/>
      </w:numPr>
      <w:tabs>
        <w:tab w:val="clear" w:pos="340"/>
      </w:tabs>
      <w:spacing w:before="40" w:after="40"/>
    </w:pPr>
  </w:style>
  <w:style w:type="character" w:customStyle="1" w:styleId="SpecialBold">
    <w:name w:val="Special Bold"/>
    <w:basedOn w:val="DefaultParagraphFont"/>
    <w:rsid w:val="00353434"/>
    <w:rPr>
      <w:b/>
      <w:spacing w:val="0"/>
    </w:rPr>
  </w:style>
  <w:style w:type="paragraph" w:styleId="ListBullet2">
    <w:name w:val="List Bullet 2"/>
    <w:basedOn w:val="List2"/>
    <w:rsid w:val="00353434"/>
    <w:pPr>
      <w:numPr>
        <w:numId w:val="14"/>
      </w:numPr>
      <w:tabs>
        <w:tab w:val="clear" w:pos="680"/>
      </w:tabs>
    </w:pPr>
  </w:style>
  <w:style w:type="paragraph" w:styleId="Header">
    <w:name w:val="header"/>
    <w:basedOn w:val="Normal"/>
    <w:link w:val="HeaderChar"/>
    <w:rsid w:val="003534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4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3434"/>
    <w:pPr>
      <w:spacing w:before="240" w:after="120"/>
      <w:outlineLvl w:val="0"/>
    </w:pPr>
    <w:rPr>
      <w:rFonts w:ascii="Times New Roman" w:hAnsi="Times New Roman"/>
      <w:b/>
      <w:sz w:val="28"/>
    </w:rPr>
  </w:style>
  <w:style w:type="paragraph" w:customStyle="1" w:styleId="AllowPageBreak">
    <w:name w:val="AllowPageBreak"/>
    <w:rsid w:val="003534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4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4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4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4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4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4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34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3434"/>
    <w:rPr>
      <w:rFonts w:ascii="Courier New" w:eastAsia="Times New Roman" w:hAnsi="Courier New" w:cs="Times New Roman"/>
      <w:i/>
      <w:szCs w:val="20"/>
      <w:lang w:val="en-US" w:eastAsia="en-US"/>
    </w:rPr>
  </w:style>
  <w:style w:type="paragraph" w:customStyle="1" w:styleId="HeadingBase">
    <w:name w:val="Heading Base"/>
    <w:rsid w:val="003534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434"/>
    <w:pPr>
      <w:tabs>
        <w:tab w:val="right" w:leader="dot" w:pos="9072"/>
      </w:tabs>
      <w:ind w:left="567"/>
    </w:pPr>
    <w:rPr>
      <w:szCs w:val="22"/>
    </w:rPr>
  </w:style>
  <w:style w:type="paragraph" w:customStyle="1" w:styleId="TOCBase">
    <w:name w:val="TOC Base"/>
    <w:rsid w:val="003534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434"/>
    <w:pPr>
      <w:tabs>
        <w:tab w:val="right" w:leader="dot" w:pos="9072"/>
      </w:tabs>
      <w:spacing w:before="40" w:after="40"/>
      <w:ind w:left="284"/>
    </w:pPr>
    <w:rPr>
      <w:rFonts w:ascii="Times New Roman" w:hAnsi="Times New Roman"/>
    </w:rPr>
  </w:style>
  <w:style w:type="paragraph" w:styleId="TOC1">
    <w:name w:val="toc 1"/>
    <w:basedOn w:val="TOCBase"/>
    <w:next w:val="Normal"/>
    <w:rsid w:val="003534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3434"/>
    <w:pPr>
      <w:spacing w:before="5040"/>
      <w:jc w:val="center"/>
    </w:pPr>
    <w:rPr>
      <w:sz w:val="48"/>
      <w:szCs w:val="72"/>
      <w:lang w:val="en-US"/>
    </w:rPr>
  </w:style>
  <w:style w:type="character" w:customStyle="1" w:styleId="TitleChar">
    <w:name w:val="Title Char"/>
    <w:basedOn w:val="DefaultParagraphFont"/>
    <w:link w:val="Title"/>
    <w:rsid w:val="003534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434"/>
    <w:pPr>
      <w:tabs>
        <w:tab w:val="left" w:pos="3600"/>
        <w:tab w:val="left" w:pos="3958"/>
      </w:tabs>
    </w:pPr>
  </w:style>
  <w:style w:type="paragraph" w:styleId="List">
    <w:name w:val="List"/>
    <w:basedOn w:val="BodyText"/>
    <w:next w:val="BodyText"/>
    <w:rsid w:val="00353434"/>
    <w:pPr>
      <w:tabs>
        <w:tab w:val="left" w:pos="340"/>
      </w:tabs>
      <w:spacing w:before="60" w:after="60"/>
      <w:ind w:left="340" w:hanging="340"/>
    </w:pPr>
  </w:style>
  <w:style w:type="paragraph" w:customStyle="1" w:styleId="Note">
    <w:name w:val="Note"/>
    <w:basedOn w:val="BodyText"/>
    <w:rsid w:val="003534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434"/>
    <w:pPr>
      <w:framePr w:wrap="auto" w:hAnchor="text" w:y="6049"/>
    </w:pPr>
    <w:rPr>
      <w:color w:val="000000"/>
      <w:sz w:val="40"/>
    </w:rPr>
  </w:style>
  <w:style w:type="paragraph" w:customStyle="1" w:styleId="TOCTitle">
    <w:name w:val="TOCTitle"/>
    <w:basedOn w:val="Heading1"/>
    <w:rsid w:val="00353434"/>
    <w:pPr>
      <w:spacing w:after="240"/>
      <w:jc w:val="center"/>
      <w:outlineLvl w:val="9"/>
    </w:pPr>
    <w:rPr>
      <w:caps/>
    </w:rPr>
  </w:style>
  <w:style w:type="paragraph" w:customStyle="1" w:styleId="Version">
    <w:name w:val="Version"/>
    <w:rsid w:val="003534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434"/>
    <w:pPr>
      <w:keepNext w:val="0"/>
      <w:tabs>
        <w:tab w:val="right" w:pos="4176"/>
      </w:tabs>
      <w:ind w:left="198" w:hanging="198"/>
    </w:pPr>
    <w:rPr>
      <w:rFonts w:ascii="Garamond" w:hAnsi="Garamond"/>
    </w:rPr>
  </w:style>
  <w:style w:type="paragraph" w:styleId="IndexHeading">
    <w:name w:val="index heading"/>
    <w:basedOn w:val="Normal"/>
    <w:next w:val="Index1"/>
    <w:semiHidden/>
    <w:rsid w:val="00353434"/>
    <w:pPr>
      <w:spacing w:before="120" w:after="120"/>
    </w:pPr>
    <w:rPr>
      <w:rFonts w:ascii="Arial" w:hAnsi="Arial"/>
      <w:b/>
      <w:color w:val="918585"/>
      <w:sz w:val="24"/>
    </w:rPr>
  </w:style>
  <w:style w:type="paragraph" w:customStyle="1" w:styleId="Chapter">
    <w:name w:val="Chapter"/>
    <w:basedOn w:val="Normal"/>
    <w:rsid w:val="00353434"/>
    <w:pPr>
      <w:spacing w:before="240"/>
    </w:pPr>
    <w:rPr>
      <w:rFonts w:ascii="Times New Roman" w:hAnsi="Times New Roman"/>
      <w:smallCaps/>
      <w:spacing w:val="80"/>
      <w:sz w:val="28"/>
    </w:rPr>
  </w:style>
  <w:style w:type="paragraph" w:customStyle="1" w:styleId="InChapter">
    <w:name w:val="InChapter"/>
    <w:basedOn w:val="Heading3"/>
    <w:rsid w:val="00353434"/>
    <w:pPr>
      <w:spacing w:after="240"/>
      <w:outlineLvl w:val="9"/>
    </w:pPr>
    <w:rPr>
      <w:noProof/>
    </w:rPr>
  </w:style>
  <w:style w:type="paragraph" w:styleId="Index2">
    <w:name w:val="index 2"/>
    <w:basedOn w:val="Normal"/>
    <w:next w:val="Normal"/>
    <w:semiHidden/>
    <w:rsid w:val="00353434"/>
    <w:pPr>
      <w:tabs>
        <w:tab w:val="right" w:pos="4176"/>
      </w:tabs>
      <w:ind w:left="568" w:hanging="284"/>
    </w:pPr>
    <w:rPr>
      <w:rFonts w:ascii="Garamond" w:hAnsi="Garamond"/>
    </w:rPr>
  </w:style>
  <w:style w:type="paragraph" w:customStyle="1" w:styleId="Byline">
    <w:name w:val="Byline"/>
    <w:rsid w:val="003534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434"/>
    <w:pPr>
      <w:tabs>
        <w:tab w:val="clear" w:pos="3600"/>
        <w:tab w:val="clear" w:pos="3958"/>
      </w:tabs>
      <w:jc w:val="right"/>
    </w:pPr>
  </w:style>
  <w:style w:type="character" w:styleId="Emphasis">
    <w:name w:val="Emphasis"/>
    <w:basedOn w:val="DefaultParagraphFont"/>
    <w:qFormat/>
    <w:rsid w:val="00353434"/>
    <w:rPr>
      <w:i/>
    </w:rPr>
  </w:style>
  <w:style w:type="paragraph" w:styleId="Caption">
    <w:name w:val="caption"/>
    <w:basedOn w:val="BodyText"/>
    <w:next w:val="Normal"/>
    <w:qFormat/>
    <w:rsid w:val="00353434"/>
    <w:pPr>
      <w:framePr w:w="2268" w:hSpace="181" w:vSpace="181" w:wrap="around" w:vAnchor="text" w:hAnchor="page" w:x="1135" w:y="285" w:anchorLock="1"/>
    </w:pPr>
    <w:rPr>
      <w:i/>
    </w:rPr>
  </w:style>
  <w:style w:type="paragraph" w:customStyle="1" w:styleId="MiniTOCTitle">
    <w:name w:val="MiniTOCTitle"/>
    <w:basedOn w:val="Heading4"/>
    <w:rsid w:val="00353434"/>
    <w:pPr>
      <w:spacing w:before="240"/>
      <w:outlineLvl w:val="9"/>
    </w:pPr>
    <w:rPr>
      <w:noProof/>
      <w:sz w:val="24"/>
    </w:rPr>
  </w:style>
  <w:style w:type="paragraph" w:customStyle="1" w:styleId="MiniTOCItem">
    <w:name w:val="MiniTOCItem"/>
    <w:basedOn w:val="ListBullet"/>
    <w:rsid w:val="00353434"/>
    <w:pPr>
      <w:numPr>
        <w:numId w:val="0"/>
      </w:numPr>
      <w:tabs>
        <w:tab w:val="right" w:leader="dot" w:pos="6521"/>
      </w:tabs>
      <w:spacing w:before="0" w:after="0"/>
    </w:pPr>
  </w:style>
  <w:style w:type="paragraph" w:customStyle="1" w:styleId="TOFTitle">
    <w:name w:val="TOFTitle"/>
    <w:basedOn w:val="TOCTitle"/>
    <w:rsid w:val="00353434"/>
  </w:style>
  <w:style w:type="paragraph" w:styleId="TableofFigures">
    <w:name w:val="table of figures"/>
    <w:basedOn w:val="Normal"/>
    <w:next w:val="Normal"/>
    <w:semiHidden/>
    <w:rsid w:val="00353434"/>
    <w:pPr>
      <w:tabs>
        <w:tab w:val="right" w:leader="dot" w:pos="9072"/>
      </w:tabs>
      <w:ind w:left="970" w:hanging="403"/>
    </w:pPr>
    <w:rPr>
      <w:rFonts w:ascii="Times New Roman" w:hAnsi="Times New Roman"/>
      <w:b/>
    </w:rPr>
  </w:style>
  <w:style w:type="paragraph" w:styleId="ListNumber">
    <w:name w:val="List Number"/>
    <w:basedOn w:val="List"/>
    <w:rsid w:val="00353434"/>
    <w:pPr>
      <w:numPr>
        <w:numId w:val="11"/>
      </w:numPr>
    </w:pPr>
  </w:style>
  <w:style w:type="character" w:customStyle="1" w:styleId="WingdingSymbols">
    <w:name w:val="Wingding Symbols"/>
    <w:rsid w:val="00353434"/>
    <w:rPr>
      <w:rFonts w:ascii="Wingdings" w:hAnsi="Wingdings"/>
    </w:rPr>
  </w:style>
  <w:style w:type="paragraph" w:customStyle="1" w:styleId="TableHeading">
    <w:name w:val="Table Heading"/>
    <w:basedOn w:val="HeadingBase"/>
    <w:rsid w:val="00353434"/>
    <w:pPr>
      <w:keepLines/>
      <w:pBdr>
        <w:bottom w:val="single" w:sz="6" w:space="1" w:color="918585"/>
      </w:pBdr>
      <w:spacing w:before="240"/>
    </w:pPr>
  </w:style>
  <w:style w:type="character" w:customStyle="1" w:styleId="HotSpot">
    <w:name w:val="HotSpot"/>
    <w:rsid w:val="00353434"/>
    <w:rPr>
      <w:color w:val="0033CC"/>
      <w:u w:val="none"/>
    </w:rPr>
  </w:style>
  <w:style w:type="paragraph" w:customStyle="1" w:styleId="BodyTextRight">
    <w:name w:val="Body Text Right"/>
    <w:basedOn w:val="BodyText"/>
    <w:rsid w:val="00353434"/>
    <w:pPr>
      <w:spacing w:before="0" w:after="0"/>
      <w:jc w:val="right"/>
    </w:pPr>
  </w:style>
  <w:style w:type="paragraph" w:styleId="Index3">
    <w:name w:val="index 3"/>
    <w:basedOn w:val="ListNumber2"/>
    <w:next w:val="Normal"/>
    <w:semiHidden/>
    <w:rsid w:val="00353434"/>
    <w:pPr>
      <w:numPr>
        <w:numId w:val="0"/>
      </w:numPr>
      <w:tabs>
        <w:tab w:val="right" w:leader="dot" w:pos="4176"/>
      </w:tabs>
    </w:pPr>
  </w:style>
  <w:style w:type="paragraph" w:styleId="ListNumber2">
    <w:name w:val="List Number 2"/>
    <w:basedOn w:val="List2"/>
    <w:rsid w:val="00353434"/>
    <w:pPr>
      <w:numPr>
        <w:numId w:val="10"/>
      </w:numPr>
      <w:tabs>
        <w:tab w:val="clear" w:pos="1060"/>
      </w:tabs>
    </w:pPr>
  </w:style>
  <w:style w:type="paragraph" w:customStyle="1" w:styleId="MarginNote">
    <w:name w:val="Margin Note"/>
    <w:basedOn w:val="BodyText"/>
    <w:rsid w:val="003534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4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4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3434"/>
    <w:rPr>
      <w:sz w:val="32"/>
    </w:rPr>
  </w:style>
  <w:style w:type="paragraph" w:customStyle="1" w:styleId="HeadingProcedure">
    <w:name w:val="Heading Procedure"/>
    <w:basedOn w:val="HeadingBase"/>
    <w:next w:val="Normal"/>
    <w:rsid w:val="00353434"/>
    <w:pPr>
      <w:tabs>
        <w:tab w:val="left" w:pos="0"/>
      </w:tabs>
      <w:spacing w:before="120" w:after="60"/>
    </w:pPr>
    <w:rPr>
      <w:i/>
      <w:color w:val="918585"/>
      <w:sz w:val="22"/>
    </w:rPr>
  </w:style>
  <w:style w:type="paragraph" w:customStyle="1" w:styleId="TableBodyText">
    <w:name w:val="Table Body Text"/>
    <w:basedOn w:val="BodyText"/>
    <w:rsid w:val="00353434"/>
    <w:pPr>
      <w:spacing w:before="60" w:after="60"/>
    </w:pPr>
  </w:style>
  <w:style w:type="paragraph" w:styleId="ListContinue">
    <w:name w:val="List Continue"/>
    <w:basedOn w:val="List"/>
    <w:rsid w:val="00353434"/>
    <w:pPr>
      <w:ind w:firstLine="0"/>
    </w:pPr>
  </w:style>
  <w:style w:type="paragraph" w:customStyle="1" w:styleId="ListNote">
    <w:name w:val="List Note"/>
    <w:basedOn w:val="List"/>
    <w:rsid w:val="00353434"/>
    <w:pPr>
      <w:pBdr>
        <w:top w:val="single" w:sz="6" w:space="2" w:color="918585"/>
        <w:bottom w:val="single" w:sz="6" w:space="2" w:color="918585"/>
      </w:pBdr>
      <w:tabs>
        <w:tab w:val="left" w:pos="1021"/>
      </w:tabs>
      <w:ind w:firstLine="0"/>
    </w:pPr>
  </w:style>
  <w:style w:type="paragraph" w:customStyle="1" w:styleId="Warning">
    <w:name w:val="Warning"/>
    <w:basedOn w:val="BodyText"/>
    <w:rsid w:val="00353434"/>
    <w:pPr>
      <w:shd w:val="clear" w:color="auto" w:fill="D9D9D9"/>
      <w:tabs>
        <w:tab w:val="left" w:pos="992"/>
      </w:tabs>
      <w:ind w:left="119" w:right="119"/>
    </w:pPr>
    <w:rPr>
      <w:sz w:val="20"/>
    </w:rPr>
  </w:style>
  <w:style w:type="paragraph" w:customStyle="1" w:styleId="MarginIcons">
    <w:name w:val="Margin Icons"/>
    <w:basedOn w:val="BodyText"/>
    <w:rsid w:val="003534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434"/>
    <w:rPr>
      <w:rFonts w:ascii="Courier New" w:hAnsi="Courier New"/>
    </w:rPr>
  </w:style>
  <w:style w:type="paragraph" w:customStyle="1" w:styleId="NoteBullet">
    <w:name w:val="Note Bullet"/>
    <w:basedOn w:val="Note"/>
    <w:rsid w:val="00353434"/>
    <w:pPr>
      <w:tabs>
        <w:tab w:val="clear" w:pos="680"/>
      </w:tabs>
      <w:spacing w:before="60" w:after="60"/>
    </w:pPr>
  </w:style>
  <w:style w:type="paragraph" w:customStyle="1" w:styleId="SubHeading2">
    <w:name w:val="SubHeading2"/>
    <w:basedOn w:val="HeadingBase"/>
    <w:rsid w:val="00353434"/>
    <w:pPr>
      <w:spacing w:before="240" w:after="60"/>
    </w:pPr>
    <w:rPr>
      <w:sz w:val="20"/>
    </w:rPr>
  </w:style>
  <w:style w:type="paragraph" w:customStyle="1" w:styleId="SubHeading1">
    <w:name w:val="SubHeading1"/>
    <w:basedOn w:val="HeadingBase"/>
    <w:rsid w:val="00353434"/>
    <w:pPr>
      <w:spacing w:before="240" w:after="60"/>
    </w:pPr>
    <w:rPr>
      <w:color w:val="918585"/>
      <w:sz w:val="22"/>
    </w:rPr>
  </w:style>
  <w:style w:type="paragraph" w:customStyle="1" w:styleId="SideHeading">
    <w:name w:val="Side Heading"/>
    <w:basedOn w:val="HeadingBase"/>
    <w:rsid w:val="003534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434"/>
    <w:pPr>
      <w:numPr>
        <w:numId w:val="12"/>
      </w:numPr>
    </w:pPr>
  </w:style>
  <w:style w:type="paragraph" w:styleId="PlainText">
    <w:name w:val="Plain Text"/>
    <w:basedOn w:val="Normal"/>
    <w:link w:val="PlainTextChar"/>
    <w:rsid w:val="00353434"/>
    <w:rPr>
      <w:sz w:val="20"/>
    </w:rPr>
  </w:style>
  <w:style w:type="character" w:customStyle="1" w:styleId="PlainTextChar">
    <w:name w:val="Plain Text Char"/>
    <w:basedOn w:val="DefaultParagraphFont"/>
    <w:link w:val="PlainText"/>
    <w:rsid w:val="003534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3434"/>
    <w:rPr>
      <w:b/>
      <w:smallCaps/>
    </w:rPr>
  </w:style>
  <w:style w:type="paragraph" w:customStyle="1" w:styleId="TableListNumber">
    <w:name w:val="Table List Number"/>
    <w:basedOn w:val="ListNumber"/>
    <w:rsid w:val="00353434"/>
    <w:pPr>
      <w:numPr>
        <w:numId w:val="0"/>
      </w:numPr>
    </w:pPr>
  </w:style>
  <w:style w:type="paragraph" w:styleId="TOC4">
    <w:name w:val="toc 4"/>
    <w:basedOn w:val="TOCBase"/>
    <w:next w:val="Normal"/>
    <w:semiHidden/>
    <w:rsid w:val="00353434"/>
    <w:pPr>
      <w:tabs>
        <w:tab w:val="right" w:leader="dot" w:pos="9071"/>
      </w:tabs>
      <w:ind w:left="1701"/>
    </w:pPr>
  </w:style>
  <w:style w:type="paragraph" w:customStyle="1" w:styleId="ListAlpha">
    <w:name w:val="List Alpha"/>
    <w:basedOn w:val="List"/>
    <w:rsid w:val="00353434"/>
    <w:pPr>
      <w:numPr>
        <w:numId w:val="9"/>
      </w:numPr>
    </w:pPr>
  </w:style>
  <w:style w:type="paragraph" w:customStyle="1" w:styleId="ListAlpha2">
    <w:name w:val="List Alpha 2"/>
    <w:basedOn w:val="List2"/>
    <w:rsid w:val="00353434"/>
    <w:pPr>
      <w:numPr>
        <w:numId w:val="8"/>
      </w:numPr>
    </w:pPr>
  </w:style>
  <w:style w:type="paragraph" w:styleId="List2">
    <w:name w:val="List 2"/>
    <w:basedOn w:val="BodyText"/>
    <w:rsid w:val="00353434"/>
    <w:pPr>
      <w:tabs>
        <w:tab w:val="left" w:pos="680"/>
      </w:tabs>
      <w:spacing w:before="60" w:after="60"/>
      <w:ind w:left="680" w:hanging="340"/>
    </w:pPr>
  </w:style>
  <w:style w:type="paragraph" w:styleId="List3">
    <w:name w:val="List 3"/>
    <w:basedOn w:val="BodyText"/>
    <w:rsid w:val="00353434"/>
    <w:pPr>
      <w:tabs>
        <w:tab w:val="left" w:pos="1021"/>
      </w:tabs>
      <w:spacing w:before="60" w:after="60"/>
      <w:ind w:left="1020" w:hanging="340"/>
    </w:pPr>
  </w:style>
  <w:style w:type="paragraph" w:styleId="List4">
    <w:name w:val="List 4"/>
    <w:basedOn w:val="BodyText"/>
    <w:rsid w:val="00353434"/>
    <w:pPr>
      <w:tabs>
        <w:tab w:val="left" w:pos="1361"/>
      </w:tabs>
      <w:spacing w:before="60" w:after="60"/>
      <w:ind w:left="1361" w:hanging="340"/>
    </w:pPr>
  </w:style>
  <w:style w:type="paragraph" w:styleId="List5">
    <w:name w:val="List 5"/>
    <w:basedOn w:val="BodyText"/>
    <w:rsid w:val="00353434"/>
    <w:pPr>
      <w:tabs>
        <w:tab w:val="left" w:pos="1701"/>
      </w:tabs>
      <w:spacing w:before="60" w:after="60"/>
      <w:ind w:left="1701" w:hanging="340"/>
    </w:pPr>
  </w:style>
  <w:style w:type="paragraph" w:styleId="ListBullet3">
    <w:name w:val="List Bullet 3"/>
    <w:basedOn w:val="List3"/>
    <w:rsid w:val="00353434"/>
    <w:pPr>
      <w:numPr>
        <w:numId w:val="15"/>
      </w:numPr>
      <w:tabs>
        <w:tab w:val="clear" w:pos="1021"/>
      </w:tabs>
      <w:ind w:left="1037" w:hanging="357"/>
    </w:pPr>
  </w:style>
  <w:style w:type="paragraph" w:styleId="ListBullet4">
    <w:name w:val="List Bullet 4"/>
    <w:basedOn w:val="List4"/>
    <w:rsid w:val="00353434"/>
    <w:pPr>
      <w:numPr>
        <w:numId w:val="3"/>
      </w:numPr>
    </w:pPr>
  </w:style>
  <w:style w:type="paragraph" w:styleId="ListBullet5">
    <w:name w:val="List Bullet 5"/>
    <w:basedOn w:val="List5"/>
    <w:rsid w:val="00353434"/>
    <w:pPr>
      <w:numPr>
        <w:numId w:val="4"/>
      </w:numPr>
    </w:pPr>
  </w:style>
  <w:style w:type="paragraph" w:styleId="ListContinue2">
    <w:name w:val="List Continue 2"/>
    <w:basedOn w:val="List2"/>
    <w:rsid w:val="00353434"/>
    <w:pPr>
      <w:ind w:firstLine="0"/>
    </w:pPr>
  </w:style>
  <w:style w:type="paragraph" w:styleId="ListContinue3">
    <w:name w:val="List Continue 3"/>
    <w:basedOn w:val="List3"/>
    <w:rsid w:val="00353434"/>
    <w:pPr>
      <w:ind w:left="1021" w:firstLine="0"/>
    </w:pPr>
  </w:style>
  <w:style w:type="paragraph" w:styleId="ListContinue4">
    <w:name w:val="List Continue 4"/>
    <w:basedOn w:val="List4"/>
    <w:rsid w:val="00353434"/>
    <w:pPr>
      <w:ind w:firstLine="0"/>
    </w:pPr>
  </w:style>
  <w:style w:type="paragraph" w:styleId="ListContinue5">
    <w:name w:val="List Continue 5"/>
    <w:basedOn w:val="List5"/>
    <w:rsid w:val="00353434"/>
    <w:pPr>
      <w:ind w:firstLine="0"/>
    </w:pPr>
  </w:style>
  <w:style w:type="paragraph" w:styleId="ListNumber3">
    <w:name w:val="List Number 3"/>
    <w:basedOn w:val="List3"/>
    <w:rsid w:val="00353434"/>
    <w:pPr>
      <w:numPr>
        <w:numId w:val="5"/>
      </w:numPr>
    </w:pPr>
  </w:style>
  <w:style w:type="paragraph" w:styleId="ListNumber4">
    <w:name w:val="List Number 4"/>
    <w:basedOn w:val="List4"/>
    <w:rsid w:val="00353434"/>
    <w:pPr>
      <w:numPr>
        <w:numId w:val="6"/>
      </w:numPr>
    </w:pPr>
  </w:style>
  <w:style w:type="paragraph" w:styleId="ListNumber5">
    <w:name w:val="List Number 5"/>
    <w:basedOn w:val="List5"/>
    <w:rsid w:val="00353434"/>
    <w:pPr>
      <w:numPr>
        <w:numId w:val="7"/>
      </w:numPr>
    </w:pPr>
  </w:style>
  <w:style w:type="paragraph" w:styleId="BlockText">
    <w:name w:val="Block Text"/>
    <w:basedOn w:val="Normal"/>
    <w:rsid w:val="00353434"/>
    <w:pPr>
      <w:spacing w:after="120"/>
      <w:ind w:left="1440" w:right="1440"/>
    </w:pPr>
  </w:style>
  <w:style w:type="character" w:customStyle="1" w:styleId="Subscript">
    <w:name w:val="Subscript"/>
    <w:basedOn w:val="DefaultParagraphFont"/>
    <w:rsid w:val="00353434"/>
    <w:rPr>
      <w:sz w:val="16"/>
      <w:vertAlign w:val="subscript"/>
    </w:rPr>
  </w:style>
  <w:style w:type="character" w:customStyle="1" w:styleId="Superscript">
    <w:name w:val="Superscript"/>
    <w:basedOn w:val="DefaultParagraphFont"/>
    <w:rsid w:val="00353434"/>
    <w:rPr>
      <w:sz w:val="16"/>
      <w:vertAlign w:val="superscript"/>
    </w:rPr>
  </w:style>
  <w:style w:type="character" w:customStyle="1" w:styleId="Symbols">
    <w:name w:val="Symbols"/>
    <w:basedOn w:val="DefaultParagraphFont"/>
    <w:rsid w:val="00353434"/>
    <w:rPr>
      <w:rFonts w:ascii="Symbol" w:hAnsi="Symbol"/>
    </w:rPr>
  </w:style>
  <w:style w:type="character" w:customStyle="1" w:styleId="MenuOptions">
    <w:name w:val="Menu Options"/>
    <w:basedOn w:val="DefaultParagraphFont"/>
    <w:rsid w:val="00353434"/>
    <w:rPr>
      <w:rFonts w:ascii="Arial Narrow" w:hAnsi="Arial Narrow"/>
      <w:smallCaps/>
    </w:rPr>
  </w:style>
  <w:style w:type="character" w:customStyle="1" w:styleId="Buttons">
    <w:name w:val="Buttons"/>
    <w:basedOn w:val="DefaultParagraphFont"/>
    <w:rsid w:val="00353434"/>
    <w:rPr>
      <w:b/>
    </w:rPr>
  </w:style>
  <w:style w:type="character" w:customStyle="1" w:styleId="Underlined">
    <w:name w:val="Underlined"/>
    <w:basedOn w:val="DefaultParagraphFont"/>
    <w:rsid w:val="00353434"/>
    <w:rPr>
      <w:u w:val="single"/>
    </w:rPr>
  </w:style>
  <w:style w:type="paragraph" w:customStyle="1" w:styleId="TableBodyTextRight">
    <w:name w:val="Table Body Text Right"/>
    <w:basedOn w:val="TableBodyText"/>
    <w:rsid w:val="00353434"/>
    <w:pPr>
      <w:widowControl w:val="0"/>
      <w:autoSpaceDE w:val="0"/>
      <w:autoSpaceDN w:val="0"/>
      <w:adjustRightInd w:val="0"/>
      <w:jc w:val="right"/>
    </w:pPr>
    <w:rPr>
      <w:rFonts w:cs="Arial"/>
      <w:szCs w:val="18"/>
    </w:rPr>
  </w:style>
  <w:style w:type="paragraph" w:customStyle="1" w:styleId="CopyrightText">
    <w:name w:val="Copyright Text"/>
    <w:basedOn w:val="BodyText"/>
    <w:rsid w:val="00353434"/>
    <w:rPr>
      <w:sz w:val="18"/>
    </w:rPr>
  </w:style>
  <w:style w:type="paragraph" w:customStyle="1" w:styleId="BodySmallRight">
    <w:name w:val="Body Small Right"/>
    <w:basedOn w:val="BodyTextRight"/>
    <w:rsid w:val="00353434"/>
    <w:rPr>
      <w:sz w:val="18"/>
      <w:szCs w:val="18"/>
    </w:rPr>
  </w:style>
  <w:style w:type="paragraph" w:customStyle="1" w:styleId="MarginEdition">
    <w:name w:val="Margin Edition"/>
    <w:basedOn w:val="MarginNote"/>
    <w:rsid w:val="00353434"/>
    <w:pPr>
      <w:spacing w:before="0" w:after="0"/>
    </w:pPr>
    <w:rPr>
      <w:rFonts w:ascii="Times New Roman" w:hAnsi="Times New Roman"/>
      <w:color w:val="999999"/>
    </w:rPr>
  </w:style>
  <w:style w:type="paragraph" w:customStyle="1" w:styleId="Spacer">
    <w:name w:val="Spacer"/>
    <w:basedOn w:val="Normal"/>
    <w:rsid w:val="00353434"/>
    <w:rPr>
      <w:sz w:val="2"/>
      <w:szCs w:val="2"/>
    </w:rPr>
  </w:style>
  <w:style w:type="character" w:customStyle="1" w:styleId="Small">
    <w:name w:val="Small"/>
    <w:basedOn w:val="DefaultParagraphFont"/>
    <w:rsid w:val="00353434"/>
    <w:rPr>
      <w:sz w:val="16"/>
    </w:rPr>
  </w:style>
  <w:style w:type="paragraph" w:customStyle="1" w:styleId="WideTable">
    <w:name w:val="Wide Table"/>
    <w:basedOn w:val="Normal"/>
    <w:rsid w:val="00353434"/>
    <w:pPr>
      <w:ind w:left="-1418"/>
    </w:pPr>
    <w:rPr>
      <w:sz w:val="2"/>
      <w:szCs w:val="2"/>
    </w:rPr>
  </w:style>
  <w:style w:type="character" w:styleId="PageNumber">
    <w:name w:val="page number"/>
    <w:basedOn w:val="DefaultParagraphFont"/>
    <w:rsid w:val="00353434"/>
  </w:style>
  <w:style w:type="paragraph" w:styleId="Quote">
    <w:name w:val="Quote"/>
    <w:basedOn w:val="Heading1"/>
    <w:link w:val="QuoteChar"/>
    <w:qFormat/>
    <w:rsid w:val="00353434"/>
    <w:rPr>
      <w:b w:val="0"/>
      <w:sz w:val="72"/>
      <w:szCs w:val="72"/>
      <w:lang w:val="en-NZ"/>
    </w:rPr>
  </w:style>
  <w:style w:type="character" w:customStyle="1" w:styleId="QuoteChar">
    <w:name w:val="Quote Char"/>
    <w:basedOn w:val="DefaultParagraphFont"/>
    <w:link w:val="Quote"/>
    <w:rsid w:val="003534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434"/>
    <w:pPr>
      <w:pageBreakBefore/>
    </w:pPr>
  </w:style>
  <w:style w:type="paragraph" w:customStyle="1" w:styleId="Border">
    <w:name w:val="Border"/>
    <w:basedOn w:val="Normal"/>
    <w:qFormat/>
    <w:rsid w:val="003534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434"/>
    <w:rPr>
      <w:b/>
      <w:bCs/>
      <w:i/>
      <w:iCs/>
      <w:color w:val="auto"/>
    </w:rPr>
  </w:style>
  <w:style w:type="paragraph" w:styleId="IntenseQuote">
    <w:name w:val="Intense Quote"/>
    <w:basedOn w:val="Normal"/>
    <w:next w:val="Normal"/>
    <w:link w:val="IntenseQuoteChar"/>
    <w:uiPriority w:val="30"/>
    <w:qFormat/>
    <w:rsid w:val="003534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4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3434"/>
    <w:rPr>
      <w:smallCaps/>
      <w:color w:val="auto"/>
      <w:u w:val="single"/>
    </w:rPr>
  </w:style>
  <w:style w:type="character" w:styleId="IntenseReference">
    <w:name w:val="Intense Reference"/>
    <w:basedOn w:val="DefaultParagraphFont"/>
    <w:uiPriority w:val="32"/>
    <w:qFormat/>
    <w:rsid w:val="00353434"/>
    <w:rPr>
      <w:b/>
      <w:bCs/>
      <w:smallCaps/>
      <w:color w:val="auto"/>
      <w:spacing w:val="5"/>
      <w:u w:val="single"/>
    </w:rPr>
  </w:style>
  <w:style w:type="paragraph" w:customStyle="1" w:styleId="2ColumnHeading">
    <w:name w:val="2Column Heading"/>
    <w:basedOn w:val="BodyText"/>
    <w:qFormat/>
    <w:rsid w:val="00353434"/>
    <w:pPr>
      <w:spacing w:after="60"/>
      <w:ind w:left="-2268"/>
    </w:pPr>
    <w:rPr>
      <w:b/>
    </w:rPr>
  </w:style>
  <w:style w:type="paragraph" w:customStyle="1" w:styleId="Heading1TOC">
    <w:name w:val="Heading1 TOC"/>
    <w:basedOn w:val="Normal"/>
    <w:qFormat/>
    <w:rsid w:val="00353434"/>
    <w:pPr>
      <w:spacing w:before="240" w:after="120"/>
    </w:pPr>
    <w:rPr>
      <w:rFonts w:ascii="Times New Roman" w:hAnsi="Times New Roman"/>
      <w:b/>
      <w:sz w:val="32"/>
    </w:rPr>
  </w:style>
  <w:style w:type="paragraph" w:customStyle="1" w:styleId="Heading2TOC">
    <w:name w:val="Heading2 TOC"/>
    <w:basedOn w:val="Normal"/>
    <w:qFormat/>
    <w:rsid w:val="00353434"/>
    <w:pPr>
      <w:spacing w:before="240" w:after="60"/>
    </w:pPr>
    <w:rPr>
      <w:rFonts w:ascii="Times New Roman" w:hAnsi="Times New Roman"/>
      <w:b/>
      <w:sz w:val="28"/>
    </w:rPr>
  </w:style>
  <w:style w:type="character" w:customStyle="1" w:styleId="Underline">
    <w:name w:val="Underline"/>
    <w:basedOn w:val="DefaultParagraphFont"/>
    <w:qFormat/>
    <w:rsid w:val="00353434"/>
    <w:rPr>
      <w:u w:val="single"/>
    </w:rPr>
  </w:style>
  <w:style w:type="character" w:customStyle="1" w:styleId="BoldandItalics">
    <w:name w:val="Bold and Italics"/>
    <w:qFormat/>
    <w:rsid w:val="00353434"/>
    <w:rPr>
      <w:b/>
      <w:i/>
      <w:u w:val="none"/>
    </w:rPr>
  </w:style>
  <w:style w:type="paragraph" w:styleId="BalloonText">
    <w:name w:val="Balloon Text"/>
    <w:basedOn w:val="Normal"/>
    <w:link w:val="BalloonTextChar"/>
    <w:rsid w:val="00353434"/>
    <w:rPr>
      <w:rFonts w:ascii="Tahoma" w:hAnsi="Tahoma" w:cs="Tahoma"/>
      <w:sz w:val="16"/>
      <w:szCs w:val="16"/>
    </w:rPr>
  </w:style>
  <w:style w:type="character" w:customStyle="1" w:styleId="BalloonTextChar">
    <w:name w:val="Balloon Text Char"/>
    <w:basedOn w:val="DefaultParagraphFont"/>
    <w:link w:val="BalloonText"/>
    <w:rsid w:val="003534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34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4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2623</Words>
  <Characters>15648</Characters>
  <Application>Microsoft Office Word</Application>
  <DocSecurity>0</DocSecurity>
  <Lines>713</Lines>
  <Paragraphs>277</Paragraphs>
  <ScaleCrop>false</ScaleCrop>
  <Company>Author-it Software Corporation Ltd.</Company>
  <LinksUpToDate>false</LinksUpToDate>
  <CharactersWithSpaces>18038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UEGNSG504A Monitoring and controlling field activities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2012-05-26T22:09:00Z</dcterms:created>
  <dcterms:modified xsi:type="dcterms:W3CDTF">2012-05-26T22:09:00Z</dcterms:modified>
</cp:coreProperties>
</file>