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522" w:rsidP="00E10522">
      <w:pPr>
        <w:pStyle w:val="Title"/>
      </w:pPr>
      <w:r>
        <w:fldChar w:fldCharType="begin"/>
      </w:r>
      <w:r>
        <w:instrText xml:space="preserve"> TITLE   \* MERGEFORMAT </w:instrText>
      </w:r>
      <w:r>
        <w:fldChar w:fldCharType="separate"/>
      </w:r>
      <w:r>
        <w:t>UEGNSG502A Control centre communication with gas industry stakeholders</w:t>
      </w:r>
      <w:r>
        <w:fldChar w:fldCharType="end"/>
      </w:r>
    </w:p>
    <w:p w:rsidR="00E10522" w:rsidP="00E10522">
      <w:pPr>
        <w:pStyle w:val="Version"/>
        <w:sectPr w:rsidSect="00813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CA6" w:rsidP="00813CA6">
      <w:pPr>
        <w:pStyle w:val="SuperHeading"/>
      </w:pPr>
      <w:r w:rsidRPr="00813CA6">
        <w:t>UEGNSG502A Control centre communication with gas industry stakeholders</w:t>
      </w:r>
    </w:p>
    <w:p w:rsidR="00000000" w:rsidRPr="00813CA6" w:rsidP="00813CA6">
      <w:pPr>
        <w:pStyle w:val="Heading1"/>
      </w:pPr>
      <w:bookmarkStart w:id="1" w:name="O_275130"/>
      <w:bookmarkEnd w:id="1"/>
      <w:r w:rsidRPr="00813CA6">
        <w:t>Modification History</w:t>
      </w:r>
    </w:p>
    <w:p w:rsidR="00000000" w:rsidRPr="00813CA6" w:rsidP="00813CA6">
      <w:pPr>
        <w:pStyle w:val="BodyText"/>
      </w:pPr>
      <w:r w:rsidRPr="00813CA6">
        <w:t>Not Applicable</w:t>
      </w:r>
    </w:p>
    <w:p w:rsidR="00000000" w:rsidRPr="00813CA6" w:rsidP="00813CA6">
      <w:pPr>
        <w:pStyle w:val="AllowPageBreak"/>
      </w:pPr>
    </w:p>
    <w:p w:rsidR="00000000" w:rsidRPr="00813CA6" w:rsidP="00813CA6">
      <w:pPr>
        <w:pStyle w:val="Heading1"/>
      </w:pPr>
      <w:bookmarkStart w:id="2" w:name="O_229601"/>
      <w:bookmarkEnd w:id="2"/>
      <w:r w:rsidRPr="00813CA6">
        <w:t>Unit Descriptor</w:t>
      </w:r>
    </w:p>
    <w:tbl>
      <w:tblPr>
        <w:tblW w:w="0" w:type="auto"/>
        <w:tblLayout w:type="fixed"/>
        <w:tblCellMar>
          <w:left w:w="62" w:type="dxa"/>
          <w:right w:w="62" w:type="dxa"/>
        </w:tblCellMar>
        <w:tblLook w:val="0000"/>
      </w:tblPr>
      <w:tblGrid>
        <w:gridCol w:w="2700"/>
        <w:gridCol w:w="5760"/>
      </w:tblGrid>
      <w:tr w:rsidTr="00E10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1</w:t>
            </w:r>
            <w:r w:rsidRPr="00813CA6">
              <w:t xml:space="preserve">) </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This Competency Standard Unit covers the usage of technical communication skills and techniques to effectively liaise and communicate with relevant parties to ensure gas deliveries and operations are carried out within contractual, operational and regulato</w:t>
            </w:r>
            <w:r w:rsidRPr="00813CA6">
              <w:t>ry requirements. The competency standard refers to Industry products and services; Authoritative sources; Product information; Stakeholders; Organisational requirements; Interpersonal skills; Nominated persons; Product and Service issues.</w:t>
            </w:r>
          </w:p>
        </w:tc>
      </w:tr>
    </w:tbl>
    <w:p w:rsidR="00E10522" w:rsidP="00813CA6">
      <w:pPr>
        <w:pStyle w:val="BodyText"/>
      </w:pPr>
    </w:p>
    <w:p w:rsidR="00E10522" w:rsidP="00813CA6">
      <w:pPr>
        <w:pStyle w:val="BodyText"/>
      </w:pPr>
    </w:p>
    <w:p w:rsidR="00000000" w:rsidRPr="00813CA6" w:rsidP="00813CA6">
      <w:pPr>
        <w:pStyle w:val="Heading1"/>
      </w:pPr>
      <w:bookmarkStart w:id="3" w:name="O_229604"/>
      <w:bookmarkEnd w:id="3"/>
      <w:r w:rsidRPr="00813CA6">
        <w:t>Application of the Unit</w:t>
      </w:r>
    </w:p>
    <w:tbl>
      <w:tblPr>
        <w:tblW w:w="0" w:type="auto"/>
        <w:tblLayout w:type="fixed"/>
        <w:tblCellMar>
          <w:left w:w="62" w:type="dxa"/>
          <w:right w:w="62" w:type="dxa"/>
        </w:tblCellMar>
        <w:tblLook w:val="0000"/>
      </w:tblPr>
      <w:tblGrid>
        <w:gridCol w:w="2700"/>
        <w:gridCol w:w="5760"/>
      </w:tblGrid>
      <w:tr w:rsidTr="00E10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3</w:t>
            </w:r>
            <w:r w:rsidRPr="00813CA6">
              <w:t xml:space="preserve">) </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 xml:space="preserve">This competency standard shall apply to any basic and safe work site where Gas Industry operations occur. It could also apply, where applicable to other workplaces in the electricity supply industry </w:t>
            </w:r>
            <w:r w:rsidRPr="00813CA6">
              <w:t>(transmission and distribution and generation), the electrotechnology industry and the water industry, subject to all Occupational Health and Safety and duty of care requirements being met for the workplace.</w:t>
            </w:r>
          </w:p>
        </w:tc>
      </w:tr>
    </w:tbl>
    <w:p w:rsidR="00E10522" w:rsidP="00813CA6">
      <w:pPr>
        <w:pStyle w:val="BodyText"/>
      </w:pPr>
    </w:p>
    <w:p w:rsidR="00E10522" w:rsidP="00813CA6">
      <w:pPr>
        <w:pStyle w:val="BodyText"/>
      </w:pPr>
    </w:p>
    <w:p w:rsidR="00000000" w:rsidRPr="00813CA6" w:rsidP="00813CA6">
      <w:pPr>
        <w:pStyle w:val="Heading1"/>
      </w:pPr>
      <w:bookmarkStart w:id="4" w:name="O_229605"/>
      <w:bookmarkEnd w:id="4"/>
      <w:r w:rsidRPr="00813CA6">
        <w:t>Licensing/Regulatory Information</w:t>
      </w:r>
    </w:p>
    <w:tbl>
      <w:tblPr>
        <w:tblW w:w="0" w:type="auto"/>
        <w:tblLayout w:type="fixed"/>
        <w:tblCellMar>
          <w:left w:w="62" w:type="dxa"/>
          <w:right w:w="62" w:type="dxa"/>
        </w:tblCellMar>
        <w:tblLook w:val="0000"/>
      </w:tblPr>
      <w:tblGrid>
        <w:gridCol w:w="2700"/>
        <w:gridCol w:w="5760"/>
      </w:tblGrid>
      <w:tr w:rsidTr="00E10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3</w:t>
            </w:r>
            <w:r w:rsidRPr="00813CA6">
              <w:t>.</w:t>
            </w:r>
            <w:r w:rsidRPr="00813CA6">
              <w:rPr>
                <w:rStyle w:val="SpecialBold"/>
              </w:rPr>
              <w:t>1</w:t>
            </w:r>
            <w:r w:rsidRPr="00813CA6">
              <w:t xml:space="preserve">) </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 xml:space="preserve">The skills and knowledge described in this unit are not subject to licence regulation other than those directly </w:t>
            </w:r>
            <w:r w:rsidRPr="00813CA6">
              <w:t>related to Occupational Health and Safety, gas/electricity/water industry safety an</w:t>
            </w:r>
            <w:r w:rsidRPr="00813CA6">
              <w:t>d compliance, industrial relations, environmental protection, telecommunications, anti discrimination and training. Commonwealth, State/Territory or Local Government legislation and regulations may exist that limits the age of operating certain equipment.</w:t>
            </w:r>
          </w:p>
        </w:tc>
      </w:tr>
    </w:tbl>
    <w:p w:rsidR="00E10522" w:rsidP="00813CA6">
      <w:pPr>
        <w:pStyle w:val="BodyText"/>
      </w:pPr>
    </w:p>
    <w:p w:rsidR="00E10522" w:rsidP="00813CA6">
      <w:pPr>
        <w:pStyle w:val="BodyText"/>
      </w:pPr>
    </w:p>
    <w:p w:rsidR="00000000" w:rsidRPr="00813CA6" w:rsidP="00813CA6">
      <w:pPr>
        <w:pStyle w:val="Heading1"/>
      </w:pPr>
      <w:bookmarkStart w:id="5" w:name="O_229602"/>
      <w:bookmarkEnd w:id="5"/>
      <w:r w:rsidRPr="00813CA6">
        <w:t>Pre-Requisites</w:t>
      </w:r>
    </w:p>
    <w:tbl>
      <w:tblPr>
        <w:tblW w:w="0" w:type="auto"/>
        <w:tblLayout w:type="fixed"/>
        <w:tblCellMar>
          <w:left w:w="62" w:type="dxa"/>
          <w:right w:w="62" w:type="dxa"/>
        </w:tblCellMar>
        <w:tblLook w:val="0000"/>
      </w:tblPr>
      <w:tblGrid>
        <w:gridCol w:w="2700"/>
        <w:gridCol w:w="5760"/>
      </w:tblGrid>
      <w:tr w:rsidTr="00E10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Prerequisite Unit</w:t>
            </w:r>
            <w:r w:rsidRPr="00813CA6">
              <w:t>(</w:t>
            </w:r>
            <w:r w:rsidRPr="00813CA6">
              <w:rPr>
                <w:rStyle w:val="SpecialBold"/>
              </w:rPr>
              <w:t>s</w:t>
            </w:r>
            <w:r w:rsidRPr="00813CA6">
              <w:t>)</w:t>
            </w:r>
          </w:p>
        </w:tc>
        <w:tc>
          <w:tcPr>
            <w:tcW w:w="57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2</w:t>
            </w:r>
            <w:r w:rsidRPr="00813CA6">
              <w:t xml:space="preserve">) </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2</w:t>
            </w:r>
            <w:r w:rsidRPr="00813CA6">
              <w:t>.</w:t>
            </w:r>
            <w:r w:rsidRPr="00813CA6">
              <w:rPr>
                <w:rStyle w:val="SpecialBold"/>
              </w:rPr>
              <w:t>1</w:t>
            </w:r>
            <w:r w:rsidRPr="00813CA6">
              <w:t xml:space="preserve">) </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 xml:space="preserve">To minimise incidents related to safe systems of work, entry into this unit requires at a minimum that an individual has demonstrated or possesses </w:t>
            </w:r>
            <w:r w:rsidRPr="00813CA6">
              <w:t>a gas industry or relevant technical engineering discipline competencies of at least AQF level 3. It is intended that an individual will be expected to perform with a large degree of autonomy in decision-making, whilst in an individual environment.</w:t>
            </w:r>
          </w:p>
          <w:p w:rsidR="00000000" w:rsidRPr="00813CA6" w:rsidP="00813CA6">
            <w:pPr>
              <w:pStyle w:val="BodyText"/>
            </w:pPr>
            <w:r w:rsidRPr="00813CA6">
              <w:t>This ma</w:t>
            </w:r>
            <w:r w:rsidRPr="00813CA6">
              <w:t>y include immediate response to protect human life, adverse effect on safety, security of supply or the integrity of the assets.</w:t>
            </w:r>
          </w:p>
          <w:p w:rsidR="00000000" w:rsidRPr="00813CA6" w:rsidP="00813CA6">
            <w:pPr>
              <w:pStyle w:val="BodyText"/>
            </w:pPr>
            <w:r w:rsidRPr="00813CA6">
              <w:t>NOTE: Typically the following disciplines provide direct entry; electrical or instrumentation, fitting and turning or mechanica</w:t>
            </w:r>
            <w:r w:rsidRPr="00813CA6">
              <w:t>l trade or marine engineering technologist.</w:t>
            </w:r>
          </w:p>
          <w:p w:rsidR="00000000" w:rsidRPr="00813CA6" w:rsidP="00813CA6">
            <w:pPr>
              <w:pStyle w:val="BodyText"/>
            </w:pPr>
            <w:r w:rsidRPr="00813CA6">
              <w:t>Where an individual does not possess or demonstrate the requisite entry requirement, an equivalent bridging program shall be used to ensure equivalence of entry.</w:t>
            </w:r>
          </w:p>
        </w:tc>
      </w:tr>
    </w:tbl>
    <w:p w:rsidR="00E10522" w:rsidP="00813CA6">
      <w:pPr>
        <w:pStyle w:val="BodyText"/>
      </w:pPr>
    </w:p>
    <w:p w:rsidR="00E10522" w:rsidP="00813CA6">
      <w:pPr>
        <w:pStyle w:val="BodyText"/>
      </w:pPr>
    </w:p>
    <w:p w:rsidR="00000000" w:rsidRPr="00813CA6" w:rsidP="00813CA6">
      <w:pPr>
        <w:pStyle w:val="Heading1"/>
      </w:pPr>
      <w:bookmarkStart w:id="6" w:name="O_285379"/>
      <w:bookmarkEnd w:id="6"/>
      <w:r w:rsidRPr="00813CA6">
        <w:t>Employability Skills Informati</w:t>
      </w:r>
      <w:r w:rsidRPr="00813CA6">
        <w:t>on</w:t>
      </w:r>
    </w:p>
    <w:p w:rsidR="00000000" w:rsidRPr="00813CA6" w:rsidP="00813CA6">
      <w:pPr>
        <w:pStyle w:val="BodyText"/>
      </w:pPr>
      <w:r w:rsidRPr="00813CA6">
        <w:t>Refer to the Evidence Guide</w:t>
      </w:r>
    </w:p>
    <w:p w:rsidR="00000000" w:rsidRPr="00813CA6" w:rsidP="00813CA6">
      <w:pPr>
        <w:pStyle w:val="AllowPageBreak"/>
      </w:pPr>
    </w:p>
    <w:p w:rsidR="00000000" w:rsidRPr="00813CA6" w:rsidP="00813CA6">
      <w:pPr>
        <w:pStyle w:val="Heading1"/>
      </w:pPr>
      <w:bookmarkStart w:id="7" w:name="O_293176"/>
      <w:bookmarkEnd w:id="7"/>
      <w:r w:rsidRPr="00813CA6">
        <w:t>Elements and Performance Criteria Pre-Content</w:t>
      </w:r>
    </w:p>
    <w:tbl>
      <w:tblPr>
        <w:tblW w:w="0" w:type="auto"/>
        <w:tblLayout w:type="fixed"/>
        <w:tblCellMar>
          <w:left w:w="62" w:type="dxa"/>
          <w:right w:w="62" w:type="dxa"/>
        </w:tblCellMar>
        <w:tblLook w:val="0000"/>
      </w:tblPr>
      <w:tblGrid>
        <w:gridCol w:w="2700"/>
        <w:gridCol w:w="5760"/>
      </w:tblGrid>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5</w:t>
            </w:r>
            <w:r w:rsidRPr="00813CA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Performance criteria describe the required performance needed to demonstrate achievement of the element. Assessment of performance is to be consistent with the Evidence Guide.</w:t>
            </w:r>
          </w:p>
        </w:tc>
      </w:tr>
    </w:tbl>
    <w:p w:rsidR="00000000" w:rsidRPr="00813CA6" w:rsidP="00813CA6">
      <w:pPr>
        <w:pStyle w:val="BodyText"/>
      </w:pPr>
    </w:p>
    <w:p w:rsidR="00000000" w:rsidRPr="00813CA6" w:rsidP="00813CA6">
      <w:pPr>
        <w:pStyle w:val="AllowPageBreak"/>
      </w:pPr>
    </w:p>
    <w:p w:rsidR="00000000" w:rsidRPr="00813CA6" w:rsidP="00813CA6">
      <w:pPr>
        <w:pStyle w:val="Heading1"/>
      </w:pPr>
      <w:bookmarkStart w:id="8" w:name="O_239844"/>
      <w:bookmarkEnd w:id="8"/>
      <w:r w:rsidRPr="00813C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105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PERFORMANCE CRITER</w:t>
            </w:r>
            <w:r w:rsidRPr="00813CA6">
              <w:rPr>
                <w:rStyle w:val="SpecialBold"/>
              </w:rPr>
              <w:t>IA</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w:t>
            </w:r>
          </w:p>
        </w:tc>
        <w:tc>
          <w:tcPr>
            <w:tcW w:w="2296" w:type="dxa"/>
            <w:vMerge w:val="restart"/>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Plan communication with Gas Industry stakeholders</w:t>
            </w: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1.1</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 xml:space="preserve">Work schedules, including drawings, plans, requirements, established procedures and material lists are detailed and communicated to control </w:t>
            </w:r>
            <w:r w:rsidRPr="00813CA6">
              <w:t xml:space="preserve">centre, analysed as necessary and the extent of the preparation of the work determined for planning, coordination and follow-on communication purposes </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1.2</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Work is prioritised and sequenced for the most efficient and effective outcome following consulta</w:t>
            </w:r>
            <w:r w:rsidRPr="00813CA6">
              <w:t>tion with others for completion within acceptable timeframes to a quality standard and in accordance with established control centre procedures and guidelines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1.3</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Risk control measures for identified hazards are prioritised, implemented and evaluated ag</w:t>
            </w:r>
            <w:r w:rsidRPr="00813CA6">
              <w:t>ainst the work schedule</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1.4</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Relevant requirements and established procedures for the work are communicated to all persons and identified for all work sites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1.5</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OHS, environmental and sustainable energy policies and procedures related to the work are identified to ensure safe systems of work are followed</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1.6</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Relevant work permits are secured to coordinate the performance of work according to requirements and es</w:t>
            </w:r>
            <w:r w:rsidRPr="00813CA6">
              <w:t xml:space="preserve">tablished procedures </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1.7</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Liaison and communication issues with authorised persons, authorities, clients, land-owners and other relevant parties are resolved and activities coordinated to carry out work</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1.8</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Persons participating in t</w:t>
            </w:r>
            <w:r w:rsidRPr="00813CA6">
              <w:t>he work, including plant operators and contractors are fully briefed and respective responsibilities coordinated and authorised where applicable in accordance with established CC procedures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w:t>
            </w:r>
          </w:p>
        </w:tc>
        <w:tc>
          <w:tcPr>
            <w:tcW w:w="2296" w:type="dxa"/>
            <w:vMerge w:val="restart"/>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Identify and carrying out Gas Industry stakeholders communicati</w:t>
            </w:r>
            <w:r w:rsidRPr="00813CA6">
              <w:t>on requirements</w:t>
            </w: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2.1</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 xml:space="preserve">Relevant OHS, operational and commercial requirements and practices of individual stakeholders are referenced and actioned in accordance with control centre guidelines and established procedures </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2.2</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Work is monitored, performed and/</w:t>
            </w:r>
            <w:r w:rsidRPr="00813CA6">
              <w:t>or coordinated in accordance with applicable work schedules and to applicable stakeholder requirements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2.3</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 xml:space="preserve">Hazard warnings and safety signs are recognised and hazards are assessed and OHS risks are reported to the immediate authorised persons for </w:t>
            </w:r>
            <w:r w:rsidRPr="00813CA6">
              <w:t>directions according to established procedures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2.4</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Remedial actions are identified and communicated to relevant stakeholders to overcome any shortfalls encountered in the work schedule according to requirements and established procedures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2.5</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Solution</w:t>
            </w:r>
            <w:r w:rsidRPr="00813CA6">
              <w:t>s to non-routine problems are identified and communicated using Essential Knowledge and Associated Skills according to requirements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2.6</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Ongoing monitoring of quality of the work are undertaken in accordance with requirements and established procedures to ensure that the stakeholder's agreed communication requirements are adhered to.</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2.7</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Communication with clients is conducted in a profe</w:t>
            </w:r>
            <w:r w:rsidRPr="00813CA6">
              <w:t>ssional and courteous manner according to organisational requirements and to contractual agreements and statutory requirements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2.8</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Appropriate language and interpersonal skills are used to facilitate accurate and relevant exchange of information</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2.9</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Enquiries outside area of responsibility/knowledge are referred to the nominated person for resolution</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w:t>
            </w:r>
          </w:p>
        </w:tc>
        <w:tc>
          <w:tcPr>
            <w:tcW w:w="2296"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Complete procedures for communication and liaison with Gas Industry stakeholders</w:t>
            </w: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3.1</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Work undertaken is checked against works schedule for conformance</w:t>
            </w:r>
            <w:r w:rsidRPr="00813CA6">
              <w:t xml:space="preserve"> with requirements, anomalies are reported and solutions identified in accordance with established procedures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3.2</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 xml:space="preserve">Accidents and injuries are reported and followed up in accordance with requirements/established procedures </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3.3</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Work site is confirmed safe and operational accordance with established procedures and status communicated to relevant stakeholders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3.4</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Relevant work permit(s) are signed off and relevant equipment and processes are returned to service and advised to st</w:t>
            </w:r>
            <w:r w:rsidRPr="00813CA6">
              <w:t>akeholders as required</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3.5</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Notification of completion of works and tasks is communicated to relevant stakeholders as per applicable procedures</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3.6</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 xml:space="preserve">All stakeholders and internal staff are notified of actions required at the completion of any works or </w:t>
            </w:r>
            <w:r w:rsidRPr="00813CA6">
              <w:t xml:space="preserve">tasks </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3.7</w:t>
            </w:r>
          </w:p>
        </w:tc>
        <w:tc>
          <w:tcPr>
            <w:tcW w:w="48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Any agreed outcomes are monitored where relevant communication to stakeholders carried out.</w:t>
            </w:r>
          </w:p>
        </w:tc>
      </w:tr>
      <w:tr w:rsidTr="00E105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3.8</w:t>
            </w:r>
          </w:p>
        </w:tc>
        <w:tc>
          <w:tcPr>
            <w:tcW w:w="48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Communication completion processes are performed in accordance with organisational procedures</w:t>
            </w:r>
          </w:p>
        </w:tc>
      </w:tr>
    </w:tbl>
    <w:p w:rsidR="00E10522" w:rsidP="00813CA6">
      <w:pPr>
        <w:pStyle w:val="BodyText"/>
      </w:pPr>
    </w:p>
    <w:p w:rsidR="00E10522" w:rsidP="00813CA6">
      <w:pPr>
        <w:pStyle w:val="BodyText"/>
      </w:pPr>
    </w:p>
    <w:p w:rsidR="00000000" w:rsidRPr="00813CA6" w:rsidP="00813CA6">
      <w:pPr>
        <w:pStyle w:val="Heading1"/>
      </w:pPr>
      <w:bookmarkStart w:id="9" w:name="O_263635"/>
      <w:bookmarkEnd w:id="9"/>
      <w:r w:rsidRPr="00813CA6">
        <w:t>Required Skills and Knowledge</w:t>
      </w:r>
    </w:p>
    <w:tbl>
      <w:tblPr>
        <w:tblW w:w="0" w:type="auto"/>
        <w:tblLayout w:type="fixed"/>
        <w:tblCellMar>
          <w:left w:w="62" w:type="dxa"/>
          <w:right w:w="62" w:type="dxa"/>
        </w:tblCellMar>
        <w:tblLook w:val="0000"/>
      </w:tblPr>
      <w:tblGrid>
        <w:gridCol w:w="2700"/>
        <w:gridCol w:w="1080"/>
        <w:gridCol w:w="4680"/>
      </w:tblGrid>
      <w:tr w:rsidTr="00E1052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REQUIRED SKILLS AND KNOWLEDGE</w:t>
            </w:r>
          </w:p>
        </w:tc>
      </w:tr>
      <w:tr w:rsidTr="00E105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6</w:t>
            </w:r>
            <w:r w:rsidRPr="00813CA6">
              <w:t>) This describes the essential skills and knowledge and their level, required for this unit.</w:t>
            </w:r>
          </w:p>
        </w:tc>
      </w:tr>
      <w:tr w:rsidTr="00E105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Evidence shall show that knowledge has been acquired of safe working practices control centre communication with Gas Industry stakeholders. The extent of the essential knowledge and associated skills (EKAS) required is given in Volume 2 - Part 2.2 EKAS.  I</w:t>
            </w:r>
            <w:r w:rsidRPr="00813CA6">
              <w:t>t forms an integral part of this unit.</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G 3.7.2</w:t>
            </w:r>
          </w:p>
        </w:tc>
        <w:tc>
          <w:tcPr>
            <w:tcW w:w="468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Communication, negotiation and problem solving techniques</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G 4.1.3</w:t>
            </w:r>
          </w:p>
        </w:tc>
        <w:tc>
          <w:tcPr>
            <w:tcW w:w="468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Gas Industry products and services</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G 4.1.4</w:t>
            </w:r>
          </w:p>
        </w:tc>
        <w:tc>
          <w:tcPr>
            <w:tcW w:w="468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Communicating in the Gas Industry at a supervisory level</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G 4.1.8</w:t>
            </w:r>
          </w:p>
        </w:tc>
        <w:tc>
          <w:tcPr>
            <w:tcW w:w="468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Use a personal computer</w:t>
            </w:r>
          </w:p>
        </w:tc>
      </w:tr>
    </w:tbl>
    <w:p w:rsidR="00E10522" w:rsidP="00813CA6">
      <w:pPr>
        <w:pStyle w:val="BodyText"/>
      </w:pPr>
    </w:p>
    <w:p w:rsidR="00E10522" w:rsidP="00813CA6">
      <w:pPr>
        <w:pStyle w:val="BodyText"/>
      </w:pPr>
    </w:p>
    <w:p w:rsidR="00000000" w:rsidRPr="00813CA6" w:rsidP="00813CA6">
      <w:pPr>
        <w:pStyle w:val="Heading1"/>
      </w:pPr>
      <w:bookmarkStart w:id="10" w:name="O_247827"/>
      <w:bookmarkEnd w:id="10"/>
      <w:r w:rsidRPr="00813CA6">
        <w:t>Evidence Guide</w:t>
      </w:r>
    </w:p>
    <w:tbl>
      <w:tblPr>
        <w:tblW w:w="0" w:type="auto"/>
        <w:tblLayout w:type="fixed"/>
        <w:tblCellMar>
          <w:left w:w="62" w:type="dxa"/>
          <w:right w:w="62" w:type="dxa"/>
        </w:tblCellMar>
        <w:tblLook w:val="0000"/>
      </w:tblPr>
      <w:tblGrid>
        <w:gridCol w:w="326"/>
        <w:gridCol w:w="1834"/>
        <w:gridCol w:w="540"/>
        <w:gridCol w:w="900"/>
        <w:gridCol w:w="360"/>
        <w:gridCol w:w="1620"/>
        <w:gridCol w:w="1317"/>
        <w:gridCol w:w="1563"/>
      </w:tblGrid>
      <w:tr w:rsidTr="00E10522">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EVIDENCE GUIDE</w:t>
            </w:r>
          </w:p>
        </w:tc>
      </w:tr>
      <w:tr w:rsidTr="00E10522">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8</w:t>
            </w:r>
            <w:r w:rsidRPr="00813CA6">
              <w:t xml:space="preserve">) </w:t>
            </w:r>
          </w:p>
          <w:p w:rsidR="00000000" w:rsidP="00813CA6">
            <w:pPr>
              <w:pStyle w:val="BodyText"/>
              <w:rPr>
                <w:lang w:val="en-NZ"/>
              </w:rPr>
            </w:pPr>
            <w:r w:rsidRPr="00813CA6">
              <w:t>T</w:t>
            </w:r>
            <w:r w:rsidRPr="00813CA6">
              <w:t>he Evidence Guide forms an integral part of this Competency Standard Unit and shall be used in conjunction with all components parts of this unit and, performed in accordance with the Assessment Guidelines of this Training Package.</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Overview of Asse</w:t>
            </w:r>
            <w:r w:rsidRPr="00813CA6">
              <w:rPr>
                <w:rStyle w:val="SpecialBold"/>
              </w:rPr>
              <w:t>ssment</w:t>
            </w:r>
          </w:p>
        </w:tc>
        <w:tc>
          <w:tcPr>
            <w:tcW w:w="6300" w:type="dxa"/>
            <w:gridSpan w:val="6"/>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8</w:t>
            </w:r>
            <w:r w:rsidRPr="00813CA6">
              <w:t>.</w:t>
            </w:r>
            <w:r w:rsidRPr="00813CA6">
              <w:rPr>
                <w:rStyle w:val="SpecialBold"/>
              </w:rPr>
              <w:t>1</w:t>
            </w:r>
            <w:r w:rsidRPr="00813CA6">
              <w:t xml:space="preserve">) </w:t>
            </w:r>
          </w:p>
          <w:p w:rsidR="00000000" w:rsidRPr="00813CA6" w:rsidP="00813CA6">
            <w:pPr>
              <w:pStyle w:val="BodyText"/>
            </w:pPr>
            <w:r w:rsidRPr="00813CA6">
              <w:t>Longitudinal competency development approaches to assessment, such as Profiling, require data to be reliably gathered in a form that can be consistently interpreted over time. This approach is best utilised in Apprenticeship programs and reduces assessment</w:t>
            </w:r>
            <w:r w:rsidRPr="00813CA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13CA6">
              <w:t>tency in a realistically simulated work environment. It is recognised that, in some circumstances, assessment in part or full can occur outside the workplace. However, it must be in accord with Industry and, Regulatory policy in this regard.</w:t>
            </w:r>
          </w:p>
          <w:p w:rsidR="00000000" w:rsidRPr="00813CA6" w:rsidP="00813CA6">
            <w:pPr>
              <w:pStyle w:val="BodyText"/>
            </w:pPr>
            <w:r w:rsidRPr="00813CA6">
              <w:t>Methods chosen</w:t>
            </w:r>
            <w:r w:rsidRPr="00813CA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13CA6">
              <w:t>equired and the critical nature of the competencies being assessed.</w:t>
            </w:r>
          </w:p>
          <w:p w:rsidR="00000000" w:rsidRPr="00813CA6" w:rsidP="00813CA6">
            <w:pPr>
              <w:pStyle w:val="BodyText"/>
            </w:pPr>
            <w:r w:rsidRPr="00813CA6">
              <w:t>The critical safety nature of working with electricity, electrical equipment, gas or any other hazardous substance/material carries risk in deeming a person competent. Hence, sources of ev</w:t>
            </w:r>
            <w:r w:rsidRPr="00813CA6">
              <w:t>idence need to be 'rich' in nature so as to minimise error in judgment.</w:t>
            </w:r>
          </w:p>
          <w:p w:rsidR="00000000" w:rsidP="00813CA6">
            <w:pPr>
              <w:pStyle w:val="BodyText"/>
              <w:rPr>
                <w:lang w:val="en-NZ"/>
              </w:rPr>
            </w:pPr>
            <w:r w:rsidRPr="00813CA6">
              <w:t>Activities associated with normal every day work have a bearing on the decision as to how much and how detailed the data gathered will contribute to its 'richness'. Some skills are mor</w:t>
            </w:r>
            <w:r w:rsidRPr="00813CA6">
              <w:t>e critical to safety and operational requirements while the same skills may be more or less frequently practiced. These points are raised for the assessors to consider when choosing an assessment method and developing assessment instruments. Sample assessm</w:t>
            </w:r>
            <w:r w:rsidRPr="00813CA6">
              <w:t>ent instruments are included for Assessors in the Assessment Guidelines of this Training Package.</w:t>
            </w:r>
          </w:p>
        </w:tc>
      </w:tr>
      <w:tr w:rsidTr="00E1052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8</w:t>
            </w:r>
            <w:r w:rsidRPr="00813CA6">
              <w:t>.</w:t>
            </w:r>
            <w:r w:rsidRPr="00813CA6">
              <w:rPr>
                <w:rStyle w:val="SpecialBold"/>
              </w:rPr>
              <w:t>2</w:t>
            </w:r>
            <w:r w:rsidRPr="00813CA6">
              <w:t xml:space="preserve">) </w:t>
            </w:r>
          </w:p>
          <w:p w:rsidR="00000000" w:rsidP="00813CA6">
            <w:pPr>
              <w:pStyle w:val="BodyText"/>
              <w:rPr>
                <w:lang w:val="en-NZ"/>
              </w:rPr>
            </w:pPr>
            <w:r w:rsidRPr="00813CA6">
              <w:t>Before the critical aspects of evidence are considered all prerequis</w:t>
            </w:r>
            <w:r w:rsidRPr="00813CA6">
              <w:t>ites shall be met.</w:t>
            </w:r>
          </w:p>
        </w:tc>
      </w:tr>
      <w:tr w:rsidTr="00E1052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 xml:space="preserve">Evidence for competence in this unit shall be considered holistically. Each element and associated performance criteria shall be demonstrated </w:t>
            </w:r>
            <w:r w:rsidRPr="00813CA6">
              <w:t>on at least two occasions in accordance with the 'Assessment Guidelines  UEG06'. Evidence shall also comprise:</w:t>
            </w:r>
          </w:p>
        </w:tc>
      </w:tr>
      <w:tr w:rsidTr="00E1052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813CA6">
            <w:pPr>
              <w:pStyle w:val="ListBullet"/>
              <w:rPr>
                <w:lang w:val="en-NZ"/>
              </w:rPr>
            </w:pPr>
            <w:r w:rsidRPr="00813CA6">
              <w:t xml:space="preserve">A representative body of performance criteria demonstrated within the timeframes </w:t>
            </w:r>
            <w:r w:rsidRPr="00813CA6">
              <w:t>typically expected of the discipline, work function and industrial environment. In particular this shall incorporate evidence that shows a candidate is able to:</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813CA6" w:rsidP="00813CA6">
            <w:pPr>
              <w:pStyle w:val="ListBullet2"/>
            </w:pPr>
            <w:r w:rsidRPr="00813CA6">
              <w:t xml:space="preserve">Implement Occupational Health and Safety workplace procedures and practices including </w:t>
            </w:r>
            <w:r w:rsidRPr="00813CA6">
              <w:t>the use of risk control measures as specified in the performance criteria and range</w:t>
            </w:r>
          </w:p>
          <w:p w:rsidR="00000000" w:rsidRPr="00813CA6" w:rsidP="00813CA6">
            <w:pPr>
              <w:pStyle w:val="ListBullet2"/>
            </w:pPr>
            <w:r w:rsidRPr="00813CA6">
              <w:t>Apply sustainable energy principles and practices as specified in the performance criteria and range</w:t>
            </w:r>
          </w:p>
          <w:p w:rsidR="00000000" w:rsidRPr="00813CA6" w:rsidP="00813CA6">
            <w:pPr>
              <w:pStyle w:val="ListBullet2"/>
            </w:pPr>
            <w:r w:rsidRPr="00813CA6">
              <w:t>Demonstrate an understanding of the essential knowledge and associat</w:t>
            </w:r>
            <w:r w:rsidRPr="00813CA6">
              <w:t>ed skills as described in this unit to such an extent that the learner's performance outcome is reported in accordance with the preferred approach; namely a percentile graded result, where required by the regulated environment</w:t>
            </w:r>
          </w:p>
          <w:p w:rsidR="00000000" w:rsidRPr="00813CA6" w:rsidP="00813CA6">
            <w:pPr>
              <w:pStyle w:val="ListBullet2"/>
            </w:pPr>
            <w:r w:rsidRPr="00813CA6">
              <w:t>Demonstrate an appropriate le</w:t>
            </w:r>
            <w:r w:rsidRPr="00813CA6">
              <w:t>vel of skills enabling employment</w:t>
            </w:r>
          </w:p>
          <w:p w:rsidR="00000000" w:rsidP="00813CA6">
            <w:pPr>
              <w:pStyle w:val="ListBullet2"/>
              <w:rPr>
                <w:lang w:val="en-NZ"/>
              </w:rPr>
            </w:pPr>
            <w:r w:rsidRPr="00813CA6">
              <w:t>Conduct work observing the relevant anti discrimination legislation, regulations, polices and workplace procedures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813CA6">
            <w:pPr>
              <w:pStyle w:val="ListBullet2"/>
              <w:rPr>
                <w:lang w:val="en-NZ"/>
              </w:rPr>
            </w:pPr>
            <w:r w:rsidRPr="00813CA6">
              <w:t>Demonstrate performance across a representative range of contexts from the prescribed items below.</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813CA6">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rPr>
                <w:rStyle w:val="SpecialBold"/>
              </w:rPr>
              <w:t>Range of tools</w:t>
            </w:r>
            <w:r w:rsidRPr="00813CA6">
              <w:t>/</w:t>
            </w:r>
            <w:r w:rsidRPr="00813CA6">
              <w:rPr>
                <w:rStyle w:val="SpecialBold"/>
              </w:rPr>
              <w:t>equipment</w:t>
            </w:r>
            <w:r w:rsidRPr="00813CA6">
              <w:t>/</w:t>
            </w:r>
            <w:r w:rsidRPr="00813CA6">
              <w:rPr>
                <w:rStyle w:val="SpecialBold"/>
              </w:rPr>
              <w:t>materials</w:t>
            </w:r>
            <w:r w:rsidRPr="00813CA6">
              <w:t>/</w:t>
            </w:r>
            <w:r w:rsidRPr="00813CA6">
              <w:rPr>
                <w:rStyle w:val="SpecialBold"/>
              </w:rPr>
              <w:t>procedures</w:t>
            </w:r>
            <w:r w:rsidRPr="00813CA6">
              <w:t>/</w:t>
            </w:r>
            <w:r w:rsidRPr="00813CA6">
              <w:br/>
            </w:r>
            <w:r w:rsidRPr="00813CA6">
              <w:rPr>
                <w:rStyle w:val="SpecialBold"/>
              </w:rPr>
              <w:t>workplaces</w:t>
            </w:r>
            <w:r w:rsidRPr="00813CA6">
              <w:t>/</w:t>
            </w:r>
            <w:r w:rsidRPr="00813CA6">
              <w:rPr>
                <w:rStyle w:val="SpecialBold"/>
              </w:rPr>
              <w:t>other variables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813CA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rPr>
                <w:rStyle w:val="SpecialBold"/>
              </w:rPr>
              <w:t>Item List</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At least 1</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t>Workplace Environment Context:</w:t>
            </w:r>
          </w:p>
          <w:p w:rsidR="00000000" w:rsidRPr="00813CA6" w:rsidP="00813CA6">
            <w:pPr>
              <w:pStyle w:val="BodyText"/>
            </w:pPr>
            <w:r w:rsidRPr="00813CA6">
              <w:t>Gas Industry production, transmission and distribution areas</w:t>
            </w:r>
          </w:p>
          <w:p w:rsidR="00000000" w:rsidRPr="00813CA6" w:rsidP="00813CA6">
            <w:pPr>
              <w:pStyle w:val="BodyText"/>
            </w:pPr>
            <w:r w:rsidRPr="00813CA6">
              <w:t>Location  control centres or places where communication processes occur</w:t>
            </w:r>
          </w:p>
          <w:p w:rsidR="00000000" w:rsidP="00813CA6">
            <w:pPr>
              <w:pStyle w:val="BodyText"/>
              <w:rPr>
                <w:lang w:val="en-NZ"/>
              </w:rPr>
            </w:pPr>
            <w:r w:rsidRPr="00813CA6">
              <w:t xml:space="preserve">Work including out-of-hours </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t>Use of computer hardware, software such as email</w:t>
            </w:r>
          </w:p>
          <w:p w:rsidR="00000000" w:rsidRPr="00813CA6" w:rsidP="00813CA6">
            <w:pPr>
              <w:pStyle w:val="BodyText"/>
            </w:pPr>
            <w:r w:rsidRPr="00813CA6">
              <w:t>Work requests from other parties</w:t>
            </w:r>
          </w:p>
          <w:p w:rsidR="00000000" w:rsidRPr="00813CA6" w:rsidP="00813CA6">
            <w:pPr>
              <w:pStyle w:val="BodyText"/>
            </w:pPr>
            <w:r w:rsidRPr="00813CA6">
              <w:t>Relevant procedures for equipment use</w:t>
            </w:r>
          </w:p>
          <w:p w:rsidR="00000000" w:rsidRPr="00813CA6" w:rsidP="00813CA6">
            <w:pPr>
              <w:pStyle w:val="BodyText"/>
            </w:pPr>
            <w:r w:rsidRPr="00813CA6">
              <w:t>Perform work under or without supervision</w:t>
            </w:r>
          </w:p>
          <w:p w:rsidR="00000000" w:rsidP="00813CA6">
            <w:pPr>
              <w:pStyle w:val="BodyText"/>
              <w:rPr>
                <w:lang w:val="en-NZ"/>
              </w:rPr>
            </w:pPr>
            <w:r w:rsidRPr="00813CA6">
              <w:t>Work carried out in regular or specified timeframe</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t>Documentation:</w:t>
            </w:r>
          </w:p>
          <w:p w:rsidR="00000000" w:rsidRPr="00813CA6" w:rsidP="00813CA6">
            <w:pPr>
              <w:pStyle w:val="BodyText"/>
            </w:pPr>
            <w:r w:rsidRPr="00813CA6">
              <w:t xml:space="preserve">Written requests and reports </w:t>
            </w:r>
          </w:p>
          <w:p w:rsidR="00000000" w:rsidRPr="00813CA6" w:rsidP="00813CA6">
            <w:pPr>
              <w:pStyle w:val="BodyText"/>
            </w:pPr>
            <w:r w:rsidRPr="00813CA6">
              <w:t>Organisational formatting reports</w:t>
            </w:r>
          </w:p>
          <w:p w:rsidR="00000000" w:rsidP="00813CA6">
            <w:pPr>
              <w:pStyle w:val="BodyText"/>
              <w:rPr>
                <w:lang w:val="en-NZ"/>
              </w:rPr>
            </w:pPr>
            <w:r w:rsidRPr="00813CA6">
              <w:t>Regulatory reporting formats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t>Locate, interpret and apply relevant information</w:t>
            </w:r>
          </w:p>
          <w:p w:rsidR="00000000" w:rsidRPr="00813CA6" w:rsidP="00813CA6">
            <w:pPr>
              <w:pStyle w:val="BodyText"/>
            </w:pPr>
            <w:r w:rsidRPr="00813CA6">
              <w:t>Analyse process functions and problems</w:t>
            </w:r>
          </w:p>
          <w:p w:rsidR="00000000" w:rsidRPr="00813CA6" w:rsidP="00813CA6">
            <w:pPr>
              <w:pStyle w:val="BodyText"/>
            </w:pPr>
            <w:r w:rsidRPr="00813CA6">
              <w:t>Apply relevant customer service policies and procedures</w:t>
            </w:r>
          </w:p>
          <w:p w:rsidR="00000000" w:rsidRPr="00813CA6" w:rsidP="00813CA6">
            <w:pPr>
              <w:pStyle w:val="BodyText"/>
            </w:pPr>
            <w:r w:rsidRPr="00813CA6">
              <w:t>Use appropriate workplace language and communication technologies and techniques</w:t>
            </w:r>
          </w:p>
          <w:p w:rsidR="00000000" w:rsidRPr="00813CA6" w:rsidP="00813CA6">
            <w:pPr>
              <w:pStyle w:val="BodyText"/>
            </w:pPr>
            <w:r w:rsidRPr="00813CA6">
              <w:t>Maintain relevant workplace records</w:t>
            </w:r>
          </w:p>
          <w:p w:rsidR="00000000" w:rsidRPr="00813CA6" w:rsidP="00813CA6">
            <w:pPr>
              <w:pStyle w:val="BodyText"/>
            </w:pPr>
            <w:r w:rsidRPr="00813CA6">
              <w:t>Demonstrate understanding of the essential knowledge and associated skills associated with this competency standard</w:t>
            </w:r>
          </w:p>
          <w:p w:rsidR="00000000" w:rsidP="00813CA6">
            <w:pPr>
              <w:pStyle w:val="BodyText"/>
              <w:rPr>
                <w:lang w:val="en-NZ"/>
              </w:rPr>
            </w:pPr>
            <w:r w:rsidRPr="00813CA6">
              <w:t>Demonstration of each element on several occasions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 xml:space="preserve">Deal with an unplanned </w:t>
            </w:r>
            <w:r w:rsidRPr="00813CA6">
              <w:t xml:space="preserve">event by drawing on essential knowledge and associated skills to provide appropriate solutions incorporated in the holistic assessment with the above listed items </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8</w:t>
            </w:r>
            <w:r w:rsidRPr="00813CA6">
              <w:t>.</w:t>
            </w:r>
            <w:r w:rsidRPr="00813CA6">
              <w:rPr>
                <w:rStyle w:val="SpecialBold"/>
              </w:rPr>
              <w:t>3</w:t>
            </w:r>
            <w:r w:rsidRPr="00813CA6">
              <w:t xml:space="preserve">) </w:t>
            </w:r>
          </w:p>
          <w:p w:rsidR="00000000" w:rsidRPr="00813CA6" w:rsidP="00813CA6">
            <w:pPr>
              <w:pStyle w:val="BodyText"/>
            </w:pPr>
            <w:r w:rsidRPr="00813CA6">
              <w:t>This unit should be assessed as it relates to normal work practice using procedures, information and resources typical of a workplace. This should include:</w:t>
            </w:r>
          </w:p>
          <w:p w:rsidR="00000000" w:rsidRPr="00813CA6" w:rsidP="00813CA6">
            <w:pPr>
              <w:pStyle w:val="ListBullet"/>
            </w:pPr>
            <w:r w:rsidRPr="00813CA6">
              <w:t>OHS policy and work procedures and instructions.</w:t>
            </w:r>
          </w:p>
          <w:p w:rsidR="00000000" w:rsidRPr="00813CA6" w:rsidP="00813CA6">
            <w:pPr>
              <w:pStyle w:val="ListBullet"/>
            </w:pPr>
            <w:r w:rsidRPr="00813CA6">
              <w:t>Suitable work environment, facilities, equipment a</w:t>
            </w:r>
            <w:r w:rsidRPr="00813CA6">
              <w:t>nd materials to undertake actual work as prescribed by this Competency Standard Unit.</w:t>
            </w:r>
          </w:p>
          <w:p w:rsidR="00000000" w:rsidRPr="00813CA6" w:rsidP="00813CA6">
            <w:pPr>
              <w:pStyle w:val="ListBullet"/>
            </w:pPr>
            <w:r w:rsidRPr="00813CA6">
              <w:t>Appropriate environmental regulation and work practices.</w:t>
            </w:r>
          </w:p>
          <w:p w:rsidR="00000000" w:rsidRPr="00813CA6" w:rsidP="00813CA6">
            <w:pPr>
              <w:pStyle w:val="ListBullet"/>
            </w:pPr>
            <w:r w:rsidRPr="00813CA6">
              <w:t>Appropriate organisational requirements.</w:t>
            </w:r>
          </w:p>
          <w:p w:rsidR="00000000" w:rsidP="00813CA6">
            <w:pPr>
              <w:pStyle w:val="ListBullet"/>
              <w:rPr>
                <w:lang w:val="en-NZ"/>
              </w:rPr>
            </w:pPr>
            <w:r w:rsidRPr="00813CA6">
              <w:t>Appropriate work environment, equipment and tools.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In addition to the resources listed above, in Context of and specific resources for assessment, evidence should show demonstrated competency in controlling centre communication with Gas Industry stakeholders.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Assessment of this competency must also be undertaken in either an actual workplace or under a simulated work environment. Assessment must also integrate the Key Competencies.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8</w:t>
            </w:r>
            <w:r w:rsidRPr="00813CA6">
              <w:t>.</w:t>
            </w:r>
            <w:r w:rsidRPr="00813CA6">
              <w:rPr>
                <w:rStyle w:val="SpecialBold"/>
              </w:rPr>
              <w:t>4</w:t>
            </w:r>
            <w:r w:rsidRPr="00813CA6">
              <w:t xml:space="preserve">) </w:t>
            </w:r>
          </w:p>
          <w:p w:rsidR="00000000" w:rsidRPr="00813CA6" w:rsidP="00813CA6">
            <w:pPr>
              <w:pStyle w:val="BodyText"/>
            </w:pPr>
            <w:r w:rsidRPr="00813CA6">
              <w:t>This Competency Standard Unit shall be assesse</w:t>
            </w:r>
            <w:r w:rsidRPr="00813CA6">
              <w:t>d by methods given in Volume 1, Part 3 'Assessment Guidelines'.</w:t>
            </w:r>
          </w:p>
          <w:p w:rsidR="00000000" w:rsidP="00813CA6">
            <w:pPr>
              <w:pStyle w:val="BodyText"/>
              <w:rPr>
                <w:lang w:val="en-NZ"/>
              </w:rPr>
            </w:pPr>
            <w:r w:rsidRPr="00813CA6">
              <w:t>Note:</w:t>
            </w:r>
            <w:r w:rsidRPr="00813CA6">
              <w:br/>
              <w:t>Competent performance with inherent safe working practices is expected in the Industry to which this Competency Standard Unit applies. This requires that the specified Essential Knowledg</w:t>
            </w:r>
            <w:r w:rsidRPr="00813CA6">
              <w:t>e and Associated Skills are assessed in a structured environment which is primarily intended for learning/assessment and incorporates all necessary equipment and facilities for learners to develop and demonstrate the essential knowledge and associated skil</w:t>
            </w:r>
            <w:r w:rsidRPr="00813CA6">
              <w:t>ls described in this unit.</w:t>
            </w:r>
          </w:p>
        </w:tc>
      </w:tr>
      <w:tr w:rsidTr="00E1052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8</w:t>
            </w:r>
            <w:r w:rsidRPr="00813CA6">
              <w:t>.</w:t>
            </w:r>
            <w:r w:rsidRPr="00813CA6">
              <w:rPr>
                <w:rStyle w:val="SpecialBold"/>
              </w:rPr>
              <w:t>5</w:t>
            </w:r>
            <w:r w:rsidRPr="00813CA6">
              <w:t xml:space="preserve">) </w:t>
            </w:r>
          </w:p>
        </w:tc>
      </w:tr>
      <w:tr w:rsidTr="00E1052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 xml:space="preserve">There are no recommended concurrent assessments with this unit, however in some cases efficiencies may be gained in terms of learning and assessment </w:t>
            </w:r>
            <w:r w:rsidRPr="00813CA6">
              <w:t>effort being concurrently managed with allied Competency Standard Units where listed.</w:t>
            </w:r>
          </w:p>
        </w:tc>
      </w:tr>
      <w:tr w:rsidTr="00E1052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BSBFLM405A</w:t>
            </w:r>
          </w:p>
        </w:tc>
        <w:tc>
          <w:tcPr>
            <w:tcW w:w="4500" w:type="dxa"/>
            <w:gridSpan w:val="3"/>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Implement operational plans</w:t>
            </w:r>
          </w:p>
        </w:tc>
      </w:tr>
      <w:tr w:rsidTr="00E1052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BSBCMN411A</w:t>
            </w:r>
          </w:p>
        </w:tc>
        <w:tc>
          <w:tcPr>
            <w:tcW w:w="4500" w:type="dxa"/>
            <w:gridSpan w:val="3"/>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Monitor a safe workplace</w:t>
            </w:r>
          </w:p>
        </w:tc>
      </w:tr>
      <w:tr w:rsidTr="00E1052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13CA6" w:rsidP="00813CA6">
            <w:pPr>
              <w:pStyle w:val="BodyText"/>
            </w:pPr>
            <w:r w:rsidRPr="00813CA6">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8</w:t>
            </w:r>
            <w:r w:rsidRPr="00813CA6">
              <w:t>.</w:t>
            </w:r>
            <w:r w:rsidRPr="00813CA6">
              <w:rPr>
                <w:rStyle w:val="SpecialBold"/>
              </w:rPr>
              <w:t>6</w:t>
            </w:r>
            <w:r w:rsidRPr="00813CA6">
              <w:t xml:space="preserve">) </w:t>
            </w:r>
          </w:p>
          <w:p w:rsidR="00000000" w:rsidP="00813CA6">
            <w:pPr>
              <w:pStyle w:val="BodyText"/>
              <w:rPr>
                <w:lang w:val="en-NZ"/>
              </w:rPr>
            </w:pPr>
            <w:r w:rsidRPr="00813CA6">
              <w:t>Evidence that particular Key Competencies have been achieved within this Competency Standard Unit is in the context of the following performance criteria of evidence. See Volume 2, Part 4 for an explanation of Key Competencies and levels of this Training P</w:t>
            </w:r>
            <w:r w:rsidRPr="00813CA6">
              <w:t>ackage.</w:t>
            </w:r>
          </w:p>
        </w:tc>
      </w:tr>
      <w:tr w:rsidTr="00E1052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rPr>
                <w:rStyle w:val="SpecialBold"/>
              </w:rPr>
              <w:t>Performance Level</w:t>
            </w:r>
          </w:p>
        </w:tc>
      </w:tr>
      <w:tr w:rsidTr="00E105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p>
          <w:p w:rsidR="00000000" w:rsidP="00813CA6">
            <w:pPr>
              <w:pStyle w:val="BodyText"/>
              <w:rPr>
                <w:lang w:val="en-NZ"/>
              </w:rPr>
            </w:pPr>
            <w:r w:rsidRPr="00813CA6">
              <w:t>3</w:t>
            </w:r>
          </w:p>
        </w:tc>
      </w:tr>
      <w:tr w:rsidTr="00E105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1.1; 1.2; 1.4; 1.7; 1.8; 2.3; 2.4; 2.5; 2.7; 2.8; 3.6; 3.7; 3.8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p>
        </w:tc>
      </w:tr>
      <w:tr w:rsidTr="00E105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How can information be collected, analysed and organised?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p>
          <w:p w:rsidR="00000000" w:rsidP="00813CA6">
            <w:pPr>
              <w:pStyle w:val="BodyText"/>
              <w:rPr>
                <w:lang w:val="en-NZ"/>
              </w:rPr>
            </w:pPr>
            <w:r w:rsidRPr="00813CA6">
              <w:t>2</w:t>
            </w:r>
          </w:p>
        </w:tc>
      </w:tr>
      <w:tr w:rsidTr="00E105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p>
        </w:tc>
      </w:tr>
      <w:tr w:rsidTr="00E105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p>
          <w:p w:rsidR="00000000" w:rsidP="00813CA6">
            <w:pPr>
              <w:pStyle w:val="BodyText"/>
              <w:rPr>
                <w:lang w:val="en-NZ"/>
              </w:rPr>
            </w:pPr>
            <w:r w:rsidRPr="00813CA6">
              <w:t>2</w:t>
            </w:r>
          </w:p>
        </w:tc>
      </w:tr>
      <w:tr w:rsidTr="00E105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1.1; 1.3;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p>
        </w:tc>
      </w:tr>
      <w:tr w:rsidTr="00E105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p>
          <w:p w:rsidR="00000000" w:rsidP="00813CA6">
            <w:pPr>
              <w:pStyle w:val="BodyText"/>
              <w:rPr>
                <w:lang w:val="en-NZ"/>
              </w:rPr>
            </w:pPr>
            <w:r w:rsidRPr="00813CA6">
              <w:t>2</w:t>
            </w:r>
          </w:p>
        </w:tc>
      </w:tr>
      <w:tr w:rsidTr="00E105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1.1; 1.2; 1.4; 1.8; 2.3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p>
        </w:tc>
      </w:tr>
      <w:tr w:rsidTr="00E105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p>
          <w:p w:rsidR="00000000" w:rsidP="00813CA6">
            <w:pPr>
              <w:pStyle w:val="BodyText"/>
              <w:rPr>
                <w:lang w:val="en-NZ"/>
              </w:rPr>
            </w:pPr>
            <w:r w:rsidRPr="00813CA6">
              <w:t>N/A</w:t>
            </w:r>
          </w:p>
        </w:tc>
      </w:tr>
      <w:tr w:rsidTr="00E105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p>
        </w:tc>
      </w:tr>
      <w:tr w:rsidTr="00E105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p>
          <w:p w:rsidR="00000000" w:rsidP="00813CA6">
            <w:pPr>
              <w:pStyle w:val="BodyText"/>
              <w:rPr>
                <w:lang w:val="en-NZ"/>
              </w:rPr>
            </w:pPr>
            <w:r w:rsidRPr="00813CA6">
              <w:t>2</w:t>
            </w:r>
          </w:p>
        </w:tc>
      </w:tr>
      <w:tr w:rsidTr="00E105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p>
        </w:tc>
      </w:tr>
      <w:tr w:rsidTr="00E105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p>
          <w:p w:rsidR="00000000" w:rsidP="00813CA6">
            <w:pPr>
              <w:pStyle w:val="BodyText"/>
              <w:rPr>
                <w:lang w:val="en-NZ"/>
              </w:rPr>
            </w:pPr>
            <w:r w:rsidRPr="00813CA6">
              <w:t>N/A</w:t>
            </w:r>
          </w:p>
        </w:tc>
      </w:tr>
      <w:tr w:rsidTr="00E10522">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052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052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13CA6" w:rsidP="00813CA6">
            <w:pPr>
              <w:pStyle w:val="BodyText"/>
            </w:pPr>
            <w:r w:rsidRPr="00813CA6">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813CA6" w:rsidP="00813CA6">
            <w:pPr>
              <w:pStyle w:val="BodyText"/>
            </w:pPr>
            <w:r w:rsidRPr="00813CA6">
              <w:rPr>
                <w:rStyle w:val="SpecialBold"/>
              </w:rPr>
              <w:t>8</w:t>
            </w:r>
            <w:r w:rsidRPr="00813CA6">
              <w:t>.</w:t>
            </w:r>
            <w:r w:rsidRPr="00813CA6">
              <w:rPr>
                <w:rStyle w:val="SpecialBold"/>
              </w:rPr>
              <w:t>7</w:t>
            </w:r>
            <w:r w:rsidRPr="00813CA6">
              <w:t xml:space="preserve">) </w:t>
            </w:r>
          </w:p>
          <w:p w:rsidR="00000000" w:rsidP="00813CA6">
            <w:pPr>
              <w:pStyle w:val="BodyText"/>
              <w:rPr>
                <w:lang w:val="en-NZ"/>
              </w:rPr>
            </w:pPr>
            <w:r w:rsidRPr="00813CA6">
              <w:t xml:space="preserve">Evidence that competency in this unit incorporates skills enabling employment is in the context of the following performance. See Volume 2, Part 5 for definitions and an explanation of skills enabling employment. </w:t>
            </w:r>
          </w:p>
        </w:tc>
      </w:tr>
      <w:tr w:rsidTr="00E1052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rPr>
                <w:rStyle w:val="SpecialBold"/>
              </w:rPr>
              <w:t>Example of Application</w:t>
            </w:r>
          </w:p>
        </w:tc>
      </w:tr>
      <w:tr w:rsidTr="00E105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r>
      <w:tr w:rsidTr="00E105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All</w:t>
            </w:r>
          </w:p>
        </w:tc>
      </w:tr>
      <w:tr w:rsidTr="00E105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r>
      <w:tr w:rsidTr="00E105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1.3; 2.3; 2.4; 2.5</w:t>
            </w:r>
          </w:p>
        </w:tc>
      </w:tr>
      <w:tr w:rsidTr="00E105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Reflecting on the outcome and process of work task</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r>
      <w:tr w:rsidTr="00E105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3.7; 3.8</w:t>
            </w:r>
          </w:p>
        </w:tc>
      </w:tr>
      <w:tr w:rsidTr="00E105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r>
      <w:tr w:rsidTr="00E105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1.1; 1.2; 1.4; 1.7; 1.8; 2.3; 2.4; 2.5; 2.7; 2.8; 3.6; 3.7</w:t>
            </w:r>
          </w:p>
        </w:tc>
      </w:tr>
      <w:tr w:rsidTr="00E105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r>
      <w:tr w:rsidTr="00E105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1.1; 1.2; 1.3</w:t>
            </w:r>
          </w:p>
        </w:tc>
      </w:tr>
      <w:tr w:rsidTr="00E105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CA6">
            <w:pPr>
              <w:pStyle w:val="BodyText"/>
              <w:rPr>
                <w:lang w:val="en-NZ"/>
              </w:rPr>
            </w:pPr>
            <w:r w:rsidRPr="00813CA6">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CA6">
            <w:pPr>
              <w:pStyle w:val="BodyText"/>
              <w:rPr>
                <w:lang w:val="en-NZ"/>
              </w:rPr>
            </w:pPr>
            <w:r w:rsidRPr="00813CA6">
              <w:t>Refer to the following Performance Criteria for examples of application:</w:t>
            </w:r>
          </w:p>
        </w:tc>
      </w:tr>
      <w:tr w:rsidTr="00E105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13CA6" w:rsidP="00813CA6">
            <w:pPr>
              <w:pStyle w:val="BodyText"/>
            </w:pPr>
            <w:r w:rsidRPr="00813CA6">
              <w:t>2.5</w:t>
            </w:r>
          </w:p>
        </w:tc>
      </w:tr>
    </w:tbl>
    <w:p w:rsidR="00E10522" w:rsidP="00813CA6">
      <w:pPr>
        <w:pStyle w:val="BodyText"/>
      </w:pPr>
    </w:p>
    <w:p w:rsidR="00E10522" w:rsidP="00813CA6">
      <w:pPr>
        <w:pStyle w:val="BodyText"/>
      </w:pPr>
    </w:p>
    <w:p w:rsidR="00000000" w:rsidRPr="00813CA6" w:rsidP="00813CA6">
      <w:pPr>
        <w:pStyle w:val="Heading1"/>
      </w:pPr>
      <w:bookmarkStart w:id="11" w:name="O_255811"/>
      <w:bookmarkEnd w:id="11"/>
      <w:r w:rsidRPr="00813CA6">
        <w:t>Range Statement</w:t>
      </w:r>
    </w:p>
    <w:tbl>
      <w:tblPr>
        <w:tblW w:w="0" w:type="auto"/>
        <w:tblLayout w:type="fixed"/>
        <w:tblCellMar>
          <w:left w:w="62" w:type="dxa"/>
          <w:right w:w="62" w:type="dxa"/>
        </w:tblCellMar>
        <w:tblLook w:val="0000"/>
      </w:tblPr>
      <w:tblGrid>
        <w:gridCol w:w="8460"/>
      </w:tblGrid>
      <w:tr w:rsidTr="00E105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RANGE STATEMENT</w:t>
            </w:r>
          </w:p>
        </w:tc>
      </w:tr>
      <w:tr w:rsidTr="00E105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7</w:t>
            </w:r>
            <w:r w:rsidRPr="00813CA6">
              <w:t xml:space="preserve">) This relates to the competency standard unit as a whole providing the range of contexts and conditions </w:t>
            </w:r>
            <w:r w:rsidRPr="00813CA6">
              <w:t>to which the performance criteria apply. It allows for different work environments and situations that will affect performance.</w:t>
            </w:r>
          </w:p>
        </w:tc>
      </w:tr>
      <w:tr w:rsidTr="00E105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This Competency Standard Unit shall/may be demonstrated in relation to control centre communication with Gas Industry stakehold</w:t>
            </w:r>
            <w:r w:rsidRPr="00813CA6">
              <w:t>ers.</w:t>
            </w:r>
          </w:p>
          <w:p w:rsidR="00000000" w:rsidRPr="00813CA6" w:rsidP="00813CA6">
            <w:pPr>
              <w:pStyle w:val="BodyText"/>
            </w:pPr>
            <w:r w:rsidRPr="00813CA6">
              <w:t>The following constants and variables included in the element/performance criteria in this unit are fully described in the Definitions Section of this volume and form an integral part of the Range Statement of this unit:</w:t>
            </w:r>
          </w:p>
          <w:p w:rsidR="00000000" w:rsidRPr="00813CA6" w:rsidP="00813CA6">
            <w:pPr>
              <w:pStyle w:val="BodyText"/>
            </w:pPr>
            <w:r w:rsidRPr="00813CA6">
              <w:t>Industry products and services</w:t>
            </w:r>
          </w:p>
          <w:p w:rsidR="00000000" w:rsidRPr="00813CA6" w:rsidP="00813CA6">
            <w:pPr>
              <w:pStyle w:val="BodyText"/>
            </w:pPr>
            <w:r w:rsidRPr="00813CA6">
              <w:t>Authoritative sources</w:t>
            </w:r>
          </w:p>
          <w:p w:rsidR="00000000" w:rsidRPr="00813CA6" w:rsidP="00813CA6">
            <w:pPr>
              <w:pStyle w:val="BodyText"/>
            </w:pPr>
            <w:r w:rsidRPr="00813CA6">
              <w:t>Product information</w:t>
            </w:r>
          </w:p>
          <w:p w:rsidR="00000000" w:rsidRPr="00813CA6" w:rsidP="00813CA6">
            <w:pPr>
              <w:pStyle w:val="BodyText"/>
            </w:pPr>
            <w:r w:rsidRPr="00813CA6">
              <w:t>Stakeholders</w:t>
            </w:r>
          </w:p>
          <w:p w:rsidR="00000000" w:rsidRPr="00813CA6" w:rsidP="00813CA6">
            <w:pPr>
              <w:pStyle w:val="BodyText"/>
            </w:pPr>
            <w:r w:rsidRPr="00813CA6">
              <w:t>Organisational requirements</w:t>
            </w:r>
          </w:p>
          <w:p w:rsidR="00000000" w:rsidRPr="00813CA6" w:rsidP="00813CA6">
            <w:pPr>
              <w:pStyle w:val="BodyText"/>
            </w:pPr>
            <w:r w:rsidRPr="00813CA6">
              <w:t>Interpersonal skills</w:t>
            </w:r>
          </w:p>
          <w:p w:rsidR="00000000" w:rsidRPr="00813CA6" w:rsidP="00813CA6">
            <w:pPr>
              <w:pStyle w:val="BodyText"/>
            </w:pPr>
            <w:r w:rsidRPr="00813CA6">
              <w:t>Nominated person(s)</w:t>
            </w:r>
          </w:p>
          <w:p w:rsidR="00000000" w:rsidRPr="00813CA6" w:rsidP="00813CA6">
            <w:pPr>
              <w:pStyle w:val="BodyText"/>
            </w:pPr>
            <w:r w:rsidRPr="00813CA6">
              <w:t>Product and service issues</w:t>
            </w:r>
          </w:p>
        </w:tc>
      </w:tr>
    </w:tbl>
    <w:p w:rsidR="00E10522" w:rsidP="00813CA6">
      <w:pPr>
        <w:pStyle w:val="BodyText"/>
      </w:pPr>
    </w:p>
    <w:p w:rsidR="00E10522" w:rsidP="00813CA6">
      <w:pPr>
        <w:pStyle w:val="BodyText"/>
      </w:pPr>
    </w:p>
    <w:p w:rsidR="00000000" w:rsidRPr="00813CA6" w:rsidP="00813CA6">
      <w:pPr>
        <w:pStyle w:val="Heading1"/>
      </w:pPr>
      <w:bookmarkStart w:id="12" w:name="O_296824"/>
      <w:bookmarkEnd w:id="12"/>
      <w:r w:rsidRPr="00813CA6">
        <w:t>Unit Sector(s)</w:t>
      </w:r>
    </w:p>
    <w:p w:rsidR="00000000" w:rsidRPr="00813CA6" w:rsidP="00813CA6">
      <w:pPr>
        <w:pStyle w:val="BodyText"/>
      </w:pPr>
      <w:r w:rsidRPr="00813CA6">
        <w:t>Not Applicable</w:t>
      </w:r>
    </w:p>
    <w:p w:rsidR="00000000" w:rsidRPr="00813CA6" w:rsidP="00813CA6">
      <w:pPr>
        <w:pStyle w:val="AllowPageBreak"/>
      </w:pPr>
    </w:p>
    <w:p w:rsidR="00000000" w:rsidRPr="00813CA6" w:rsidP="00813CA6">
      <w:pPr>
        <w:pStyle w:val="Heading1"/>
      </w:pPr>
      <w:bookmarkStart w:id="13" w:name="O_229603"/>
      <w:bookmarkEnd w:id="13"/>
      <w:r w:rsidRPr="00813CA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10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2</w:t>
            </w:r>
            <w:r w:rsidRPr="00813CA6">
              <w:t>.</w:t>
            </w:r>
            <w:r w:rsidRPr="00813CA6">
              <w:rPr>
                <w:rStyle w:val="SpecialBold"/>
              </w:rPr>
              <w:t>2</w:t>
            </w:r>
            <w:r w:rsidRPr="00813CA6">
              <w:t xml:space="preserve">) </w:t>
            </w:r>
          </w:p>
          <w:p w:rsidR="00000000" w:rsidP="00813CA6">
            <w:pPr>
              <w:pStyle w:val="BodyText"/>
              <w:rPr>
                <w:lang w:val="en-NZ"/>
              </w:rPr>
            </w:pPr>
            <w:r w:rsidRPr="00813CA6">
              <w:t>Participants are best equipped to achieve this unit if they have reading, writing and numeracy skills indicated by the following scales. Description of each scale is given in Volume 2, Part 3 'Literacy and Numeracy'</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Reading</w:t>
            </w:r>
          </w:p>
        </w:tc>
        <w:tc>
          <w:tcPr>
            <w:tcW w:w="805"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4</w:t>
            </w:r>
          </w:p>
        </w:tc>
        <w:tc>
          <w:tcPr>
            <w:tcW w:w="1184"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Writing</w:t>
            </w:r>
          </w:p>
        </w:tc>
        <w:tc>
          <w:tcPr>
            <w:tcW w:w="805"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4</w:t>
            </w:r>
          </w:p>
        </w:tc>
        <w:tc>
          <w:tcPr>
            <w:tcW w:w="1172"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t>Numeracy</w:t>
            </w:r>
          </w:p>
        </w:tc>
        <w:tc>
          <w:tcPr>
            <w:tcW w:w="805"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4</w:t>
            </w:r>
          </w:p>
        </w:tc>
      </w:tr>
    </w:tbl>
    <w:p w:rsidR="00E10522" w:rsidP="00813CA6">
      <w:pPr>
        <w:pStyle w:val="BodyText"/>
      </w:pPr>
    </w:p>
    <w:p w:rsidR="00E10522" w:rsidP="00813CA6">
      <w:pPr>
        <w:pStyle w:val="BodyText"/>
      </w:pPr>
    </w:p>
    <w:p w:rsidR="00000000" w:rsidRPr="00813CA6" w:rsidP="00813CA6">
      <w:pPr>
        <w:pStyle w:val="Heading1"/>
      </w:pPr>
      <w:bookmarkStart w:id="14" w:name="O_229606"/>
      <w:bookmarkEnd w:id="14"/>
      <w:r w:rsidRPr="00813CA6">
        <w:t>Competency Field</w:t>
      </w:r>
    </w:p>
    <w:tbl>
      <w:tblPr>
        <w:tblW w:w="0" w:type="auto"/>
        <w:tblLayout w:type="fixed"/>
        <w:tblCellMar>
          <w:left w:w="62" w:type="dxa"/>
          <w:right w:w="62" w:type="dxa"/>
        </w:tblCellMar>
        <w:tblLook w:val="0000"/>
      </w:tblPr>
      <w:tblGrid>
        <w:gridCol w:w="2700"/>
        <w:gridCol w:w="5760"/>
      </w:tblGrid>
      <w:tr w:rsidTr="00E105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13CA6">
            <w:pPr>
              <w:pStyle w:val="BodyText"/>
              <w:rPr>
                <w:lang w:val="en-NZ"/>
              </w:rPr>
            </w:pPr>
            <w:r w:rsidRPr="00813CA6">
              <w:rPr>
                <w:rStyle w:val="SpecialBold"/>
              </w:rPr>
              <w:t>4</w:t>
            </w:r>
            <w:r w:rsidRPr="00813CA6">
              <w:t xml:space="preserve">) </w:t>
            </w:r>
          </w:p>
        </w:tc>
      </w:tr>
      <w:tr w:rsidTr="00E105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3CA6" w:rsidP="00813CA6">
            <w:pPr>
              <w:pStyle w:val="BodyText"/>
            </w:pPr>
            <w:r w:rsidRPr="00813CA6">
              <w:t>Control centre.</w:t>
            </w:r>
          </w:p>
        </w:tc>
      </w:tr>
    </w:tbl>
    <w:p w:rsidR="00E10522" w:rsidP="00813CA6">
      <w:pPr>
        <w:pStyle w:val="BodyText"/>
      </w:pPr>
    </w:p>
    <w:p w:rsidR="00E10522" w:rsidP="00813CA6">
      <w:pPr>
        <w:pStyle w:val="BodyText"/>
      </w:pPr>
    </w:p>
    <w:p w:rsidR="00000000" w:rsidRPr="00813CA6" w:rsidP="00813CA6"/>
    <w:sectPr w:rsidSect="00813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522" w:rsidP="00E10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22" w:rsidP="00813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10522" w:rsidP="00813C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10522" w:rsidP="00813C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522" w:rsidP="00E105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22" w:rsidP="00813CA6">
    <w:pPr>
      <w:pStyle w:val="Header"/>
      <w:framePr w:wrap="around"/>
    </w:pPr>
    <w:r>
      <w:fldChar w:fldCharType="begin"/>
    </w:r>
    <w:r>
      <w:instrText xml:space="preserve"> TITLE   \* MERGEFORMAT </w:instrText>
    </w:r>
    <w:r>
      <w:fldChar w:fldCharType="separate"/>
    </w:r>
    <w:r>
      <w:t>UEGNSG502A Control centre communication with gas industry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0522" w:rsidP="00813C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E5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E1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14F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C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CA6"/>
    <w:pPr>
      <w:spacing w:before="360" w:after="60"/>
      <w:outlineLvl w:val="0"/>
    </w:pPr>
    <w:rPr>
      <w:sz w:val="32"/>
    </w:rPr>
  </w:style>
  <w:style w:type="paragraph" w:styleId="Heading2">
    <w:name w:val="heading 2"/>
    <w:basedOn w:val="HeadingBase"/>
    <w:next w:val="BodyText"/>
    <w:link w:val="Heading2Char"/>
    <w:qFormat/>
    <w:rsid w:val="00813CA6"/>
    <w:pPr>
      <w:keepLines/>
      <w:spacing w:before="240" w:after="120"/>
      <w:outlineLvl w:val="1"/>
    </w:pPr>
    <w:rPr>
      <w:sz w:val="28"/>
      <w:szCs w:val="40"/>
    </w:rPr>
  </w:style>
  <w:style w:type="paragraph" w:styleId="Heading3">
    <w:name w:val="heading 3"/>
    <w:basedOn w:val="HeadingBase"/>
    <w:next w:val="BodyText"/>
    <w:link w:val="Heading3Char"/>
    <w:qFormat/>
    <w:rsid w:val="00813CA6"/>
    <w:pPr>
      <w:spacing w:before="180" w:after="120"/>
      <w:outlineLvl w:val="2"/>
    </w:pPr>
    <w:rPr>
      <w:spacing w:val="-10"/>
      <w:kern w:val="32"/>
    </w:rPr>
  </w:style>
  <w:style w:type="paragraph" w:styleId="Heading4">
    <w:name w:val="heading 4"/>
    <w:basedOn w:val="HeadingBase"/>
    <w:next w:val="BodyText"/>
    <w:link w:val="Heading4Char"/>
    <w:qFormat/>
    <w:rsid w:val="00813CA6"/>
    <w:pPr>
      <w:spacing w:before="160" w:after="120"/>
      <w:outlineLvl w:val="3"/>
    </w:pPr>
    <w:rPr>
      <w:sz w:val="22"/>
    </w:rPr>
  </w:style>
  <w:style w:type="paragraph" w:styleId="Heading5">
    <w:name w:val="heading 5"/>
    <w:basedOn w:val="HeadingBase"/>
    <w:next w:val="Normal"/>
    <w:link w:val="Heading5Char"/>
    <w:qFormat/>
    <w:rsid w:val="00813CA6"/>
    <w:pPr>
      <w:spacing w:before="80"/>
      <w:outlineLvl w:val="4"/>
    </w:pPr>
    <w:rPr>
      <w:color w:val="918585"/>
      <w:sz w:val="20"/>
    </w:rPr>
  </w:style>
  <w:style w:type="paragraph" w:styleId="Heading6">
    <w:name w:val="heading 6"/>
    <w:basedOn w:val="HeadingBase"/>
    <w:next w:val="Normal"/>
    <w:link w:val="Heading6Char"/>
    <w:qFormat/>
    <w:rsid w:val="00813CA6"/>
    <w:pPr>
      <w:spacing w:before="60"/>
      <w:outlineLvl w:val="5"/>
    </w:pPr>
    <w:rPr>
      <w:color w:val="918585"/>
      <w:sz w:val="20"/>
    </w:rPr>
  </w:style>
  <w:style w:type="paragraph" w:styleId="Heading7">
    <w:name w:val="heading 7"/>
    <w:basedOn w:val="Normal"/>
    <w:next w:val="Normal"/>
    <w:link w:val="Heading7Char"/>
    <w:qFormat/>
    <w:rsid w:val="00813CA6"/>
    <w:pPr>
      <w:ind w:left="720"/>
      <w:outlineLvl w:val="6"/>
    </w:pPr>
    <w:rPr>
      <w:i/>
    </w:rPr>
  </w:style>
  <w:style w:type="paragraph" w:styleId="Heading8">
    <w:name w:val="heading 8"/>
    <w:basedOn w:val="Normal"/>
    <w:next w:val="Normal"/>
    <w:link w:val="Heading8Char"/>
    <w:qFormat/>
    <w:rsid w:val="00813CA6"/>
    <w:pPr>
      <w:ind w:left="720"/>
      <w:outlineLvl w:val="7"/>
    </w:pPr>
    <w:rPr>
      <w:i/>
    </w:rPr>
  </w:style>
  <w:style w:type="paragraph" w:styleId="Heading9">
    <w:name w:val="heading 9"/>
    <w:basedOn w:val="Normal"/>
    <w:next w:val="Normal"/>
    <w:link w:val="Heading9Char"/>
    <w:qFormat/>
    <w:rsid w:val="00813CA6"/>
    <w:pPr>
      <w:ind w:left="720"/>
      <w:outlineLvl w:val="8"/>
    </w:pPr>
    <w:rPr>
      <w:i/>
    </w:rPr>
  </w:style>
  <w:style w:type="character" w:default="1" w:styleId="DefaultParagraphFont">
    <w:name w:val="Default Paragraph Font"/>
    <w:uiPriority w:val="1"/>
    <w:unhideWhenUsed/>
    <w:rsid w:val="00813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CA6"/>
  </w:style>
  <w:style w:type="character" w:customStyle="1" w:styleId="Heading1Char">
    <w:name w:val="Heading 1 Char"/>
    <w:link w:val="Heading1"/>
    <w:rsid w:val="00813CA6"/>
    <w:rPr>
      <w:rFonts w:ascii="Times New Roman" w:eastAsia="Times New Roman" w:hAnsi="Times New Roman" w:cs="Times New Roman"/>
      <w:b/>
      <w:sz w:val="32"/>
      <w:szCs w:val="20"/>
      <w:lang w:eastAsia="en-US"/>
    </w:rPr>
  </w:style>
  <w:style w:type="paragraph" w:styleId="BodyText">
    <w:name w:val="Body Text"/>
    <w:basedOn w:val="Normal"/>
    <w:link w:val="BodyTextChar"/>
    <w:rsid w:val="00813CA6"/>
    <w:pPr>
      <w:spacing w:before="120" w:after="120"/>
      <w:contextualSpacing/>
    </w:pPr>
    <w:rPr>
      <w:rFonts w:ascii="Times New Roman" w:hAnsi="Times New Roman"/>
      <w:sz w:val="24"/>
      <w:szCs w:val="22"/>
    </w:rPr>
  </w:style>
  <w:style w:type="character" w:customStyle="1" w:styleId="BodyTextChar">
    <w:name w:val="Body Text Char"/>
    <w:link w:val="BodyText"/>
    <w:rsid w:val="00813CA6"/>
    <w:rPr>
      <w:rFonts w:ascii="Times New Roman" w:eastAsia="Times New Roman" w:hAnsi="Times New Roman" w:cs="Times New Roman"/>
      <w:sz w:val="24"/>
      <w:lang w:val="en-US" w:eastAsia="en-US"/>
    </w:rPr>
  </w:style>
  <w:style w:type="paragraph" w:styleId="Footer">
    <w:name w:val="footer"/>
    <w:basedOn w:val="Normal"/>
    <w:link w:val="FooterChar"/>
    <w:rsid w:val="00813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3CA6"/>
    <w:rPr>
      <w:rFonts w:ascii="Times New Roman" w:eastAsia="Times New Roman" w:hAnsi="Times New Roman" w:cs="Times New Roman"/>
      <w:sz w:val="16"/>
      <w:lang w:val="en-US" w:eastAsia="en-US"/>
    </w:rPr>
  </w:style>
  <w:style w:type="paragraph" w:styleId="ListBullet">
    <w:name w:val="List Bullet"/>
    <w:basedOn w:val="List"/>
    <w:rsid w:val="00813CA6"/>
    <w:pPr>
      <w:numPr>
        <w:numId w:val="13"/>
      </w:numPr>
      <w:tabs>
        <w:tab w:val="clear" w:pos="340"/>
      </w:tabs>
      <w:spacing w:before="40" w:after="40"/>
    </w:pPr>
  </w:style>
  <w:style w:type="character" w:customStyle="1" w:styleId="SpecialBold">
    <w:name w:val="Special Bold"/>
    <w:rsid w:val="00813CA6"/>
    <w:rPr>
      <w:b/>
      <w:spacing w:val="0"/>
    </w:rPr>
  </w:style>
  <w:style w:type="paragraph" w:styleId="ListBullet2">
    <w:name w:val="List Bullet 2"/>
    <w:basedOn w:val="List2"/>
    <w:rsid w:val="00813CA6"/>
    <w:pPr>
      <w:numPr>
        <w:numId w:val="14"/>
      </w:numPr>
      <w:tabs>
        <w:tab w:val="clear" w:pos="680"/>
      </w:tabs>
    </w:pPr>
  </w:style>
  <w:style w:type="paragraph" w:styleId="Header">
    <w:name w:val="header"/>
    <w:basedOn w:val="Normal"/>
    <w:link w:val="HeaderChar"/>
    <w:rsid w:val="00813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3C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CA6"/>
    <w:pPr>
      <w:spacing w:before="240" w:after="120"/>
      <w:outlineLvl w:val="0"/>
    </w:pPr>
    <w:rPr>
      <w:rFonts w:ascii="Times New Roman" w:hAnsi="Times New Roman"/>
      <w:b/>
      <w:sz w:val="28"/>
    </w:rPr>
  </w:style>
  <w:style w:type="paragraph" w:customStyle="1" w:styleId="AllowPageBreak">
    <w:name w:val="AllowPageBreak"/>
    <w:rsid w:val="00813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13CA6"/>
    <w:rPr>
      <w:rFonts w:ascii="Times New Roman" w:eastAsia="Times New Roman" w:hAnsi="Times New Roman" w:cs="Times New Roman"/>
      <w:b/>
      <w:sz w:val="28"/>
      <w:szCs w:val="40"/>
      <w:lang w:eastAsia="en-US"/>
    </w:rPr>
  </w:style>
  <w:style w:type="character" w:customStyle="1" w:styleId="Heading3Char">
    <w:name w:val="Heading 3 Char"/>
    <w:link w:val="Heading3"/>
    <w:rsid w:val="00813C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3CA6"/>
    <w:rPr>
      <w:rFonts w:ascii="Times New Roman" w:eastAsia="Times New Roman" w:hAnsi="Times New Roman" w:cs="Times New Roman"/>
      <w:b/>
      <w:szCs w:val="20"/>
      <w:lang w:eastAsia="en-US"/>
    </w:rPr>
  </w:style>
  <w:style w:type="character" w:customStyle="1" w:styleId="Heading5Char">
    <w:name w:val="Heading 5 Char"/>
    <w:link w:val="Heading5"/>
    <w:rsid w:val="00813C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3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C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C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CA6"/>
    <w:rPr>
      <w:rFonts w:ascii="Courier New" w:eastAsia="Times New Roman" w:hAnsi="Courier New" w:cs="Times New Roman"/>
      <w:i/>
      <w:szCs w:val="20"/>
      <w:lang w:val="en-US" w:eastAsia="en-US"/>
    </w:rPr>
  </w:style>
  <w:style w:type="paragraph" w:customStyle="1" w:styleId="HeadingBase">
    <w:name w:val="Heading Base"/>
    <w:rsid w:val="00813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CA6"/>
    <w:pPr>
      <w:tabs>
        <w:tab w:val="right" w:leader="dot" w:pos="9072"/>
      </w:tabs>
      <w:ind w:left="567"/>
    </w:pPr>
    <w:rPr>
      <w:szCs w:val="22"/>
    </w:rPr>
  </w:style>
  <w:style w:type="paragraph" w:customStyle="1" w:styleId="TOCBase">
    <w:name w:val="TOC Base"/>
    <w:rsid w:val="00813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CA6"/>
    <w:pPr>
      <w:tabs>
        <w:tab w:val="right" w:leader="dot" w:pos="9072"/>
      </w:tabs>
      <w:spacing w:before="40" w:after="40"/>
      <w:ind w:left="284"/>
    </w:pPr>
    <w:rPr>
      <w:rFonts w:ascii="Times New Roman" w:hAnsi="Times New Roman"/>
    </w:rPr>
  </w:style>
  <w:style w:type="paragraph" w:styleId="TOC1">
    <w:name w:val="toc 1"/>
    <w:basedOn w:val="TOCBase"/>
    <w:next w:val="Normal"/>
    <w:rsid w:val="00813C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CA6"/>
    <w:pPr>
      <w:spacing w:before="5040"/>
      <w:jc w:val="center"/>
    </w:pPr>
    <w:rPr>
      <w:sz w:val="48"/>
      <w:szCs w:val="72"/>
      <w:lang w:val="en-US"/>
    </w:rPr>
  </w:style>
  <w:style w:type="character" w:customStyle="1" w:styleId="TitleChar">
    <w:name w:val="Title Char"/>
    <w:link w:val="Title"/>
    <w:rsid w:val="00813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CA6"/>
    <w:pPr>
      <w:tabs>
        <w:tab w:val="left" w:pos="3600"/>
        <w:tab w:val="left" w:pos="3958"/>
      </w:tabs>
    </w:pPr>
  </w:style>
  <w:style w:type="paragraph" w:styleId="List">
    <w:name w:val="List"/>
    <w:basedOn w:val="BodyText"/>
    <w:next w:val="BodyText"/>
    <w:rsid w:val="00813CA6"/>
    <w:pPr>
      <w:tabs>
        <w:tab w:val="left" w:pos="340"/>
      </w:tabs>
      <w:spacing w:before="60" w:after="60"/>
      <w:ind w:left="340" w:hanging="340"/>
    </w:pPr>
  </w:style>
  <w:style w:type="paragraph" w:customStyle="1" w:styleId="Note">
    <w:name w:val="Note"/>
    <w:basedOn w:val="BodyText"/>
    <w:rsid w:val="00813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CA6"/>
    <w:pPr>
      <w:framePr w:wrap="auto" w:hAnchor="text" w:y="6049"/>
    </w:pPr>
    <w:rPr>
      <w:color w:val="000000"/>
      <w:sz w:val="40"/>
    </w:rPr>
  </w:style>
  <w:style w:type="paragraph" w:customStyle="1" w:styleId="TOCTitle">
    <w:name w:val="TOCTitle"/>
    <w:basedOn w:val="Heading1"/>
    <w:rsid w:val="00813CA6"/>
    <w:pPr>
      <w:spacing w:after="240"/>
      <w:jc w:val="center"/>
      <w:outlineLvl w:val="9"/>
    </w:pPr>
    <w:rPr>
      <w:caps/>
    </w:rPr>
  </w:style>
  <w:style w:type="paragraph" w:customStyle="1" w:styleId="Version">
    <w:name w:val="Version"/>
    <w:rsid w:val="00813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CA6"/>
    <w:pPr>
      <w:keepNext w:val="0"/>
      <w:tabs>
        <w:tab w:val="right" w:pos="4176"/>
      </w:tabs>
      <w:ind w:left="198" w:hanging="198"/>
    </w:pPr>
    <w:rPr>
      <w:rFonts w:ascii="Garamond" w:hAnsi="Garamond"/>
    </w:rPr>
  </w:style>
  <w:style w:type="paragraph" w:styleId="IndexHeading">
    <w:name w:val="index heading"/>
    <w:basedOn w:val="Normal"/>
    <w:next w:val="Index1"/>
    <w:semiHidden/>
    <w:rsid w:val="00813CA6"/>
    <w:pPr>
      <w:spacing w:before="120" w:after="120"/>
    </w:pPr>
    <w:rPr>
      <w:rFonts w:ascii="Arial" w:hAnsi="Arial"/>
      <w:b/>
      <w:color w:val="918585"/>
      <w:sz w:val="24"/>
    </w:rPr>
  </w:style>
  <w:style w:type="paragraph" w:customStyle="1" w:styleId="Chapter">
    <w:name w:val="Chapter"/>
    <w:basedOn w:val="Normal"/>
    <w:rsid w:val="00813CA6"/>
    <w:pPr>
      <w:spacing w:before="240"/>
    </w:pPr>
    <w:rPr>
      <w:rFonts w:ascii="Times New Roman" w:hAnsi="Times New Roman"/>
      <w:smallCaps/>
      <w:spacing w:val="80"/>
      <w:sz w:val="28"/>
    </w:rPr>
  </w:style>
  <w:style w:type="paragraph" w:customStyle="1" w:styleId="InChapter">
    <w:name w:val="InChapter"/>
    <w:basedOn w:val="Heading3"/>
    <w:rsid w:val="00813CA6"/>
    <w:pPr>
      <w:spacing w:after="240"/>
      <w:outlineLvl w:val="9"/>
    </w:pPr>
    <w:rPr>
      <w:noProof/>
    </w:rPr>
  </w:style>
  <w:style w:type="paragraph" w:styleId="Index2">
    <w:name w:val="index 2"/>
    <w:basedOn w:val="Normal"/>
    <w:next w:val="Normal"/>
    <w:semiHidden/>
    <w:rsid w:val="00813CA6"/>
    <w:pPr>
      <w:tabs>
        <w:tab w:val="right" w:pos="4176"/>
      </w:tabs>
      <w:ind w:left="568" w:hanging="284"/>
    </w:pPr>
    <w:rPr>
      <w:rFonts w:ascii="Garamond" w:hAnsi="Garamond"/>
    </w:rPr>
  </w:style>
  <w:style w:type="paragraph" w:customStyle="1" w:styleId="Byline">
    <w:name w:val="Byline"/>
    <w:rsid w:val="00813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CA6"/>
    <w:pPr>
      <w:tabs>
        <w:tab w:val="clear" w:pos="3600"/>
        <w:tab w:val="clear" w:pos="3958"/>
      </w:tabs>
      <w:jc w:val="right"/>
    </w:pPr>
  </w:style>
  <w:style w:type="character" w:styleId="Emphasis">
    <w:name w:val="Emphasis"/>
    <w:qFormat/>
    <w:rsid w:val="00813CA6"/>
    <w:rPr>
      <w:i/>
    </w:rPr>
  </w:style>
  <w:style w:type="paragraph" w:styleId="Caption">
    <w:name w:val="caption"/>
    <w:basedOn w:val="BodyText"/>
    <w:next w:val="Normal"/>
    <w:qFormat/>
    <w:rsid w:val="00813CA6"/>
    <w:pPr>
      <w:framePr w:w="2268" w:hSpace="181" w:vSpace="181" w:wrap="around" w:vAnchor="text" w:hAnchor="page" w:x="1135" w:y="285" w:anchorLock="1"/>
    </w:pPr>
    <w:rPr>
      <w:i/>
    </w:rPr>
  </w:style>
  <w:style w:type="paragraph" w:customStyle="1" w:styleId="MiniTOCTitle">
    <w:name w:val="MiniTOCTitle"/>
    <w:basedOn w:val="Heading4"/>
    <w:rsid w:val="00813CA6"/>
    <w:pPr>
      <w:spacing w:before="240"/>
      <w:outlineLvl w:val="9"/>
    </w:pPr>
    <w:rPr>
      <w:noProof/>
      <w:sz w:val="24"/>
    </w:rPr>
  </w:style>
  <w:style w:type="paragraph" w:customStyle="1" w:styleId="MiniTOCItem">
    <w:name w:val="MiniTOCItem"/>
    <w:basedOn w:val="ListBullet"/>
    <w:rsid w:val="00813CA6"/>
    <w:pPr>
      <w:numPr>
        <w:numId w:val="0"/>
      </w:numPr>
      <w:tabs>
        <w:tab w:val="right" w:leader="dot" w:pos="6521"/>
      </w:tabs>
      <w:spacing w:before="0" w:after="0"/>
    </w:pPr>
  </w:style>
  <w:style w:type="paragraph" w:customStyle="1" w:styleId="TOFTitle">
    <w:name w:val="TOFTitle"/>
    <w:basedOn w:val="TOCTitle"/>
    <w:rsid w:val="00813CA6"/>
  </w:style>
  <w:style w:type="paragraph" w:styleId="TableofFigures">
    <w:name w:val="table of figures"/>
    <w:basedOn w:val="Normal"/>
    <w:next w:val="Normal"/>
    <w:semiHidden/>
    <w:rsid w:val="00813CA6"/>
    <w:pPr>
      <w:tabs>
        <w:tab w:val="right" w:leader="dot" w:pos="9072"/>
      </w:tabs>
      <w:ind w:left="970" w:hanging="403"/>
    </w:pPr>
    <w:rPr>
      <w:rFonts w:ascii="Times New Roman" w:hAnsi="Times New Roman"/>
      <w:b/>
    </w:rPr>
  </w:style>
  <w:style w:type="paragraph" w:styleId="ListNumber">
    <w:name w:val="List Number"/>
    <w:basedOn w:val="List"/>
    <w:rsid w:val="00813CA6"/>
    <w:pPr>
      <w:numPr>
        <w:numId w:val="11"/>
      </w:numPr>
    </w:pPr>
  </w:style>
  <w:style w:type="character" w:customStyle="1" w:styleId="WingdingSymbols">
    <w:name w:val="Wingding Symbols"/>
    <w:rsid w:val="00813CA6"/>
    <w:rPr>
      <w:rFonts w:ascii="Wingdings" w:hAnsi="Wingdings"/>
    </w:rPr>
  </w:style>
  <w:style w:type="paragraph" w:customStyle="1" w:styleId="TableHeading">
    <w:name w:val="Table Heading"/>
    <w:basedOn w:val="HeadingBase"/>
    <w:rsid w:val="00813CA6"/>
    <w:pPr>
      <w:keepLines/>
      <w:pBdr>
        <w:bottom w:val="single" w:sz="6" w:space="1" w:color="918585"/>
      </w:pBdr>
      <w:spacing w:before="240"/>
    </w:pPr>
  </w:style>
  <w:style w:type="character" w:customStyle="1" w:styleId="HotSpot">
    <w:name w:val="HotSpot"/>
    <w:rsid w:val="00813CA6"/>
    <w:rPr>
      <w:color w:val="0033CC"/>
      <w:u w:val="none"/>
    </w:rPr>
  </w:style>
  <w:style w:type="paragraph" w:customStyle="1" w:styleId="BodyTextRight">
    <w:name w:val="Body Text Right"/>
    <w:basedOn w:val="BodyText"/>
    <w:rsid w:val="00813CA6"/>
    <w:pPr>
      <w:spacing w:before="0" w:after="0"/>
      <w:jc w:val="right"/>
    </w:pPr>
  </w:style>
  <w:style w:type="paragraph" w:styleId="Index3">
    <w:name w:val="index 3"/>
    <w:basedOn w:val="ListNumber2"/>
    <w:next w:val="Normal"/>
    <w:semiHidden/>
    <w:rsid w:val="00813CA6"/>
    <w:pPr>
      <w:numPr>
        <w:numId w:val="0"/>
      </w:numPr>
      <w:tabs>
        <w:tab w:val="right" w:leader="dot" w:pos="4176"/>
      </w:tabs>
    </w:pPr>
  </w:style>
  <w:style w:type="paragraph" w:styleId="ListNumber2">
    <w:name w:val="List Number 2"/>
    <w:basedOn w:val="List2"/>
    <w:rsid w:val="00813CA6"/>
    <w:pPr>
      <w:numPr>
        <w:numId w:val="10"/>
      </w:numPr>
      <w:tabs>
        <w:tab w:val="clear" w:pos="1060"/>
      </w:tabs>
    </w:pPr>
  </w:style>
  <w:style w:type="paragraph" w:customStyle="1" w:styleId="MarginNote">
    <w:name w:val="Margin Note"/>
    <w:basedOn w:val="BodyText"/>
    <w:rsid w:val="00813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3C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CA6"/>
    <w:rPr>
      <w:sz w:val="32"/>
    </w:rPr>
  </w:style>
  <w:style w:type="paragraph" w:customStyle="1" w:styleId="HeadingProcedure">
    <w:name w:val="Heading Procedure"/>
    <w:basedOn w:val="HeadingBase"/>
    <w:next w:val="Normal"/>
    <w:rsid w:val="00813CA6"/>
    <w:pPr>
      <w:tabs>
        <w:tab w:val="left" w:pos="0"/>
      </w:tabs>
      <w:spacing w:before="120" w:after="60"/>
    </w:pPr>
    <w:rPr>
      <w:i/>
      <w:color w:val="918585"/>
      <w:sz w:val="22"/>
    </w:rPr>
  </w:style>
  <w:style w:type="paragraph" w:customStyle="1" w:styleId="TableBodyText">
    <w:name w:val="Table Body Text"/>
    <w:basedOn w:val="BodyText"/>
    <w:rsid w:val="00813CA6"/>
    <w:pPr>
      <w:spacing w:before="60" w:after="60"/>
    </w:pPr>
  </w:style>
  <w:style w:type="paragraph" w:styleId="ListContinue">
    <w:name w:val="List Continue"/>
    <w:basedOn w:val="List"/>
    <w:rsid w:val="00813CA6"/>
    <w:pPr>
      <w:ind w:firstLine="0"/>
    </w:pPr>
  </w:style>
  <w:style w:type="paragraph" w:customStyle="1" w:styleId="ListNote">
    <w:name w:val="List Note"/>
    <w:basedOn w:val="List"/>
    <w:rsid w:val="00813CA6"/>
    <w:pPr>
      <w:pBdr>
        <w:top w:val="single" w:sz="6" w:space="2" w:color="918585"/>
        <w:bottom w:val="single" w:sz="6" w:space="2" w:color="918585"/>
      </w:pBdr>
      <w:tabs>
        <w:tab w:val="left" w:pos="1021"/>
      </w:tabs>
      <w:ind w:firstLine="0"/>
    </w:pPr>
  </w:style>
  <w:style w:type="paragraph" w:customStyle="1" w:styleId="Warning">
    <w:name w:val="Warning"/>
    <w:basedOn w:val="BodyText"/>
    <w:rsid w:val="00813CA6"/>
    <w:pPr>
      <w:shd w:val="clear" w:color="auto" w:fill="D9D9D9"/>
      <w:tabs>
        <w:tab w:val="left" w:pos="992"/>
      </w:tabs>
      <w:ind w:left="119" w:right="119"/>
    </w:pPr>
    <w:rPr>
      <w:sz w:val="20"/>
    </w:rPr>
  </w:style>
  <w:style w:type="paragraph" w:customStyle="1" w:styleId="MarginIcons">
    <w:name w:val="Margin Icons"/>
    <w:basedOn w:val="BodyText"/>
    <w:rsid w:val="00813C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3CA6"/>
    <w:rPr>
      <w:rFonts w:ascii="Courier New" w:hAnsi="Courier New"/>
    </w:rPr>
  </w:style>
  <w:style w:type="paragraph" w:customStyle="1" w:styleId="NoteBullet">
    <w:name w:val="Note Bullet"/>
    <w:basedOn w:val="Note"/>
    <w:rsid w:val="00813CA6"/>
    <w:pPr>
      <w:tabs>
        <w:tab w:val="clear" w:pos="680"/>
      </w:tabs>
      <w:spacing w:before="60" w:after="60"/>
    </w:pPr>
  </w:style>
  <w:style w:type="paragraph" w:customStyle="1" w:styleId="SubHeading2">
    <w:name w:val="SubHeading2"/>
    <w:basedOn w:val="HeadingBase"/>
    <w:rsid w:val="00813CA6"/>
    <w:pPr>
      <w:spacing w:before="240" w:after="60"/>
    </w:pPr>
    <w:rPr>
      <w:sz w:val="20"/>
    </w:rPr>
  </w:style>
  <w:style w:type="paragraph" w:customStyle="1" w:styleId="SubHeading1">
    <w:name w:val="SubHeading1"/>
    <w:basedOn w:val="HeadingBase"/>
    <w:rsid w:val="00813CA6"/>
    <w:pPr>
      <w:spacing w:before="240" w:after="60"/>
    </w:pPr>
    <w:rPr>
      <w:color w:val="918585"/>
      <w:sz w:val="22"/>
    </w:rPr>
  </w:style>
  <w:style w:type="paragraph" w:customStyle="1" w:styleId="SideHeading">
    <w:name w:val="Side Heading"/>
    <w:basedOn w:val="HeadingBase"/>
    <w:rsid w:val="00813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CA6"/>
    <w:pPr>
      <w:numPr>
        <w:numId w:val="12"/>
      </w:numPr>
    </w:pPr>
  </w:style>
  <w:style w:type="paragraph" w:styleId="PlainText">
    <w:name w:val="Plain Text"/>
    <w:basedOn w:val="Normal"/>
    <w:link w:val="PlainTextChar"/>
    <w:rsid w:val="00813CA6"/>
    <w:rPr>
      <w:sz w:val="20"/>
    </w:rPr>
  </w:style>
  <w:style w:type="character" w:customStyle="1" w:styleId="PlainTextChar">
    <w:name w:val="Plain Text Char"/>
    <w:basedOn w:val="DefaultParagraphFont"/>
    <w:link w:val="PlainText"/>
    <w:rsid w:val="00813CA6"/>
    <w:rPr>
      <w:rFonts w:ascii="Courier New" w:eastAsia="Times New Roman" w:hAnsi="Courier New" w:cs="Times New Roman"/>
      <w:sz w:val="20"/>
      <w:szCs w:val="20"/>
      <w:lang w:val="en-US" w:eastAsia="en-US"/>
    </w:rPr>
  </w:style>
  <w:style w:type="character" w:customStyle="1" w:styleId="MenuOption">
    <w:name w:val="Menu Option"/>
    <w:rsid w:val="00813CA6"/>
    <w:rPr>
      <w:b/>
      <w:smallCaps/>
    </w:rPr>
  </w:style>
  <w:style w:type="paragraph" w:customStyle="1" w:styleId="TableListNumber">
    <w:name w:val="Table List Number"/>
    <w:basedOn w:val="ListNumber"/>
    <w:rsid w:val="00813CA6"/>
    <w:pPr>
      <w:numPr>
        <w:numId w:val="0"/>
      </w:numPr>
    </w:pPr>
  </w:style>
  <w:style w:type="paragraph" w:styleId="TOC4">
    <w:name w:val="toc 4"/>
    <w:basedOn w:val="TOCBase"/>
    <w:next w:val="Normal"/>
    <w:semiHidden/>
    <w:rsid w:val="00813CA6"/>
    <w:pPr>
      <w:tabs>
        <w:tab w:val="right" w:leader="dot" w:pos="9071"/>
      </w:tabs>
      <w:ind w:left="1701"/>
    </w:pPr>
  </w:style>
  <w:style w:type="paragraph" w:customStyle="1" w:styleId="ListAlpha">
    <w:name w:val="List Alpha"/>
    <w:basedOn w:val="List"/>
    <w:rsid w:val="00813CA6"/>
    <w:pPr>
      <w:numPr>
        <w:numId w:val="9"/>
      </w:numPr>
    </w:pPr>
  </w:style>
  <w:style w:type="paragraph" w:customStyle="1" w:styleId="ListAlpha2">
    <w:name w:val="List Alpha 2"/>
    <w:basedOn w:val="List2"/>
    <w:rsid w:val="00813CA6"/>
    <w:pPr>
      <w:numPr>
        <w:numId w:val="8"/>
      </w:numPr>
    </w:pPr>
  </w:style>
  <w:style w:type="paragraph" w:styleId="List2">
    <w:name w:val="List 2"/>
    <w:basedOn w:val="BodyText"/>
    <w:rsid w:val="00813CA6"/>
    <w:pPr>
      <w:tabs>
        <w:tab w:val="left" w:pos="680"/>
      </w:tabs>
      <w:spacing w:before="60" w:after="60"/>
      <w:ind w:left="680" w:hanging="340"/>
    </w:pPr>
  </w:style>
  <w:style w:type="paragraph" w:styleId="List3">
    <w:name w:val="List 3"/>
    <w:basedOn w:val="BodyText"/>
    <w:rsid w:val="00813CA6"/>
    <w:pPr>
      <w:tabs>
        <w:tab w:val="left" w:pos="1021"/>
      </w:tabs>
      <w:spacing w:before="60" w:after="60"/>
      <w:ind w:left="1020" w:hanging="340"/>
    </w:pPr>
  </w:style>
  <w:style w:type="paragraph" w:styleId="List4">
    <w:name w:val="List 4"/>
    <w:basedOn w:val="BodyText"/>
    <w:rsid w:val="00813CA6"/>
    <w:pPr>
      <w:tabs>
        <w:tab w:val="left" w:pos="1361"/>
      </w:tabs>
      <w:spacing w:before="60" w:after="60"/>
      <w:ind w:left="1361" w:hanging="340"/>
    </w:pPr>
  </w:style>
  <w:style w:type="paragraph" w:styleId="List5">
    <w:name w:val="List 5"/>
    <w:basedOn w:val="BodyText"/>
    <w:rsid w:val="00813CA6"/>
    <w:pPr>
      <w:tabs>
        <w:tab w:val="left" w:pos="1701"/>
      </w:tabs>
      <w:spacing w:before="60" w:after="60"/>
      <w:ind w:left="1701" w:hanging="340"/>
    </w:pPr>
  </w:style>
  <w:style w:type="paragraph" w:styleId="ListBullet3">
    <w:name w:val="List Bullet 3"/>
    <w:basedOn w:val="List3"/>
    <w:rsid w:val="00813CA6"/>
    <w:pPr>
      <w:numPr>
        <w:numId w:val="15"/>
      </w:numPr>
      <w:tabs>
        <w:tab w:val="clear" w:pos="1021"/>
      </w:tabs>
      <w:ind w:left="1037" w:hanging="357"/>
    </w:pPr>
  </w:style>
  <w:style w:type="paragraph" w:styleId="ListBullet4">
    <w:name w:val="List Bullet 4"/>
    <w:basedOn w:val="List4"/>
    <w:rsid w:val="00813CA6"/>
    <w:pPr>
      <w:numPr>
        <w:numId w:val="3"/>
      </w:numPr>
    </w:pPr>
  </w:style>
  <w:style w:type="paragraph" w:styleId="ListBullet5">
    <w:name w:val="List Bullet 5"/>
    <w:basedOn w:val="List5"/>
    <w:rsid w:val="00813CA6"/>
    <w:pPr>
      <w:numPr>
        <w:numId w:val="4"/>
      </w:numPr>
    </w:pPr>
  </w:style>
  <w:style w:type="paragraph" w:styleId="ListContinue2">
    <w:name w:val="List Continue 2"/>
    <w:basedOn w:val="List2"/>
    <w:rsid w:val="00813CA6"/>
    <w:pPr>
      <w:ind w:firstLine="0"/>
    </w:pPr>
  </w:style>
  <w:style w:type="paragraph" w:styleId="ListContinue3">
    <w:name w:val="List Continue 3"/>
    <w:basedOn w:val="List3"/>
    <w:rsid w:val="00813CA6"/>
    <w:pPr>
      <w:ind w:left="1021" w:firstLine="0"/>
    </w:pPr>
  </w:style>
  <w:style w:type="paragraph" w:styleId="ListContinue4">
    <w:name w:val="List Continue 4"/>
    <w:basedOn w:val="List4"/>
    <w:rsid w:val="00813CA6"/>
    <w:pPr>
      <w:ind w:firstLine="0"/>
    </w:pPr>
  </w:style>
  <w:style w:type="paragraph" w:styleId="ListContinue5">
    <w:name w:val="List Continue 5"/>
    <w:basedOn w:val="List5"/>
    <w:rsid w:val="00813CA6"/>
    <w:pPr>
      <w:ind w:firstLine="0"/>
    </w:pPr>
  </w:style>
  <w:style w:type="paragraph" w:styleId="ListNumber3">
    <w:name w:val="List Number 3"/>
    <w:basedOn w:val="List3"/>
    <w:rsid w:val="00813CA6"/>
    <w:pPr>
      <w:numPr>
        <w:numId w:val="5"/>
      </w:numPr>
    </w:pPr>
  </w:style>
  <w:style w:type="paragraph" w:styleId="ListNumber4">
    <w:name w:val="List Number 4"/>
    <w:basedOn w:val="List4"/>
    <w:rsid w:val="00813CA6"/>
    <w:pPr>
      <w:numPr>
        <w:numId w:val="6"/>
      </w:numPr>
    </w:pPr>
  </w:style>
  <w:style w:type="paragraph" w:styleId="ListNumber5">
    <w:name w:val="List Number 5"/>
    <w:basedOn w:val="List5"/>
    <w:rsid w:val="00813CA6"/>
    <w:pPr>
      <w:numPr>
        <w:numId w:val="7"/>
      </w:numPr>
    </w:pPr>
  </w:style>
  <w:style w:type="paragraph" w:styleId="BlockText">
    <w:name w:val="Block Text"/>
    <w:basedOn w:val="Normal"/>
    <w:rsid w:val="00813CA6"/>
    <w:pPr>
      <w:spacing w:after="120"/>
      <w:ind w:left="1440" w:right="1440"/>
    </w:pPr>
  </w:style>
  <w:style w:type="character" w:customStyle="1" w:styleId="Subscript">
    <w:name w:val="Subscript"/>
    <w:rsid w:val="00813CA6"/>
    <w:rPr>
      <w:sz w:val="16"/>
      <w:vertAlign w:val="subscript"/>
    </w:rPr>
  </w:style>
  <w:style w:type="character" w:customStyle="1" w:styleId="Superscript">
    <w:name w:val="Superscript"/>
    <w:rsid w:val="00813CA6"/>
    <w:rPr>
      <w:sz w:val="16"/>
      <w:vertAlign w:val="superscript"/>
    </w:rPr>
  </w:style>
  <w:style w:type="character" w:customStyle="1" w:styleId="Symbols">
    <w:name w:val="Symbols"/>
    <w:rsid w:val="00813CA6"/>
    <w:rPr>
      <w:rFonts w:ascii="Symbol" w:hAnsi="Symbol"/>
    </w:rPr>
  </w:style>
  <w:style w:type="character" w:customStyle="1" w:styleId="MenuOptions">
    <w:name w:val="Menu Options"/>
    <w:rsid w:val="00813CA6"/>
    <w:rPr>
      <w:rFonts w:ascii="Arial Narrow" w:hAnsi="Arial Narrow"/>
      <w:smallCaps/>
    </w:rPr>
  </w:style>
  <w:style w:type="character" w:customStyle="1" w:styleId="Buttons">
    <w:name w:val="Buttons"/>
    <w:rsid w:val="00813CA6"/>
    <w:rPr>
      <w:b/>
    </w:rPr>
  </w:style>
  <w:style w:type="character" w:customStyle="1" w:styleId="Underlined">
    <w:name w:val="Underlined"/>
    <w:rsid w:val="00813CA6"/>
    <w:rPr>
      <w:u w:val="single"/>
    </w:rPr>
  </w:style>
  <w:style w:type="paragraph" w:customStyle="1" w:styleId="TableBodyTextRight">
    <w:name w:val="Table Body Text Right"/>
    <w:basedOn w:val="TableBodyText"/>
    <w:rsid w:val="00813CA6"/>
    <w:pPr>
      <w:widowControl w:val="0"/>
      <w:autoSpaceDE w:val="0"/>
      <w:autoSpaceDN w:val="0"/>
      <w:adjustRightInd w:val="0"/>
      <w:jc w:val="right"/>
    </w:pPr>
    <w:rPr>
      <w:rFonts w:cs="Arial"/>
      <w:szCs w:val="18"/>
    </w:rPr>
  </w:style>
  <w:style w:type="paragraph" w:customStyle="1" w:styleId="CopyrightText">
    <w:name w:val="Copyright Text"/>
    <w:basedOn w:val="BodyText"/>
    <w:rsid w:val="00813CA6"/>
    <w:rPr>
      <w:sz w:val="18"/>
    </w:rPr>
  </w:style>
  <w:style w:type="paragraph" w:customStyle="1" w:styleId="BodySmallRight">
    <w:name w:val="Body Small Right"/>
    <w:basedOn w:val="BodyTextRight"/>
    <w:rsid w:val="00813CA6"/>
    <w:rPr>
      <w:sz w:val="18"/>
      <w:szCs w:val="18"/>
    </w:rPr>
  </w:style>
  <w:style w:type="paragraph" w:customStyle="1" w:styleId="MarginEdition">
    <w:name w:val="Margin Edition"/>
    <w:basedOn w:val="MarginNote"/>
    <w:rsid w:val="00813CA6"/>
    <w:pPr>
      <w:spacing w:before="0" w:after="0"/>
    </w:pPr>
    <w:rPr>
      <w:rFonts w:ascii="Times New Roman" w:hAnsi="Times New Roman"/>
      <w:color w:val="999999"/>
    </w:rPr>
  </w:style>
  <w:style w:type="paragraph" w:customStyle="1" w:styleId="Spacer">
    <w:name w:val="Spacer"/>
    <w:basedOn w:val="Normal"/>
    <w:rsid w:val="00813CA6"/>
    <w:rPr>
      <w:sz w:val="2"/>
      <w:szCs w:val="2"/>
    </w:rPr>
  </w:style>
  <w:style w:type="character" w:customStyle="1" w:styleId="Small">
    <w:name w:val="Small"/>
    <w:rsid w:val="00813CA6"/>
    <w:rPr>
      <w:sz w:val="16"/>
    </w:rPr>
  </w:style>
  <w:style w:type="paragraph" w:customStyle="1" w:styleId="WideTable">
    <w:name w:val="Wide Table"/>
    <w:basedOn w:val="Normal"/>
    <w:rsid w:val="00813CA6"/>
    <w:pPr>
      <w:ind w:left="-1418"/>
    </w:pPr>
    <w:rPr>
      <w:sz w:val="2"/>
      <w:szCs w:val="2"/>
    </w:rPr>
  </w:style>
  <w:style w:type="character" w:styleId="PageNumber">
    <w:name w:val="page number"/>
    <w:rsid w:val="00813CA6"/>
  </w:style>
  <w:style w:type="paragraph" w:styleId="Quote">
    <w:name w:val="Quote"/>
    <w:basedOn w:val="Heading1"/>
    <w:link w:val="QuoteChar"/>
    <w:qFormat/>
    <w:rsid w:val="00813CA6"/>
    <w:rPr>
      <w:b w:val="0"/>
      <w:sz w:val="72"/>
      <w:szCs w:val="72"/>
      <w:lang w:val="en-NZ"/>
    </w:rPr>
  </w:style>
  <w:style w:type="character" w:customStyle="1" w:styleId="QuoteChar">
    <w:name w:val="Quote Char"/>
    <w:link w:val="Quote"/>
    <w:rsid w:val="00813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CA6"/>
    <w:pPr>
      <w:pageBreakBefore/>
    </w:pPr>
  </w:style>
  <w:style w:type="paragraph" w:customStyle="1" w:styleId="Border">
    <w:name w:val="Border"/>
    <w:basedOn w:val="Normal"/>
    <w:qFormat/>
    <w:rsid w:val="00813CA6"/>
    <w:pPr>
      <w:pBdr>
        <w:top w:val="single" w:sz="18" w:space="1" w:color="auto"/>
      </w:pBdr>
    </w:pPr>
    <w:rPr>
      <w:rFonts w:ascii="Times New Roman" w:hAnsi="Times New Roman"/>
      <w:color w:val="FFFFFF"/>
      <w:sz w:val="2"/>
    </w:rPr>
  </w:style>
  <w:style w:type="character" w:styleId="IntenseEmphasis">
    <w:name w:val="Intense Emphasis"/>
    <w:uiPriority w:val="21"/>
    <w:qFormat/>
    <w:rsid w:val="00813CA6"/>
    <w:rPr>
      <w:b/>
      <w:bCs/>
      <w:i/>
      <w:iCs/>
      <w:color w:val="auto"/>
    </w:rPr>
  </w:style>
  <w:style w:type="paragraph" w:styleId="IntenseQuote">
    <w:name w:val="Intense Quote"/>
    <w:basedOn w:val="Normal"/>
    <w:next w:val="Normal"/>
    <w:link w:val="IntenseQuoteChar"/>
    <w:uiPriority w:val="30"/>
    <w:qFormat/>
    <w:rsid w:val="00813C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3CA6"/>
    <w:rPr>
      <w:rFonts w:ascii="Courier New" w:eastAsia="Times New Roman" w:hAnsi="Courier New" w:cs="Times New Roman"/>
      <w:b/>
      <w:bCs/>
      <w:i/>
      <w:iCs/>
      <w:szCs w:val="20"/>
      <w:lang w:val="en-US" w:eastAsia="en-US"/>
    </w:rPr>
  </w:style>
  <w:style w:type="character" w:styleId="SubtleReference">
    <w:name w:val="Subtle Reference"/>
    <w:uiPriority w:val="31"/>
    <w:qFormat/>
    <w:rsid w:val="00813CA6"/>
    <w:rPr>
      <w:smallCaps/>
      <w:color w:val="auto"/>
      <w:u w:val="single"/>
    </w:rPr>
  </w:style>
  <w:style w:type="character" w:styleId="IntenseReference">
    <w:name w:val="Intense Reference"/>
    <w:uiPriority w:val="32"/>
    <w:qFormat/>
    <w:rsid w:val="00813CA6"/>
    <w:rPr>
      <w:b/>
      <w:bCs/>
      <w:smallCaps/>
      <w:color w:val="auto"/>
      <w:spacing w:val="5"/>
      <w:u w:val="single"/>
    </w:rPr>
  </w:style>
  <w:style w:type="paragraph" w:customStyle="1" w:styleId="2ColumnHeading">
    <w:name w:val="2Column Heading"/>
    <w:basedOn w:val="BodyText"/>
    <w:qFormat/>
    <w:rsid w:val="00813CA6"/>
    <w:pPr>
      <w:spacing w:after="60"/>
      <w:ind w:left="-2268"/>
    </w:pPr>
    <w:rPr>
      <w:b/>
    </w:rPr>
  </w:style>
  <w:style w:type="paragraph" w:customStyle="1" w:styleId="Heading1TOC">
    <w:name w:val="Heading1 TOC"/>
    <w:basedOn w:val="Normal"/>
    <w:qFormat/>
    <w:rsid w:val="00813CA6"/>
    <w:pPr>
      <w:spacing w:before="240" w:after="120"/>
    </w:pPr>
    <w:rPr>
      <w:rFonts w:ascii="Times New Roman" w:hAnsi="Times New Roman"/>
      <w:b/>
      <w:sz w:val="32"/>
    </w:rPr>
  </w:style>
  <w:style w:type="paragraph" w:customStyle="1" w:styleId="Heading2TOC">
    <w:name w:val="Heading2 TOC"/>
    <w:basedOn w:val="Normal"/>
    <w:qFormat/>
    <w:rsid w:val="00813CA6"/>
    <w:pPr>
      <w:spacing w:before="240" w:after="60"/>
    </w:pPr>
    <w:rPr>
      <w:rFonts w:ascii="Times New Roman" w:hAnsi="Times New Roman"/>
      <w:b/>
      <w:sz w:val="28"/>
    </w:rPr>
  </w:style>
  <w:style w:type="character" w:customStyle="1" w:styleId="Underline">
    <w:name w:val="Underline"/>
    <w:qFormat/>
    <w:rsid w:val="00813CA6"/>
    <w:rPr>
      <w:u w:val="single"/>
    </w:rPr>
  </w:style>
  <w:style w:type="character" w:customStyle="1" w:styleId="BoldandItalics">
    <w:name w:val="Bold and Italics"/>
    <w:qFormat/>
    <w:rsid w:val="00813CA6"/>
    <w:rPr>
      <w:b/>
      <w:i/>
      <w:u w:val="none"/>
    </w:rPr>
  </w:style>
  <w:style w:type="paragraph" w:styleId="BalloonText">
    <w:name w:val="Balloon Text"/>
    <w:basedOn w:val="Normal"/>
    <w:link w:val="BalloonTextChar"/>
    <w:rsid w:val="00813CA6"/>
    <w:rPr>
      <w:rFonts w:ascii="Tahoma" w:hAnsi="Tahoma" w:cs="Tahoma"/>
      <w:sz w:val="16"/>
      <w:szCs w:val="16"/>
    </w:rPr>
  </w:style>
  <w:style w:type="character" w:customStyle="1" w:styleId="BalloonTextChar">
    <w:name w:val="Balloon Text Char"/>
    <w:link w:val="BalloonText"/>
    <w:rsid w:val="00813C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C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3C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2610</Words>
  <Characters>15870</Characters>
  <Application>Microsoft Office Word</Application>
  <DocSecurity>0</DocSecurity>
  <Lines>732</Lines>
  <Paragraphs>269</Paragraphs>
  <ScaleCrop>false</ScaleCrop>
  <Company>Author-it Software Corporation Ltd.</Company>
  <LinksUpToDate>false</LinksUpToDate>
  <CharactersWithSpaces>18249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UEGNSG502A Control centre communication with gas industry stakeholders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2012-05-26T22:09:00Z</dcterms:created>
  <dcterms:modified xsi:type="dcterms:W3CDTF">2012-05-26T22:09:00Z</dcterms:modified>
</cp:coreProperties>
</file>