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5D9" w:rsidP="00B545D9">
      <w:pPr>
        <w:pStyle w:val="Title"/>
      </w:pPr>
      <w:r>
        <w:fldChar w:fldCharType="begin"/>
      </w:r>
      <w:r>
        <w:instrText xml:space="preserve"> TITLE   \* MERGEFORMAT </w:instrText>
      </w:r>
      <w:r>
        <w:fldChar w:fldCharType="separate"/>
      </w:r>
      <w:r>
        <w:t>UEGNSG402A Install cathodic protection systems</w:t>
      </w:r>
      <w:r>
        <w:fldChar w:fldCharType="end"/>
      </w:r>
    </w:p>
    <w:p w:rsidR="00B545D9" w:rsidP="00B545D9">
      <w:pPr>
        <w:pStyle w:val="Version"/>
        <w:sectPr w:rsidSect="00E354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54AE" w:rsidP="00E354AE">
      <w:pPr>
        <w:pStyle w:val="SuperHeading"/>
      </w:pPr>
      <w:r w:rsidRPr="00E354AE">
        <w:t>UEGNSG402A Install cathodic protection systems</w:t>
      </w:r>
    </w:p>
    <w:p w:rsidR="00000000" w:rsidRPr="00E354AE" w:rsidP="00E354AE">
      <w:pPr>
        <w:pStyle w:val="Heading1"/>
      </w:pPr>
      <w:bookmarkStart w:id="1" w:name="O_275128"/>
      <w:bookmarkEnd w:id="1"/>
      <w:r w:rsidRPr="00E354AE">
        <w:t>Modification History</w:t>
      </w:r>
    </w:p>
    <w:p w:rsidR="00000000" w:rsidRPr="00E354AE" w:rsidP="00E354AE">
      <w:pPr>
        <w:pStyle w:val="BodyText"/>
      </w:pPr>
      <w:r w:rsidRPr="00E354AE">
        <w:t>Not Applicable</w:t>
      </w:r>
    </w:p>
    <w:p w:rsidR="00000000" w:rsidRPr="00E354AE" w:rsidP="00E354AE">
      <w:pPr>
        <w:pStyle w:val="AllowPageBreak"/>
      </w:pPr>
    </w:p>
    <w:p w:rsidR="00000000" w:rsidRPr="00E354AE" w:rsidP="00E354AE">
      <w:pPr>
        <w:pStyle w:val="Heading1"/>
      </w:pPr>
      <w:bookmarkStart w:id="2" w:name="O_229589"/>
      <w:bookmarkEnd w:id="2"/>
      <w:r w:rsidRPr="00E354AE">
        <w:t>Unit Descriptor</w:t>
      </w:r>
    </w:p>
    <w:tbl>
      <w:tblPr>
        <w:tblW w:w="0" w:type="auto"/>
        <w:tblLayout w:type="fixed"/>
        <w:tblCellMar>
          <w:left w:w="62" w:type="dxa"/>
          <w:right w:w="62" w:type="dxa"/>
        </w:tblCellMar>
        <w:tblLook w:val="0000"/>
      </w:tblPr>
      <w:tblGrid>
        <w:gridCol w:w="2700"/>
        <w:gridCol w:w="5760"/>
      </w:tblGrid>
      <w:tr w:rsidTr="00B545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rPr>
                <w:rStyle w:val="SpecialBold"/>
              </w:rPr>
              <w:t>1</w:t>
            </w:r>
            <w:r w:rsidRPr="00E354AE">
              <w:t xml:space="preserve">) </w:t>
            </w:r>
          </w:p>
        </w:tc>
      </w:tr>
      <w:tr w:rsidTr="00B545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t>This Unit covers the installing of cathodic protection (CP) to prevent corrosion in steel pipelines. The competency standard also covers the appropriate Australian standards and the location for maintaining cathodic protection system; components of the sys</w:t>
            </w:r>
            <w:r w:rsidRPr="00E354AE">
              <w:t>tem; representation of other utilities; types of drawings and specifications; test equipment; types of cathodic protection faults.</w:t>
            </w:r>
          </w:p>
        </w:tc>
      </w:tr>
    </w:tbl>
    <w:p w:rsidR="00B545D9" w:rsidP="00E354AE">
      <w:pPr>
        <w:pStyle w:val="BodyText"/>
      </w:pPr>
    </w:p>
    <w:p w:rsidR="00B545D9" w:rsidP="00E354AE">
      <w:pPr>
        <w:pStyle w:val="BodyText"/>
      </w:pPr>
    </w:p>
    <w:p w:rsidR="00000000" w:rsidRPr="00E354AE" w:rsidP="00E354AE">
      <w:pPr>
        <w:pStyle w:val="Heading1"/>
      </w:pPr>
      <w:bookmarkStart w:id="3" w:name="O_229592"/>
      <w:bookmarkEnd w:id="3"/>
      <w:r w:rsidRPr="00E354AE">
        <w:t>Application of the Unit</w:t>
      </w:r>
    </w:p>
    <w:tbl>
      <w:tblPr>
        <w:tblW w:w="0" w:type="auto"/>
        <w:tblLayout w:type="fixed"/>
        <w:tblCellMar>
          <w:left w:w="62" w:type="dxa"/>
          <w:right w:w="62" w:type="dxa"/>
        </w:tblCellMar>
        <w:tblLook w:val="0000"/>
      </w:tblPr>
      <w:tblGrid>
        <w:gridCol w:w="2700"/>
        <w:gridCol w:w="5760"/>
      </w:tblGrid>
      <w:tr w:rsidTr="00B545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rPr>
                <w:rStyle w:val="SpecialBold"/>
              </w:rPr>
              <w:t>3</w:t>
            </w:r>
            <w:r w:rsidRPr="00E354AE">
              <w:t xml:space="preserve">) </w:t>
            </w:r>
          </w:p>
        </w:tc>
      </w:tr>
      <w:tr w:rsidTr="00B545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t>This competency standard shall apply to any basic a</w:t>
            </w:r>
            <w:r w:rsidRPr="00E354AE">
              <w:t>nd safe work site where Gas Industry operations occur. It could also apply, where applicable to other workplaces in the electricity supply industry (transmission and distribution and generation), the electrotechnology industry and the water industry, subje</w:t>
            </w:r>
            <w:r w:rsidRPr="00E354AE">
              <w:t>ct to all Occupational Health and Safety and duty of care requirements being met for the workplace.</w:t>
            </w:r>
          </w:p>
        </w:tc>
      </w:tr>
    </w:tbl>
    <w:p w:rsidR="00B545D9" w:rsidP="00E354AE">
      <w:pPr>
        <w:pStyle w:val="BodyText"/>
      </w:pPr>
    </w:p>
    <w:p w:rsidR="00B545D9" w:rsidP="00E354AE">
      <w:pPr>
        <w:pStyle w:val="BodyText"/>
      </w:pPr>
    </w:p>
    <w:p w:rsidR="00000000" w:rsidRPr="00E354AE" w:rsidP="00E354AE">
      <w:pPr>
        <w:pStyle w:val="Heading1"/>
      </w:pPr>
      <w:bookmarkStart w:id="4" w:name="O_229593"/>
      <w:bookmarkEnd w:id="4"/>
      <w:r w:rsidRPr="00E354AE">
        <w:t>Licensing/Regulatory Information</w:t>
      </w:r>
    </w:p>
    <w:tbl>
      <w:tblPr>
        <w:tblW w:w="0" w:type="auto"/>
        <w:tblLayout w:type="fixed"/>
        <w:tblCellMar>
          <w:left w:w="62" w:type="dxa"/>
          <w:right w:w="62" w:type="dxa"/>
        </w:tblCellMar>
        <w:tblLook w:val="0000"/>
      </w:tblPr>
      <w:tblGrid>
        <w:gridCol w:w="2700"/>
        <w:gridCol w:w="5760"/>
      </w:tblGrid>
      <w:tr w:rsidTr="00B545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rPr>
                <w:rStyle w:val="SpecialBold"/>
              </w:rPr>
              <w:t>3</w:t>
            </w:r>
            <w:r w:rsidRPr="00E354AE">
              <w:t>.</w:t>
            </w:r>
            <w:r w:rsidRPr="00E354AE">
              <w:rPr>
                <w:rStyle w:val="SpecialBold"/>
              </w:rPr>
              <w:t>1</w:t>
            </w:r>
            <w:r w:rsidRPr="00E354AE">
              <w:t xml:space="preserve">) </w:t>
            </w:r>
          </w:p>
        </w:tc>
      </w:tr>
      <w:tr w:rsidTr="00B545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t>The skills and knowledge described in this unit</w:t>
            </w:r>
            <w:r w:rsidRPr="00E354AE">
              <w:t xml:space="preserve"> are not subject to licence regulation other than those directly related to Occupational Health and Safety, gas/electricity/water industry safety and compliance, industrial relations, environmental protection, </w:t>
            </w:r>
            <w:r w:rsidRPr="00E354AE">
              <w:t>telecommunications, anti discrimination and tr</w:t>
            </w:r>
            <w:r w:rsidRPr="00E354AE">
              <w:t>aining. Commonwealth, State/Territory or Local Government legislation and regulations may exist that limits the age of operating certain equipment.</w:t>
            </w:r>
          </w:p>
        </w:tc>
      </w:tr>
    </w:tbl>
    <w:p w:rsidR="00B545D9" w:rsidP="00E354AE">
      <w:pPr>
        <w:pStyle w:val="BodyText"/>
      </w:pPr>
    </w:p>
    <w:p w:rsidR="00B545D9" w:rsidP="00E354AE">
      <w:pPr>
        <w:pStyle w:val="BodyText"/>
      </w:pPr>
    </w:p>
    <w:p w:rsidR="00000000" w:rsidRPr="00E354AE" w:rsidP="00E354AE">
      <w:pPr>
        <w:pStyle w:val="Heading1"/>
      </w:pPr>
      <w:bookmarkStart w:id="5" w:name="O_229590"/>
      <w:bookmarkEnd w:id="5"/>
      <w:r w:rsidRPr="00E354AE">
        <w:t>Pre-Requisites</w:t>
      </w:r>
    </w:p>
    <w:tbl>
      <w:tblPr>
        <w:tblW w:w="0" w:type="auto"/>
        <w:tblLayout w:type="fixed"/>
        <w:tblCellMar>
          <w:left w:w="62" w:type="dxa"/>
          <w:right w:w="62" w:type="dxa"/>
        </w:tblCellMar>
        <w:tblLook w:val="0000"/>
      </w:tblPr>
      <w:tblGrid>
        <w:gridCol w:w="2700"/>
        <w:gridCol w:w="1800"/>
        <w:gridCol w:w="3960"/>
      </w:tblGrid>
      <w:tr w:rsidTr="00B545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Prerequisite Unit</w:t>
            </w:r>
            <w:r w:rsidRPr="00E354AE">
              <w:t>(</w:t>
            </w:r>
            <w:r w:rsidRPr="00E354AE">
              <w:rPr>
                <w:rStyle w:val="SpecialBold"/>
              </w:rPr>
              <w:t>s</w:t>
            </w:r>
            <w:r w:rsidRPr="00E354AE">
              <w:t>)</w:t>
            </w:r>
          </w:p>
        </w:tc>
        <w:tc>
          <w:tcPr>
            <w:tcW w:w="5760" w:type="dxa"/>
            <w:gridSpan w:val="2"/>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rPr>
                <w:rStyle w:val="SpecialBold"/>
              </w:rPr>
              <w:t>2</w:t>
            </w:r>
            <w:r w:rsidRPr="00E354AE">
              <w:t xml:space="preserve">) </w:t>
            </w:r>
          </w:p>
        </w:tc>
      </w:tr>
      <w:tr w:rsidTr="00B545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rPr>
                <w:rStyle w:val="SpecialBold"/>
              </w:rPr>
              <w:t>2</w:t>
            </w:r>
            <w:r w:rsidRPr="00E354AE">
              <w:t>.</w:t>
            </w:r>
            <w:r w:rsidRPr="00E354AE">
              <w:rPr>
                <w:rStyle w:val="SpecialBold"/>
              </w:rPr>
              <w:t>1</w:t>
            </w:r>
            <w:r w:rsidRPr="00E354AE">
              <w:t xml:space="preserve">) </w:t>
            </w:r>
          </w:p>
        </w:tc>
      </w:tr>
      <w:tr w:rsidTr="00B545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Granting of competency in this unit shall be made only after competency in the following unit(s) has/have been confirmed:</w:t>
            </w:r>
          </w:p>
        </w:tc>
      </w:tr>
      <w:tr w:rsidTr="00B545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Nil</w:t>
            </w:r>
          </w:p>
        </w:tc>
        <w:tc>
          <w:tcPr>
            <w:tcW w:w="3960" w:type="dxa"/>
            <w:tcBorders>
              <w:top w:val="nil"/>
              <w:left w:val="nil"/>
              <w:bottom w:val="nil"/>
              <w:right w:val="nil"/>
            </w:tcBorders>
            <w:tcMar>
              <w:top w:w="0" w:type="dxa"/>
              <w:left w:w="62" w:type="dxa"/>
              <w:bottom w:w="0" w:type="dxa"/>
              <w:right w:w="62" w:type="dxa"/>
            </w:tcMar>
          </w:tcPr>
          <w:p w:rsidR="00000000" w:rsidRPr="00E354AE" w:rsidP="00E354AE">
            <w:pPr>
              <w:pStyle w:val="BodyText"/>
            </w:pPr>
          </w:p>
        </w:tc>
      </w:tr>
    </w:tbl>
    <w:p w:rsidR="00B545D9" w:rsidP="00E354AE">
      <w:pPr>
        <w:pStyle w:val="BodyText"/>
      </w:pPr>
    </w:p>
    <w:p w:rsidR="00B545D9" w:rsidP="00E354AE">
      <w:pPr>
        <w:pStyle w:val="BodyText"/>
      </w:pPr>
    </w:p>
    <w:p w:rsidR="00000000" w:rsidRPr="00E354AE" w:rsidP="00E354AE">
      <w:pPr>
        <w:pStyle w:val="Heading1"/>
      </w:pPr>
      <w:bookmarkStart w:id="6" w:name="O_285377"/>
      <w:bookmarkEnd w:id="6"/>
      <w:r w:rsidRPr="00E354AE">
        <w:t>Employability Skills Information</w:t>
      </w:r>
    </w:p>
    <w:p w:rsidR="00000000" w:rsidRPr="00E354AE" w:rsidP="00E354AE">
      <w:pPr>
        <w:pStyle w:val="BodyText"/>
      </w:pPr>
      <w:r w:rsidRPr="00E354AE">
        <w:t>Refer to the Evidence Guide</w:t>
      </w:r>
    </w:p>
    <w:p w:rsidR="00000000" w:rsidRPr="00E354AE" w:rsidP="00E354AE">
      <w:pPr>
        <w:pStyle w:val="AllowPageBreak"/>
      </w:pPr>
    </w:p>
    <w:p w:rsidR="00000000" w:rsidRPr="00E354AE" w:rsidP="00E354AE">
      <w:pPr>
        <w:pStyle w:val="Heading1"/>
      </w:pPr>
      <w:bookmarkStart w:id="7" w:name="O_293174"/>
      <w:bookmarkEnd w:id="7"/>
      <w:r w:rsidRPr="00E354AE">
        <w:t>Elements and Performance Criteria Pre-Content</w:t>
      </w:r>
    </w:p>
    <w:tbl>
      <w:tblPr>
        <w:tblW w:w="0" w:type="auto"/>
        <w:tblLayout w:type="fixed"/>
        <w:tblCellMar>
          <w:left w:w="62" w:type="dxa"/>
          <w:right w:w="62" w:type="dxa"/>
        </w:tblCellMar>
        <w:tblLook w:val="0000"/>
      </w:tblPr>
      <w:tblGrid>
        <w:gridCol w:w="2700"/>
        <w:gridCol w:w="5760"/>
      </w:tblGrid>
      <w:tr w:rsidTr="00B545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rPr>
                <w:rStyle w:val="SpecialBold"/>
              </w:rPr>
              <w:t>5</w:t>
            </w:r>
            <w:r w:rsidRPr="00E354A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t>Performance criteria describe the required performance needed to demonstrate achievement of the element. Assessment of performance is to</w:t>
            </w:r>
            <w:r w:rsidRPr="00E354AE">
              <w:t xml:space="preserve"> be consistent with the Evidence Guide.</w:t>
            </w:r>
          </w:p>
        </w:tc>
      </w:tr>
    </w:tbl>
    <w:p w:rsidR="00000000" w:rsidRPr="00E354AE" w:rsidP="00E354AE">
      <w:pPr>
        <w:pStyle w:val="BodyText"/>
      </w:pPr>
    </w:p>
    <w:p w:rsidR="00000000" w:rsidRPr="00E354AE" w:rsidP="00E354AE">
      <w:pPr>
        <w:pStyle w:val="AllowPageBreak"/>
      </w:pPr>
    </w:p>
    <w:p w:rsidR="00000000" w:rsidRPr="00E354AE" w:rsidP="00E354AE">
      <w:pPr>
        <w:pStyle w:val="Heading1"/>
      </w:pPr>
      <w:bookmarkStart w:id="8" w:name="O_239842"/>
      <w:bookmarkEnd w:id="8"/>
      <w:r w:rsidRPr="00E354A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545D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rPr>
                <w:rStyle w:val="SpecialBold"/>
              </w:rPr>
              <w:t>PERFORMANCE CRITERIA</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1</w:t>
            </w:r>
          </w:p>
        </w:tc>
        <w:tc>
          <w:tcPr>
            <w:tcW w:w="2296" w:type="dxa"/>
            <w:vMerge w:val="restart"/>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Plan installation of cathodic protection system</w:t>
            </w: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1.1</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Cathodic protection system installation procedures are planned in accord</w:t>
            </w:r>
            <w:r w:rsidRPr="00E354AE">
              <w:t xml:space="preserve">ance with work schedule(s), including drawings, plans, requirements and established procedures </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1.2</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Relevant requirements and established procedures for the work are communicated to all persons and identified for all work sites</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1.3</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 xml:space="preserve">OHS, environmental and sustainable energy policies and procedures related to the installation of cathodic protection systems are obtained and confirmed for the purposes of the work performed and communicated </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1.4</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 xml:space="preserve">Data from completed surveys is analysed </w:t>
            </w:r>
            <w:r w:rsidRPr="00E354AE">
              <w:t>and work is prioritised and sequenced following consultation with others for completion within acceptable timeframes and in accordance with established procedures</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1.5</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Risk control measures for identified hazards are prioritised, implemented and monitore</w:t>
            </w:r>
            <w:r w:rsidRPr="00E354AE">
              <w:t>d against the work schedule</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1.6</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Technical specifications and drawings are drafted from the analysed survey data and the relevant work permits are obtained to access and perform work according to requirements and established procedures</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1.7</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Resources including persons, equipment, tools and personal protective equipment required for the job are identified, scheduled and obtained and confirmed in working order</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1.8</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Relevant persons at worksite are confirmed to be current in First Aid and othe</w:t>
            </w:r>
            <w:r w:rsidRPr="00E354AE">
              <w:t>r related work procedures according to requirements</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1.9</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Liaison and communication issues with authorised persons, authorities, clients and land-owners are resolved to carry out work where necessary</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1.10</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Site is prepared according to the work schedule and to minimise risk and damage to property, commerce and individuals in accordance with established procedures</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1.11</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Persons participating in the work, including plant operators and contractors are fully b</w:t>
            </w:r>
            <w:r w:rsidRPr="00E354AE">
              <w:t xml:space="preserve">riefed and respective responsibilities confirmed where applicable in accordance with established procedures </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2</w:t>
            </w:r>
          </w:p>
        </w:tc>
        <w:tc>
          <w:tcPr>
            <w:tcW w:w="2296"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Install cathodic protection system</w:t>
            </w: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2.1</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OHS policies and procedures and safe work practices are followed to eliminate or minimise incidents and hazards</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2.2</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Lifting, climbing, working in confined spaces, excavations, trenches, or aloft, and use of power tools, techniques and practices are safe</w:t>
            </w:r>
            <w:r w:rsidRPr="00E354AE">
              <w:t>ly followed and currency according to requirements confirmed</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2.3</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Essential Knowledge and Associated Skills for the installation of cathodic protection systems are applied to ensure completion in an agreed timeframe and to quality standards with a minimu</w:t>
            </w:r>
            <w:r w:rsidRPr="00E354AE">
              <w:t>m of waste according to requirements</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2.4</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 xml:space="preserve">Approved specifications and drawings are reviewed and the performing of the installation of cathodic protection systems is carried out in accordance with the work schedule and to established procedures </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2.5</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Hazard warnings and safety signs are recognised and hazards and assessed OHS risks are reported to the immediate authorised persons for directions according to established procedures</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2.6</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Unplanned events in the installation of cathodic protection system</w:t>
            </w:r>
            <w:r w:rsidRPr="00E354AE">
              <w:t xml:space="preserve">s is undertaken with the scope of established procedures </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2.7</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Known solutions to a variety of problems are applied using Essential Knowledge and Associated Skills</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2.8</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Ongoing checks of quality of the work are undertaken in accordance with given instructions and established procedures</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3</w:t>
            </w:r>
          </w:p>
        </w:tc>
        <w:tc>
          <w:tcPr>
            <w:tcW w:w="2296"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 xml:space="preserve">Test and commission CP System </w:t>
            </w: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3.1</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Commissioning of the installed CP system and components is conducted against works schedule for conf</w:t>
            </w:r>
            <w:r w:rsidRPr="00E354AE">
              <w:t>ormance with requirements, anomalies are reported in accordance with established procedures</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3.2</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Accidents and injuries are reported in accordance with requirements and established procedures where applicable</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3.3</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Work site is rehabilitated, cleaned up</w:t>
            </w:r>
            <w:r w:rsidRPr="00E354AE">
              <w:t xml:space="preserve"> and made safe in accordance with given instructions and established procedures</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3.4</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Tools, equipment and any surplus resources and materials are, where appropriate, cleaned, checked and returned to storage in accordance with established procedures</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3.5</w:t>
            </w:r>
          </w:p>
        </w:tc>
        <w:tc>
          <w:tcPr>
            <w:tcW w:w="48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Relevant work permit(s) are signed off and equipment is returned to service in accordance with requirements</w:t>
            </w:r>
          </w:p>
        </w:tc>
      </w:tr>
      <w:tr w:rsidTr="00B545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3.6</w:t>
            </w:r>
          </w:p>
        </w:tc>
        <w:tc>
          <w:tcPr>
            <w:tcW w:w="4860"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t>Cathodic protection system is tested and further survey data collected and work completion records and documentation is finalised and pro</w:t>
            </w:r>
            <w:r w:rsidRPr="00E354AE">
              <w:t>cessed and appropriate persons notified</w:t>
            </w:r>
          </w:p>
        </w:tc>
      </w:tr>
    </w:tbl>
    <w:p w:rsidR="00B545D9" w:rsidP="00E354AE">
      <w:pPr>
        <w:pStyle w:val="BodyText"/>
      </w:pPr>
    </w:p>
    <w:p w:rsidR="00B545D9" w:rsidP="00E354AE">
      <w:pPr>
        <w:pStyle w:val="BodyText"/>
      </w:pPr>
    </w:p>
    <w:p w:rsidR="00000000" w:rsidRPr="00E354AE" w:rsidP="00E354AE">
      <w:pPr>
        <w:pStyle w:val="Heading1"/>
      </w:pPr>
      <w:bookmarkStart w:id="9" w:name="O_263633"/>
      <w:bookmarkEnd w:id="9"/>
      <w:r w:rsidRPr="00E354AE">
        <w:t>Required Skills and Knowledge</w:t>
      </w:r>
    </w:p>
    <w:tbl>
      <w:tblPr>
        <w:tblW w:w="0" w:type="auto"/>
        <w:tblLayout w:type="fixed"/>
        <w:tblCellMar>
          <w:left w:w="62" w:type="dxa"/>
          <w:right w:w="62" w:type="dxa"/>
        </w:tblCellMar>
        <w:tblLook w:val="0000"/>
      </w:tblPr>
      <w:tblGrid>
        <w:gridCol w:w="2700"/>
        <w:gridCol w:w="1080"/>
        <w:gridCol w:w="4680"/>
      </w:tblGrid>
      <w:tr w:rsidTr="00B545D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rPr>
                <w:rStyle w:val="SpecialBold"/>
              </w:rPr>
              <w:t>REQUIRED SKILLS AND KNOWLEDGE</w:t>
            </w:r>
          </w:p>
        </w:tc>
      </w:tr>
      <w:tr w:rsidTr="00B545D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rPr>
                <w:rStyle w:val="SpecialBold"/>
              </w:rPr>
              <w:t>6</w:t>
            </w:r>
            <w:r w:rsidRPr="00E354AE">
              <w:t>) This describes the essential skills and knowledge and their level, required for this unit.</w:t>
            </w:r>
          </w:p>
        </w:tc>
      </w:tr>
      <w:tr w:rsidTr="00B545D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Evidence shall show that knowledge has been acquired of safe working practices for installing cathodic protection systems. The extent of the essential knowledge and associated skills (EKAS) required is given in Volume 2 - Part 2.2 EKAS.  It forms an integr</w:t>
            </w:r>
            <w:r w:rsidRPr="00E354AE">
              <w:t>al part of this unit.</w:t>
            </w:r>
          </w:p>
        </w:tc>
      </w:tr>
      <w:tr w:rsidTr="00B545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G 3.4.1</w:t>
            </w:r>
          </w:p>
        </w:tc>
        <w:tc>
          <w:tcPr>
            <w:tcW w:w="468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Understanding corrosion processes</w:t>
            </w:r>
          </w:p>
        </w:tc>
      </w:tr>
      <w:tr w:rsidTr="00B545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G 3.4.2</w:t>
            </w:r>
          </w:p>
        </w:tc>
        <w:tc>
          <w:tcPr>
            <w:tcW w:w="468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Interpreting system design, planning and operation</w:t>
            </w:r>
          </w:p>
        </w:tc>
      </w:tr>
      <w:tr w:rsidTr="00B545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G 3.4.3</w:t>
            </w:r>
          </w:p>
        </w:tc>
        <w:tc>
          <w:tcPr>
            <w:tcW w:w="468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Use and understand cathodic protection systems</w:t>
            </w:r>
          </w:p>
        </w:tc>
      </w:tr>
      <w:tr w:rsidTr="00B545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G 3.4.4</w:t>
            </w:r>
          </w:p>
        </w:tc>
        <w:tc>
          <w:tcPr>
            <w:tcW w:w="468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Select and use appropriate tools and equipment for cathodic protection</w:t>
            </w:r>
          </w:p>
        </w:tc>
      </w:tr>
      <w:tr w:rsidTr="00B545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G 3.4.5</w:t>
            </w:r>
          </w:p>
        </w:tc>
        <w:tc>
          <w:tcPr>
            <w:tcW w:w="4680"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t>Interpreting topographical and geographical maps and information</w:t>
            </w:r>
          </w:p>
        </w:tc>
      </w:tr>
    </w:tbl>
    <w:p w:rsidR="00B545D9" w:rsidP="00E354AE">
      <w:pPr>
        <w:pStyle w:val="BodyText"/>
      </w:pPr>
    </w:p>
    <w:p w:rsidR="00B545D9" w:rsidP="00E354AE">
      <w:pPr>
        <w:pStyle w:val="BodyText"/>
      </w:pPr>
    </w:p>
    <w:p w:rsidR="00000000" w:rsidRPr="00E354AE" w:rsidP="00E354AE">
      <w:pPr>
        <w:pStyle w:val="Heading1"/>
      </w:pPr>
      <w:bookmarkStart w:id="10" w:name="O_247825"/>
      <w:bookmarkEnd w:id="10"/>
      <w:r w:rsidRPr="00E354AE">
        <w:t>Evidence Guide</w:t>
      </w:r>
    </w:p>
    <w:tbl>
      <w:tblPr>
        <w:tblW w:w="0" w:type="auto"/>
        <w:tblLayout w:type="fixed"/>
        <w:tblCellMar>
          <w:left w:w="62" w:type="dxa"/>
          <w:right w:w="62" w:type="dxa"/>
        </w:tblCellMar>
        <w:tblLook w:val="0000"/>
      </w:tblPr>
      <w:tblGrid>
        <w:gridCol w:w="2160"/>
        <w:gridCol w:w="360"/>
        <w:gridCol w:w="900"/>
        <w:gridCol w:w="1980"/>
        <w:gridCol w:w="3060"/>
      </w:tblGrid>
      <w:tr w:rsidTr="00B545D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rPr>
                <w:rStyle w:val="SpecialBold"/>
              </w:rPr>
              <w:t>EVIDENCE GUIDE</w:t>
            </w:r>
          </w:p>
        </w:tc>
      </w:tr>
      <w:tr w:rsidTr="00B545D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rPr>
                <w:rStyle w:val="SpecialBold"/>
              </w:rPr>
              <w:t>8</w:t>
            </w:r>
            <w:r w:rsidRPr="00E354AE">
              <w:t>) The Evidence Guide forms an integral part of this Competency Standard Units and shall be used in conjunction with all components parts of this unit and, performed in accordance with the Assessment Guidelines of this Training Package.</w:t>
            </w:r>
          </w:p>
        </w:tc>
      </w:tr>
      <w:tr w:rsidTr="00B545D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Overview of Ass</w:t>
            </w:r>
            <w:r w:rsidRPr="00E354AE">
              <w:rPr>
                <w:rStyle w:val="SpecialBold"/>
              </w:rPr>
              <w:t>essment</w:t>
            </w:r>
          </w:p>
        </w:tc>
        <w:tc>
          <w:tcPr>
            <w:tcW w:w="6300" w:type="dxa"/>
            <w:gridSpan w:val="4"/>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8</w:t>
            </w:r>
            <w:r w:rsidRPr="00E354AE">
              <w:t>.</w:t>
            </w:r>
            <w:r w:rsidRPr="00E354AE">
              <w:rPr>
                <w:rStyle w:val="SpecialBold"/>
              </w:rPr>
              <w:t>1</w:t>
            </w:r>
            <w:r w:rsidRPr="00E354AE">
              <w:t xml:space="preserve">) </w:t>
            </w:r>
          </w:p>
          <w:p w:rsidR="00000000" w:rsidRPr="00E354AE" w:rsidP="00E354AE">
            <w:pPr>
              <w:pStyle w:val="BodyText"/>
            </w:pPr>
            <w:r w:rsidRPr="00E354AE">
              <w:t>Longitudinal competency development approaches to assessment, such as Profiling, require data to be reliably gathered in a form that can be consistently interpreted over time. This approach is best utilised in Apprenticeship programs and redu</w:t>
            </w:r>
            <w:r w:rsidRPr="00E354AE">
              <w:t>ces assessment intervention. It is the Industry's preferred model for apprenticeships. However, where summative (or final) assessment is used it is to include the application of the competency in the normal work environment or, at a minimum, the applicatio</w:t>
            </w:r>
            <w:r w:rsidRPr="00E354AE">
              <w:t>n of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E354AE" w:rsidP="00E354AE">
            <w:pPr>
              <w:pStyle w:val="BodyText"/>
            </w:pPr>
            <w:r w:rsidRPr="00E354AE">
              <w:t>Methods chosen for a particular assessment will be influenced by various factors. These include the extent of the assessment, the most effective locations for the assessment activities to take place, access to physical resources, additional safety measures</w:t>
            </w:r>
            <w:r w:rsidRPr="00E354AE">
              <w:t xml:space="preserve"> that may be required and the critical nature of the competencies being assessed.</w:t>
            </w:r>
          </w:p>
          <w:p w:rsidR="00000000" w:rsidRPr="00E354AE" w:rsidP="00E354AE">
            <w:pPr>
              <w:pStyle w:val="BodyText"/>
            </w:pPr>
            <w:r w:rsidRPr="00E354AE">
              <w:t>The critical safety nature of working with electricity, electrical equipment, gas or any other hazardous substance/material carries risk in deeming a person competent. Hence,</w:t>
            </w:r>
            <w:r w:rsidRPr="00E354AE">
              <w:t xml:space="preserve"> sources of evidence need to be 'rich' in nature so as to minimise error in judgment.</w:t>
            </w:r>
          </w:p>
          <w:p w:rsidR="00000000" w:rsidP="00E354AE">
            <w:pPr>
              <w:pStyle w:val="BodyText"/>
              <w:rPr>
                <w:lang w:val="en-NZ"/>
              </w:rPr>
            </w:pPr>
            <w:r w:rsidRPr="00E354AE">
              <w:t xml:space="preserve">Activities associated with normal every day work have a bearing on the decision as to how much and how detailed the data gathered will contribute to its 'richness'. Some </w:t>
            </w:r>
            <w:r w:rsidRPr="00E354AE">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E354AE">
              <w:t>Sample assessment instruments are included for Assessors in the Assessment Guidelines of this Training Package.</w:t>
            </w:r>
          </w:p>
        </w:tc>
      </w:tr>
      <w:tr w:rsidTr="00B545D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 xml:space="preserve">Critical aspects of evidence required to demonstrate competency </w:t>
            </w:r>
            <w:r w:rsidRPr="00E354AE">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8</w:t>
            </w:r>
            <w:r w:rsidRPr="00E354AE">
              <w:t>.</w:t>
            </w:r>
            <w:r w:rsidRPr="00E354AE">
              <w:rPr>
                <w:rStyle w:val="SpecialBold"/>
              </w:rPr>
              <w:t>2</w:t>
            </w:r>
            <w:r w:rsidRPr="00E354AE">
              <w:t xml:space="preserve">) </w:t>
            </w:r>
          </w:p>
          <w:p w:rsidR="00000000" w:rsidP="00E354AE">
            <w:pPr>
              <w:pStyle w:val="BodyText"/>
              <w:rPr>
                <w:lang w:val="en-NZ"/>
              </w:rPr>
            </w:pPr>
            <w:r w:rsidRPr="00E354AE">
              <w:t>Before the critical aspects of evidence are considered all prerequisites shall be met.</w:t>
            </w:r>
          </w:p>
        </w:tc>
      </w:tr>
      <w:tr w:rsidTr="00B545D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t>Evidence for competence in this unit shall be considered holistically. Each element and associated Performance Criteria shall be demonstrated on at least two occasi</w:t>
            </w:r>
            <w:r w:rsidRPr="00E354AE">
              <w:t>ons in accordance with the 'Assessment Guidelines  UEG06'. Evidence shall also comprise:</w:t>
            </w:r>
          </w:p>
          <w:p w:rsidR="00000000" w:rsidP="00E354AE">
            <w:pPr>
              <w:pStyle w:val="ListBullet"/>
              <w:rPr>
                <w:lang w:val="en-NZ"/>
              </w:rPr>
            </w:pPr>
            <w:r w:rsidRPr="00E354AE">
              <w:t>A representative body of Performance Criteria demonstrated within the timeframes typically expected of the discipline, work function and industrial environment. In pa</w:t>
            </w:r>
            <w:r w:rsidRPr="00E354AE">
              <w:t>rticular this shall incorporate evidence that shows a candidate is able to:</w:t>
            </w:r>
          </w:p>
        </w:tc>
      </w:tr>
      <w:tr w:rsidTr="00B545D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354AE" w:rsidP="00E354AE">
            <w:pPr>
              <w:pStyle w:val="ListBullet2"/>
            </w:pPr>
            <w:r w:rsidRPr="00E354AE">
              <w:t>Implement Occupational Health and Safety workplace procedures and practices including the use of risk control measures as specified in the Performance Criteria and range</w:t>
            </w:r>
          </w:p>
          <w:p w:rsidR="00000000" w:rsidRPr="00E354AE" w:rsidP="00E354AE">
            <w:pPr>
              <w:pStyle w:val="ListBullet2"/>
            </w:pPr>
            <w:r w:rsidRPr="00E354AE">
              <w:t>Apply sustainable energy principles and practices as specified in the Performance Criteria and range</w:t>
            </w:r>
          </w:p>
          <w:p w:rsidR="00000000" w:rsidRPr="00E354AE" w:rsidP="00E354AE">
            <w:pPr>
              <w:pStyle w:val="ListBullet2"/>
            </w:pPr>
            <w:r w:rsidRPr="00E354AE">
              <w:t>Demonstrate an understanding of the essential knowledge and associated skills as described in this unit to such an extent that the learner's performance ou</w:t>
            </w:r>
            <w:r w:rsidRPr="00E354AE">
              <w:t>tcome is reported in accordance with the preferred approach; namely a percentile graded result, where required by the regulated environment</w:t>
            </w:r>
          </w:p>
          <w:p w:rsidR="00000000" w:rsidRPr="00E354AE" w:rsidP="00E354AE">
            <w:pPr>
              <w:pStyle w:val="ListBullet2"/>
            </w:pPr>
            <w:r w:rsidRPr="00E354AE">
              <w:t>Demonstrate an appropriate level of skills enabling employment</w:t>
            </w:r>
          </w:p>
          <w:p w:rsidR="00000000" w:rsidP="00E354AE">
            <w:pPr>
              <w:pStyle w:val="ListBullet2"/>
              <w:rPr>
                <w:lang w:val="en-NZ"/>
              </w:rPr>
            </w:pPr>
            <w:r w:rsidRPr="00E354AE">
              <w:t>Conduct work observing the relevant Anti Discriminati</w:t>
            </w:r>
            <w:r w:rsidRPr="00E354AE">
              <w:t>on legislation, regulations, polices and workplace procedures</w:t>
            </w:r>
          </w:p>
        </w:tc>
      </w:tr>
      <w:tr w:rsidTr="00B545D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354AE">
            <w:pPr>
              <w:pStyle w:val="ListBullet2"/>
              <w:rPr>
                <w:lang w:val="en-NZ"/>
              </w:rPr>
            </w:pPr>
            <w:r w:rsidRPr="00E354AE">
              <w:t>Demonstrate performance across a representative range of contexts from the prescribed items below.</w:t>
            </w:r>
          </w:p>
        </w:tc>
      </w:tr>
      <w:tr w:rsidTr="00B545D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354AE">
            <w:pPr>
              <w:pStyle w:val="BodyText"/>
              <w:keepNext w:val="0"/>
              <w:keepLines w:val="0"/>
              <w:contextualSpacing w:val="0"/>
            </w:pPr>
          </w:p>
        </w:tc>
        <w:tc>
          <w:tcPr>
            <w:tcW w:w="59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rPr>
                <w:rStyle w:val="SpecialBold"/>
              </w:rPr>
              <w:t>Range of tools</w:t>
            </w:r>
            <w:r w:rsidRPr="00E354AE">
              <w:t>/</w:t>
            </w:r>
            <w:r w:rsidRPr="00E354AE">
              <w:rPr>
                <w:rStyle w:val="SpecialBold"/>
              </w:rPr>
              <w:t>equipment</w:t>
            </w:r>
            <w:r w:rsidRPr="00E354AE">
              <w:t>/</w:t>
            </w:r>
            <w:r w:rsidRPr="00E354AE">
              <w:rPr>
                <w:rStyle w:val="SpecialBold"/>
              </w:rPr>
              <w:t>materials</w:t>
            </w:r>
            <w:r w:rsidRPr="00E354AE">
              <w:t>/</w:t>
            </w:r>
            <w:r w:rsidRPr="00E354AE">
              <w:rPr>
                <w:rStyle w:val="SpecialBold"/>
              </w:rPr>
              <w:t>procedures</w:t>
            </w:r>
            <w:r w:rsidRPr="00E354AE">
              <w:t>/</w:t>
            </w:r>
            <w:r w:rsidRPr="00E354AE">
              <w:br/>
            </w:r>
            <w:r w:rsidRPr="00E354AE">
              <w:rPr>
                <w:rStyle w:val="SpecialBold"/>
              </w:rPr>
              <w:t>workplaces</w:t>
            </w:r>
            <w:r w:rsidRPr="00E354AE">
              <w:t>/</w:t>
            </w:r>
            <w:r w:rsidRPr="00E354AE">
              <w:rPr>
                <w:rStyle w:val="SpecialBold"/>
              </w:rPr>
              <w:t>other variables</w:t>
            </w:r>
          </w:p>
        </w:tc>
      </w:tr>
      <w:tr w:rsidTr="00B545D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354AE">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r w:rsidRPr="00E354AE">
              <w:rPr>
                <w:rStyle w:val="SpecialBold"/>
              </w:rPr>
              <w:t>Group No</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r w:rsidRPr="00E354AE">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rPr>
                <w:rStyle w:val="SpecialBold"/>
              </w:rPr>
              <w:t>Item List</w:t>
            </w:r>
          </w:p>
        </w:tc>
      </w:tr>
      <w:tr w:rsidTr="00B545D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At least 5</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r w:rsidRPr="00E354AE">
              <w:t>Components and system:</w:t>
            </w:r>
          </w:p>
          <w:p w:rsidR="00000000" w:rsidRPr="00E354AE" w:rsidP="00E354AE">
            <w:pPr>
              <w:pStyle w:val="BodyText"/>
            </w:pPr>
            <w:r w:rsidRPr="00E354AE">
              <w:t>Solar powered generation systems</w:t>
            </w:r>
          </w:p>
          <w:p w:rsidR="00000000" w:rsidRPr="00E354AE" w:rsidP="00E354AE">
            <w:pPr>
              <w:pStyle w:val="BodyText"/>
            </w:pPr>
            <w:r w:rsidRPr="00E354AE">
              <w:t>240 volt power generation systems</w:t>
            </w:r>
          </w:p>
          <w:p w:rsidR="00000000" w:rsidRPr="00E354AE" w:rsidP="00E354AE">
            <w:pPr>
              <w:pStyle w:val="BodyText"/>
            </w:pPr>
            <w:r w:rsidRPr="00E354AE">
              <w:t>Insulation and monolithic joints</w:t>
            </w:r>
          </w:p>
          <w:p w:rsidR="00000000" w:rsidRPr="00E354AE" w:rsidP="00E354AE">
            <w:pPr>
              <w:pStyle w:val="BodyText"/>
            </w:pPr>
            <w:r w:rsidRPr="00E354AE">
              <w:t>Galvanic anode beds</w:t>
            </w:r>
          </w:p>
          <w:p w:rsidR="00000000" w:rsidRPr="00E354AE" w:rsidP="00E354AE">
            <w:pPr>
              <w:pStyle w:val="BodyText"/>
            </w:pPr>
            <w:r w:rsidRPr="00E354AE">
              <w:t>Battery banks  acid and lead acid</w:t>
            </w:r>
          </w:p>
          <w:p w:rsidR="00000000" w:rsidRPr="00E354AE" w:rsidP="00E354AE">
            <w:pPr>
              <w:pStyle w:val="BodyText"/>
            </w:pPr>
            <w:r w:rsidRPr="00E354AE">
              <w:t>Transformer rectifiers and CPUs</w:t>
            </w:r>
          </w:p>
          <w:p w:rsidR="00000000" w:rsidRPr="00E354AE" w:rsidP="00E354AE">
            <w:pPr>
              <w:pStyle w:val="BodyText"/>
            </w:pPr>
            <w:r w:rsidRPr="00E354AE">
              <w:t>Lighting protection equipment</w:t>
            </w:r>
          </w:p>
          <w:p w:rsidR="00000000" w:rsidRPr="00E354AE" w:rsidP="00E354AE">
            <w:pPr>
              <w:pStyle w:val="BodyText"/>
            </w:pPr>
            <w:r w:rsidRPr="00E354AE">
              <w:t>CP test points</w:t>
            </w:r>
          </w:p>
          <w:p w:rsidR="00000000" w:rsidP="00E354AE">
            <w:pPr>
              <w:pStyle w:val="BodyText"/>
              <w:rPr>
                <w:lang w:val="en-NZ"/>
              </w:rPr>
            </w:pPr>
            <w:r w:rsidRPr="00E354AE">
              <w:t>Kirk cells</w:t>
            </w:r>
          </w:p>
        </w:tc>
      </w:tr>
      <w:tr w:rsidTr="00B545D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B</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At least 4</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r w:rsidRPr="00E354AE">
              <w:t>Checks and tests on CP systems:</w:t>
            </w:r>
          </w:p>
          <w:p w:rsidR="00000000" w:rsidRPr="00E354AE" w:rsidP="00E354AE">
            <w:pPr>
              <w:pStyle w:val="BodyText"/>
            </w:pPr>
            <w:r w:rsidRPr="00E354AE">
              <w:t>Potential surveys</w:t>
            </w:r>
          </w:p>
          <w:p w:rsidR="00000000" w:rsidRPr="00E354AE" w:rsidP="00E354AE">
            <w:pPr>
              <w:pStyle w:val="BodyText"/>
            </w:pPr>
            <w:r w:rsidRPr="00E354AE">
              <w:t>On/off potential surveys</w:t>
            </w:r>
          </w:p>
          <w:p w:rsidR="00000000" w:rsidRPr="00E354AE" w:rsidP="00E354AE">
            <w:pPr>
              <w:pStyle w:val="BodyText"/>
            </w:pPr>
            <w:r w:rsidRPr="00E354AE">
              <w:t>Coating defect assessment surveys (DCVG met</w:t>
            </w:r>
            <w:r w:rsidRPr="00E354AE">
              <w:t>hod, Peason technique/method, over pipeline potential method)</w:t>
            </w:r>
          </w:p>
          <w:p w:rsidR="00000000" w:rsidRPr="00E354AE" w:rsidP="00E354AE">
            <w:pPr>
              <w:pStyle w:val="BodyText"/>
            </w:pPr>
            <w:r w:rsidRPr="00E354AE">
              <w:t>Loop impedance testing</w:t>
            </w:r>
          </w:p>
          <w:p w:rsidR="00000000" w:rsidRPr="00E354AE" w:rsidP="00E354AE">
            <w:pPr>
              <w:pStyle w:val="BodyText"/>
            </w:pPr>
            <w:r w:rsidRPr="00E354AE">
              <w:t>Anode bed testing</w:t>
            </w:r>
          </w:p>
          <w:p w:rsidR="00000000" w:rsidRPr="00E354AE" w:rsidP="00E354AE">
            <w:pPr>
              <w:pStyle w:val="BodyText"/>
            </w:pPr>
            <w:r w:rsidRPr="00E354AE">
              <w:t>Soil resistivity testing</w:t>
            </w:r>
          </w:p>
          <w:p w:rsidR="00000000" w:rsidRPr="00E354AE" w:rsidP="00E354AE">
            <w:pPr>
              <w:pStyle w:val="BodyText"/>
            </w:pPr>
            <w:r w:rsidRPr="00E354AE">
              <w:t>Interference testing</w:t>
            </w:r>
          </w:p>
        </w:tc>
      </w:tr>
    </w:tbl>
    <w:p w:rsidR="00000000" w:rsidRPr="00E354AE" w:rsidP="00E354AE">
      <w:pPr>
        <w:pStyle w:val="BodyText"/>
      </w:pPr>
    </w:p>
    <w:tbl>
      <w:tblPr>
        <w:tblW w:w="0" w:type="auto"/>
        <w:tblLayout w:type="fixed"/>
        <w:tblCellMar>
          <w:left w:w="62" w:type="dxa"/>
          <w:right w:w="62" w:type="dxa"/>
        </w:tblCellMar>
        <w:tblLook w:val="0000"/>
      </w:tblPr>
      <w:tblGrid>
        <w:gridCol w:w="326"/>
        <w:gridCol w:w="1834"/>
        <w:gridCol w:w="360"/>
        <w:gridCol w:w="900"/>
        <w:gridCol w:w="540"/>
        <w:gridCol w:w="1440"/>
        <w:gridCol w:w="1497"/>
        <w:gridCol w:w="1563"/>
      </w:tblGrid>
      <w:tr w:rsidTr="00B545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r w:rsidRPr="00E354AE">
              <w:t>Knowledge of relevant Australian Standards or their equivalents:</w:t>
            </w:r>
          </w:p>
          <w:p w:rsidR="00000000" w:rsidRPr="00E354AE" w:rsidP="00E354AE">
            <w:pPr>
              <w:pStyle w:val="BodyText"/>
            </w:pPr>
            <w:r w:rsidRPr="00E354AE">
              <w:t>AS 2885</w:t>
            </w:r>
          </w:p>
          <w:p w:rsidR="00000000" w:rsidRPr="00E354AE" w:rsidP="00E354AE">
            <w:pPr>
              <w:pStyle w:val="BodyText"/>
            </w:pPr>
            <w:r w:rsidRPr="00E354AE">
              <w:t>AS 2430</w:t>
            </w:r>
          </w:p>
          <w:p w:rsidR="00000000" w:rsidRPr="00E354AE" w:rsidP="00E354AE">
            <w:pPr>
              <w:pStyle w:val="BodyText"/>
            </w:pPr>
            <w:r w:rsidRPr="00E354AE">
              <w:t>AS 1768</w:t>
            </w:r>
          </w:p>
          <w:p w:rsidR="00000000" w:rsidRPr="00E354AE" w:rsidP="00E354AE">
            <w:pPr>
              <w:pStyle w:val="BodyText"/>
            </w:pPr>
            <w:r w:rsidRPr="00E354AE">
              <w:t>AS 1596</w:t>
            </w:r>
          </w:p>
          <w:p w:rsidR="00000000" w:rsidRPr="00E354AE" w:rsidP="00E354AE">
            <w:pPr>
              <w:pStyle w:val="BodyText"/>
            </w:pPr>
            <w:r w:rsidRPr="00E354AE">
              <w:t>AS 1697</w:t>
            </w:r>
          </w:p>
          <w:p w:rsidR="00000000" w:rsidRPr="00E354AE" w:rsidP="00E354AE">
            <w:pPr>
              <w:pStyle w:val="BodyText"/>
            </w:pPr>
            <w:r w:rsidRPr="00E354AE">
              <w:t>AS 2832.1</w:t>
            </w:r>
          </w:p>
          <w:p w:rsidR="00000000" w:rsidRPr="00E354AE" w:rsidP="00E354AE">
            <w:pPr>
              <w:pStyle w:val="BodyText"/>
            </w:pPr>
            <w:r w:rsidRPr="00E354AE">
              <w:t>AS 3000</w:t>
            </w:r>
          </w:p>
          <w:p w:rsidR="00000000" w:rsidRPr="00E354AE" w:rsidP="00E354AE">
            <w:pPr>
              <w:pStyle w:val="BodyText"/>
            </w:pPr>
            <w:r w:rsidRPr="00E354AE">
              <w:t>AS 2239</w:t>
            </w:r>
          </w:p>
          <w:p w:rsidR="00000000" w:rsidRPr="00E354AE" w:rsidP="00E354AE">
            <w:pPr>
              <w:pStyle w:val="BodyText"/>
            </w:pPr>
            <w:r w:rsidRPr="00E354AE">
              <w:t>AS 2865</w:t>
            </w:r>
          </w:p>
          <w:p w:rsidR="00000000" w:rsidP="00E354AE">
            <w:pPr>
              <w:pStyle w:val="BodyText"/>
              <w:rPr>
                <w:lang w:val="en-NZ"/>
              </w:rPr>
            </w:pPr>
            <w:r w:rsidRPr="00E354AE">
              <w:t>AG 603</w:t>
            </w:r>
          </w:p>
        </w:tc>
      </w:tr>
      <w:tr w:rsidTr="00B545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D</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r w:rsidRPr="00E354AE">
              <w:t>Interpret cathodic protection data system surveys and readings</w:t>
            </w:r>
          </w:p>
          <w:p w:rsidR="00000000" w:rsidRPr="00E354AE" w:rsidP="00E354AE">
            <w:pPr>
              <w:pStyle w:val="BodyText"/>
            </w:pPr>
            <w:r w:rsidRPr="00E354AE">
              <w:t>Implement cathodic protection tests and surveys</w:t>
            </w:r>
          </w:p>
          <w:p w:rsidR="00000000" w:rsidRPr="00E354AE" w:rsidP="00E354AE">
            <w:pPr>
              <w:pStyle w:val="BodyText"/>
            </w:pPr>
            <w:r w:rsidRPr="00E354AE">
              <w:t>Locate and repair faults</w:t>
            </w:r>
          </w:p>
          <w:p w:rsidR="00000000" w:rsidRPr="00E354AE" w:rsidP="00E354AE">
            <w:pPr>
              <w:pStyle w:val="BodyText"/>
            </w:pPr>
            <w:r w:rsidRPr="00E354AE">
              <w:t>Procedures for coating surveys</w:t>
            </w:r>
          </w:p>
          <w:p w:rsidR="00000000" w:rsidRPr="00E354AE" w:rsidP="00E354AE">
            <w:pPr>
              <w:pStyle w:val="BodyText"/>
            </w:pPr>
            <w:r w:rsidRPr="00E354AE">
              <w:t>Check and maintain potentials</w:t>
            </w:r>
          </w:p>
          <w:p w:rsidR="00000000" w:rsidP="00E354AE">
            <w:pPr>
              <w:pStyle w:val="BodyText"/>
              <w:rPr>
                <w:lang w:val="en-NZ"/>
              </w:rPr>
            </w:pPr>
            <w:r w:rsidRPr="00E354AE">
              <w:t>Install cathodic protection system</w:t>
            </w:r>
          </w:p>
        </w:tc>
      </w:tr>
      <w:tr w:rsidTr="00B545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E</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At least one occasion</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Deal with an unplanned event by drawing on essential knowledge and associated skills to provide appropriate solutions incorporated in the holistic assessment wit</w:t>
            </w:r>
            <w:r w:rsidRPr="00E354AE">
              <w:t xml:space="preserve">h the above listed items </w:t>
            </w:r>
          </w:p>
        </w:tc>
      </w:tr>
      <w:tr w:rsidTr="00B545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8</w:t>
            </w:r>
            <w:r w:rsidRPr="00E354AE">
              <w:t>.</w:t>
            </w:r>
            <w:r w:rsidRPr="00E354AE">
              <w:rPr>
                <w:rStyle w:val="SpecialBold"/>
              </w:rPr>
              <w:t>3</w:t>
            </w:r>
            <w:r w:rsidRPr="00E354AE">
              <w:t xml:space="preserve">) </w:t>
            </w:r>
          </w:p>
          <w:p w:rsidR="00000000" w:rsidRPr="00E354AE" w:rsidP="00E354AE">
            <w:pPr>
              <w:pStyle w:val="BodyText"/>
            </w:pPr>
            <w:r w:rsidRPr="00E354AE">
              <w:t>This unit should be assessed as it relates to normal work practice using procedures, information and resources typical of a workplace. This should include:</w:t>
            </w:r>
          </w:p>
          <w:p w:rsidR="00000000" w:rsidRPr="00E354AE" w:rsidP="00E354AE">
            <w:pPr>
              <w:pStyle w:val="ListBullet"/>
            </w:pPr>
            <w:r w:rsidRPr="00E354AE">
              <w:t>OHS policy and work procedures and instructions.</w:t>
            </w:r>
          </w:p>
          <w:p w:rsidR="00000000" w:rsidRPr="00E354AE" w:rsidP="00E354AE">
            <w:pPr>
              <w:pStyle w:val="ListBullet"/>
            </w:pPr>
            <w:r w:rsidRPr="00E354AE">
              <w:t>Suitable work environment, facilities, equipment and materials to undertake actual work as prescribed by this Competency Standard Units.</w:t>
            </w:r>
          </w:p>
          <w:p w:rsidR="00000000" w:rsidRPr="00E354AE" w:rsidP="00E354AE">
            <w:pPr>
              <w:pStyle w:val="ListBullet"/>
            </w:pPr>
            <w:r w:rsidRPr="00E354AE">
              <w:t>Appropriate environmental regulation and work practices.</w:t>
            </w:r>
          </w:p>
          <w:p w:rsidR="00000000" w:rsidRPr="00E354AE" w:rsidP="00E354AE">
            <w:pPr>
              <w:pStyle w:val="ListBullet"/>
            </w:pPr>
            <w:r w:rsidRPr="00E354AE">
              <w:t>Appropriate organisational requirements.</w:t>
            </w:r>
          </w:p>
          <w:p w:rsidR="00000000" w:rsidP="00E354AE">
            <w:pPr>
              <w:pStyle w:val="ListBullet"/>
              <w:rPr>
                <w:lang w:val="en-NZ"/>
              </w:rPr>
            </w:pPr>
            <w:r w:rsidRPr="00E354AE">
              <w:t>Appropriate work environment, equipment and tools.</w:t>
            </w:r>
          </w:p>
        </w:tc>
      </w:tr>
      <w:tr w:rsidTr="00B545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vMerge w:val="restart"/>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t>In addition to the resources listed above, in Context of and specific resources for assessment, evidence should show demonstrated competency in installing c</w:t>
            </w:r>
            <w:r w:rsidRPr="00E354AE">
              <w:t>athodic protection systems.</w:t>
            </w:r>
          </w:p>
          <w:p w:rsidR="00000000" w:rsidP="00E354AE">
            <w:pPr>
              <w:pStyle w:val="BodyText"/>
              <w:rPr>
                <w:lang w:val="en-NZ"/>
              </w:rPr>
            </w:pPr>
            <w:r w:rsidRPr="00E354AE">
              <w:t>Assessment of this competency must also be undertaken in either an actual workplace or under a simulated work environment. Assessment must also integrate the Key Competencies.</w:t>
            </w:r>
          </w:p>
        </w:tc>
      </w:tr>
      <w:tr w:rsidTr="00B545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545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8</w:t>
            </w:r>
            <w:r w:rsidRPr="00E354AE">
              <w:t>.</w:t>
            </w:r>
            <w:r w:rsidRPr="00E354AE">
              <w:rPr>
                <w:rStyle w:val="SpecialBold"/>
              </w:rPr>
              <w:t>4</w:t>
            </w:r>
            <w:r w:rsidRPr="00E354AE">
              <w:t xml:space="preserve">) </w:t>
            </w:r>
          </w:p>
          <w:p w:rsidR="00000000" w:rsidRPr="00E354AE" w:rsidP="00E354AE">
            <w:pPr>
              <w:pStyle w:val="BodyText"/>
            </w:pPr>
            <w:r w:rsidRPr="00E354AE">
              <w:t>This Unit shall be assessed by methods given in Volume 1, Part 3 'Assessment Guidelines'.</w:t>
            </w:r>
          </w:p>
          <w:p w:rsidR="00000000" w:rsidP="00E354AE">
            <w:pPr>
              <w:pStyle w:val="BodyText"/>
              <w:rPr>
                <w:lang w:val="en-NZ"/>
              </w:rPr>
            </w:pPr>
            <w:r w:rsidRPr="00E354AE">
              <w:t>Note:</w:t>
            </w:r>
            <w:r w:rsidRPr="00E354AE">
              <w:br/>
              <w:t>Competent performance with inherent safe working practices is expected in the Industry to which this Competency Standard Units applies. This requires that the s</w:t>
            </w:r>
            <w:r w:rsidRPr="00E354AE">
              <w:t>pecified Essential Knowledge and Associated Skills are assessed in a structured environment which is primarily intended for learning/assessment and incorporates all necessary equipment and facilities for learners to develop and demonstrate the essential kn</w:t>
            </w:r>
            <w:r w:rsidRPr="00E354AE">
              <w:t>owledge and associated skills described in this unit.</w:t>
            </w:r>
          </w:p>
        </w:tc>
      </w:tr>
      <w:tr w:rsidTr="00B545D9">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rPr>
                <w:rStyle w:val="SpecialBold"/>
              </w:rPr>
              <w:t>8</w:t>
            </w:r>
            <w:r w:rsidRPr="00E354AE">
              <w:t>.</w:t>
            </w:r>
            <w:r w:rsidRPr="00E354AE">
              <w:rPr>
                <w:rStyle w:val="SpecialBold"/>
              </w:rPr>
              <w:t>5</w:t>
            </w:r>
            <w:r w:rsidRPr="00E354AE">
              <w:t xml:space="preserve">) </w:t>
            </w:r>
          </w:p>
        </w:tc>
      </w:tr>
      <w:tr w:rsidTr="00B545D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There are no recommended concurrent assessments</w:t>
            </w:r>
            <w:r w:rsidRPr="00E354AE">
              <w:t xml:space="preserve"> with this unit, however in some cases efficiencies may be gained in terms of learning and assessment effort being concurrently managed with allied Competency Standard Units where listed.</w:t>
            </w:r>
          </w:p>
        </w:tc>
      </w:tr>
      <w:tr w:rsidTr="00B545D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UEGNSG102A</w:t>
            </w:r>
          </w:p>
        </w:tc>
        <w:tc>
          <w:tcPr>
            <w:tcW w:w="450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Carry out work activities in a utilities industry work environment</w:t>
            </w:r>
          </w:p>
        </w:tc>
      </w:tr>
      <w:tr w:rsidTr="00B545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UEGNSG103A</w:t>
            </w:r>
          </w:p>
        </w:tc>
        <w:tc>
          <w:tcPr>
            <w:tcW w:w="450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Comply with workplace OHS procedures and practices</w:t>
            </w:r>
          </w:p>
        </w:tc>
      </w:tr>
      <w:tr w:rsidTr="00B545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UEGNSG104A</w:t>
            </w:r>
          </w:p>
        </w:tc>
        <w:tc>
          <w:tcPr>
            <w:tcW w:w="450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Comply with environmental policies and procedures</w:t>
            </w:r>
          </w:p>
        </w:tc>
      </w:tr>
      <w:tr w:rsidTr="00B545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UEGNSG105A</w:t>
            </w:r>
          </w:p>
        </w:tc>
        <w:tc>
          <w:tcPr>
            <w:tcW w:w="450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Establish the work site</w:t>
            </w:r>
          </w:p>
        </w:tc>
      </w:tr>
      <w:tr w:rsidTr="00B545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BSBCMN302A</w:t>
            </w:r>
          </w:p>
        </w:tc>
        <w:tc>
          <w:tcPr>
            <w:tcW w:w="450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Organise personal work priorities and professional development</w:t>
            </w:r>
          </w:p>
        </w:tc>
      </w:tr>
      <w:tr w:rsidTr="00B545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BSBFLM312A</w:t>
            </w:r>
          </w:p>
        </w:tc>
        <w:tc>
          <w:tcPr>
            <w:tcW w:w="450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Contribute to team effectiveness</w:t>
            </w:r>
          </w:p>
        </w:tc>
      </w:tr>
      <w:tr w:rsidTr="00B545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BSBFLM303A</w:t>
            </w:r>
          </w:p>
        </w:tc>
        <w:tc>
          <w:tcPr>
            <w:tcW w:w="450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Contribute to effective workplace relationships</w:t>
            </w:r>
          </w:p>
        </w:tc>
      </w:tr>
      <w:tr w:rsidTr="00B545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BSBCMN311A</w:t>
            </w:r>
          </w:p>
        </w:tc>
        <w:tc>
          <w:tcPr>
            <w:tcW w:w="4500" w:type="dxa"/>
            <w:gridSpan w:val="3"/>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Maintain workplace safety</w:t>
            </w:r>
          </w:p>
        </w:tc>
      </w:tr>
      <w:tr w:rsidTr="00B545D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354AE" w:rsidP="00E354AE">
            <w:pPr>
              <w:pStyle w:val="BodyText"/>
            </w:pPr>
            <w:r w:rsidRPr="00E354AE">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8</w:t>
            </w:r>
            <w:r w:rsidRPr="00E354AE">
              <w:t>.</w:t>
            </w:r>
            <w:r w:rsidRPr="00E354AE">
              <w:rPr>
                <w:rStyle w:val="SpecialBold"/>
              </w:rPr>
              <w:t>6</w:t>
            </w:r>
            <w:r w:rsidRPr="00E354AE">
              <w:t xml:space="preserve">) </w:t>
            </w:r>
          </w:p>
          <w:p w:rsidR="00000000" w:rsidP="00E354AE">
            <w:pPr>
              <w:pStyle w:val="BodyText"/>
              <w:rPr>
                <w:lang w:val="en-NZ"/>
              </w:rPr>
            </w:pPr>
            <w:r w:rsidRPr="00E354AE">
              <w:t>Evidence that particular Key Competencies have been achieved within this Competency Standard Units is in the context of the following Performance Criteria of evidence. See Volume 2, Part 4 for an explanation of Key Competencies and levels of this T</w:t>
            </w:r>
            <w:r w:rsidRPr="00E354AE">
              <w:t>raining Package.</w:t>
            </w:r>
          </w:p>
        </w:tc>
      </w:tr>
      <w:tr w:rsidTr="00B545D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r w:rsidRPr="00E354AE">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r w:rsidRPr="00E354A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rPr>
                <w:rStyle w:val="SpecialBold"/>
              </w:rPr>
              <w:t>Performance Level</w:t>
            </w:r>
          </w:p>
        </w:tc>
      </w:tr>
      <w:tr w:rsidTr="00B545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54AE">
            <w:pPr>
              <w:pStyle w:val="BodyText"/>
              <w:rPr>
                <w:lang w:val="en-NZ"/>
              </w:rPr>
            </w:pPr>
            <w:r w:rsidRPr="00E354A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p>
          <w:p w:rsidR="00000000" w:rsidP="00E354AE">
            <w:pPr>
              <w:pStyle w:val="BodyText"/>
              <w:rPr>
                <w:lang w:val="en-NZ"/>
              </w:rPr>
            </w:pPr>
            <w:r w:rsidRPr="00E354AE">
              <w:t>3</w:t>
            </w:r>
          </w:p>
        </w:tc>
      </w:tr>
      <w:tr w:rsidTr="00B545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p>
        </w:tc>
      </w:tr>
      <w:tr w:rsidTr="00B545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54AE">
            <w:pPr>
              <w:pStyle w:val="BodyText"/>
              <w:rPr>
                <w:lang w:val="en-NZ"/>
              </w:rPr>
            </w:pPr>
            <w:r w:rsidRPr="00E354A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p>
          <w:p w:rsidR="00000000" w:rsidP="00E354AE">
            <w:pPr>
              <w:pStyle w:val="BodyText"/>
              <w:rPr>
                <w:lang w:val="en-NZ"/>
              </w:rPr>
            </w:pPr>
            <w:r w:rsidRPr="00E354AE">
              <w:t>2</w:t>
            </w:r>
          </w:p>
        </w:tc>
      </w:tr>
      <w:tr w:rsidTr="00B545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p>
        </w:tc>
      </w:tr>
      <w:tr w:rsidTr="00B545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54AE">
            <w:pPr>
              <w:pStyle w:val="BodyText"/>
              <w:rPr>
                <w:lang w:val="en-NZ"/>
              </w:rPr>
            </w:pPr>
            <w:r w:rsidRPr="00E354AE">
              <w:t>Refer to the following Performance Criter</w:t>
            </w:r>
            <w:r w:rsidRPr="00E354AE">
              <w:t>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p>
          <w:p w:rsidR="00000000" w:rsidP="00E354AE">
            <w:pPr>
              <w:pStyle w:val="BodyText"/>
              <w:rPr>
                <w:lang w:val="en-NZ"/>
              </w:rPr>
            </w:pPr>
            <w:r w:rsidRPr="00E354AE">
              <w:t>2</w:t>
            </w:r>
          </w:p>
        </w:tc>
      </w:tr>
      <w:tr w:rsidTr="00B545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1.10; 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p>
        </w:tc>
      </w:tr>
      <w:tr w:rsidTr="00B545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54AE">
            <w:pPr>
              <w:pStyle w:val="BodyText"/>
              <w:rPr>
                <w:lang w:val="en-NZ"/>
              </w:rPr>
            </w:pPr>
            <w:r w:rsidRPr="00E354A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p>
          <w:p w:rsidR="00000000" w:rsidP="00E354AE">
            <w:pPr>
              <w:pStyle w:val="BodyText"/>
              <w:rPr>
                <w:lang w:val="en-NZ"/>
              </w:rPr>
            </w:pPr>
            <w:r w:rsidRPr="00E354AE">
              <w:t>1</w:t>
            </w:r>
          </w:p>
        </w:tc>
      </w:tr>
      <w:tr w:rsidTr="00B545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p>
        </w:tc>
      </w:tr>
      <w:tr w:rsidTr="00B545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54AE">
            <w:pPr>
              <w:pStyle w:val="BodyText"/>
              <w:rPr>
                <w:lang w:val="en-NZ"/>
              </w:rPr>
            </w:pPr>
            <w:r w:rsidRPr="00E354A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p>
          <w:p w:rsidR="00000000" w:rsidP="00E354AE">
            <w:pPr>
              <w:pStyle w:val="BodyText"/>
              <w:rPr>
                <w:lang w:val="en-NZ"/>
              </w:rPr>
            </w:pPr>
            <w:r w:rsidRPr="00E354AE">
              <w:t>N/A</w:t>
            </w:r>
          </w:p>
        </w:tc>
      </w:tr>
      <w:tr w:rsidTr="00B545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p>
        </w:tc>
      </w:tr>
      <w:tr w:rsidTr="00B545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54AE">
            <w:pPr>
              <w:pStyle w:val="BodyText"/>
              <w:rPr>
                <w:lang w:val="en-NZ"/>
              </w:rPr>
            </w:pPr>
            <w:r w:rsidRPr="00E354A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p>
          <w:p w:rsidR="00000000" w:rsidP="00E354AE">
            <w:pPr>
              <w:pStyle w:val="BodyText"/>
              <w:rPr>
                <w:lang w:val="en-NZ"/>
              </w:rPr>
            </w:pPr>
            <w:r w:rsidRPr="00E354AE">
              <w:t>2</w:t>
            </w:r>
          </w:p>
        </w:tc>
      </w:tr>
      <w:tr w:rsidTr="00B545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2.6; 2.7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p>
        </w:tc>
      </w:tr>
      <w:tr w:rsidTr="00B545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54AE">
            <w:pPr>
              <w:pStyle w:val="BodyText"/>
              <w:rPr>
                <w:lang w:val="en-NZ"/>
              </w:rPr>
            </w:pPr>
            <w:r w:rsidRPr="00E354AE">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p>
          <w:p w:rsidR="00000000" w:rsidP="00E354AE">
            <w:pPr>
              <w:pStyle w:val="BodyText"/>
              <w:rPr>
                <w:lang w:val="en-NZ"/>
              </w:rPr>
            </w:pPr>
            <w:r w:rsidRPr="00E354AE">
              <w:t>2</w:t>
            </w:r>
          </w:p>
        </w:tc>
      </w:tr>
      <w:tr w:rsidTr="00B545D9">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3.4</w:t>
            </w:r>
          </w:p>
        </w:tc>
      </w:tr>
      <w:tr w:rsidTr="00B545D9">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545D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354AE" w:rsidP="00E354AE">
            <w:pPr>
              <w:pStyle w:val="BodyText"/>
            </w:pPr>
            <w:r w:rsidRPr="00E354AE">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E354AE" w:rsidP="00E354AE">
            <w:pPr>
              <w:pStyle w:val="BodyText"/>
            </w:pPr>
            <w:r w:rsidRPr="00E354AE">
              <w:rPr>
                <w:rStyle w:val="SpecialBold"/>
              </w:rPr>
              <w:t>8</w:t>
            </w:r>
            <w:r w:rsidRPr="00E354AE">
              <w:t>.</w:t>
            </w:r>
            <w:r w:rsidRPr="00E354AE">
              <w:rPr>
                <w:rStyle w:val="SpecialBold"/>
              </w:rPr>
              <w:t>7</w:t>
            </w:r>
            <w:r w:rsidRPr="00E354AE">
              <w:t xml:space="preserve">) </w:t>
            </w:r>
            <w:r w:rsidRPr="00E354AE">
              <w:rPr>
                <w:rStyle w:val="SpecialBold"/>
              </w:rPr>
              <w:t>Skills Enabling Employment</w:t>
            </w:r>
            <w:r w:rsidRPr="00E354AE">
              <w:t>:</w:t>
            </w:r>
          </w:p>
          <w:p w:rsidR="00000000" w:rsidP="00E354AE">
            <w:pPr>
              <w:pStyle w:val="BodyText"/>
              <w:rPr>
                <w:lang w:val="en-NZ"/>
              </w:rPr>
            </w:pPr>
            <w:r w:rsidRPr="00E354AE">
              <w:t xml:space="preserve">Evidence that competency in this unit incorporates skills enabling employment is in the context of the following performance. See Volume 2, Part 5 for definitions and an explanation of skills enabling employment. </w:t>
            </w:r>
          </w:p>
        </w:tc>
      </w:tr>
      <w:tr w:rsidTr="00B545D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r w:rsidRPr="00E354AE">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rPr>
                <w:rStyle w:val="SpecialBold"/>
              </w:rPr>
              <w:t>Example of Application</w:t>
            </w:r>
          </w:p>
        </w:tc>
      </w:tr>
      <w:tr w:rsidTr="00B545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54AE">
            <w:pPr>
              <w:pStyle w:val="BodyText"/>
              <w:rPr>
                <w:lang w:val="en-NZ"/>
              </w:rPr>
            </w:pPr>
            <w:r w:rsidRPr="00E354AE">
              <w:t>Refer to the following Performance Criteria for examples of application:</w:t>
            </w:r>
          </w:p>
        </w:tc>
      </w:tr>
      <w:tr w:rsidTr="00B545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All</w:t>
            </w:r>
          </w:p>
        </w:tc>
      </w:tr>
      <w:tr w:rsidTr="00B545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54AE">
            <w:pPr>
              <w:pStyle w:val="BodyText"/>
              <w:rPr>
                <w:lang w:val="en-NZ"/>
              </w:rPr>
            </w:pPr>
            <w:r w:rsidRPr="00E354AE">
              <w:t>Refer to the following Performance Criteria for examples of application:</w:t>
            </w:r>
          </w:p>
        </w:tc>
      </w:tr>
      <w:tr w:rsidTr="00B545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2.6; 2.7</w:t>
            </w:r>
          </w:p>
        </w:tc>
      </w:tr>
      <w:tr w:rsidTr="00B545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54AE">
            <w:pPr>
              <w:pStyle w:val="BodyText"/>
              <w:rPr>
                <w:lang w:val="en-NZ"/>
              </w:rPr>
            </w:pPr>
            <w:r w:rsidRPr="00E354AE">
              <w:t>Refer to the following Performance Criteria for examples of application:</w:t>
            </w:r>
          </w:p>
        </w:tc>
      </w:tr>
      <w:tr w:rsidTr="00B545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3.4; 3.6</w:t>
            </w:r>
          </w:p>
        </w:tc>
      </w:tr>
      <w:tr w:rsidTr="00B545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54AE">
            <w:pPr>
              <w:pStyle w:val="BodyText"/>
              <w:rPr>
                <w:lang w:val="en-NZ"/>
              </w:rPr>
            </w:pPr>
            <w:r w:rsidRPr="00E354AE">
              <w:t>Refer to the following Performance Criteria for examples of application:</w:t>
            </w:r>
          </w:p>
        </w:tc>
      </w:tr>
      <w:tr w:rsidTr="00B545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1.4; 1.9; 3.6</w:t>
            </w:r>
          </w:p>
        </w:tc>
      </w:tr>
      <w:tr w:rsidTr="00B545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54AE">
            <w:pPr>
              <w:pStyle w:val="BodyText"/>
              <w:rPr>
                <w:lang w:val="en-NZ"/>
              </w:rPr>
            </w:pPr>
            <w:r w:rsidRPr="00E354AE">
              <w:t>Refer to the following Performance Criteria for examples of application:</w:t>
            </w:r>
          </w:p>
        </w:tc>
      </w:tr>
      <w:tr w:rsidTr="00B545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1.4; 1.5; 1.7; 1.9</w:t>
            </w:r>
          </w:p>
        </w:tc>
      </w:tr>
      <w:tr w:rsidTr="00B545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AE">
            <w:pPr>
              <w:pStyle w:val="BodyText"/>
              <w:rPr>
                <w:lang w:val="en-NZ"/>
              </w:rPr>
            </w:pPr>
            <w:r w:rsidRPr="00E354AE">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54AE">
            <w:pPr>
              <w:pStyle w:val="BodyText"/>
              <w:rPr>
                <w:lang w:val="en-NZ"/>
              </w:rPr>
            </w:pPr>
            <w:r w:rsidRPr="00E354AE">
              <w:t>Refer to the following Performance Criteria for examples of application:</w:t>
            </w:r>
          </w:p>
        </w:tc>
      </w:tr>
      <w:tr w:rsidTr="00B545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354AE" w:rsidP="00E354AE">
            <w:pPr>
              <w:pStyle w:val="BodyText"/>
            </w:pPr>
            <w:r w:rsidRPr="00E354AE">
              <w:t>2.6</w:t>
            </w:r>
          </w:p>
        </w:tc>
      </w:tr>
    </w:tbl>
    <w:p w:rsidR="00B545D9" w:rsidP="00E354AE">
      <w:pPr>
        <w:pStyle w:val="BodyText"/>
      </w:pPr>
    </w:p>
    <w:p w:rsidR="00B545D9" w:rsidP="00E354AE">
      <w:pPr>
        <w:pStyle w:val="BodyText"/>
      </w:pPr>
    </w:p>
    <w:p w:rsidR="00000000" w:rsidRPr="00E354AE" w:rsidP="00E354AE">
      <w:pPr>
        <w:pStyle w:val="Heading1"/>
      </w:pPr>
      <w:bookmarkStart w:id="11" w:name="O_255809"/>
      <w:bookmarkEnd w:id="11"/>
      <w:r w:rsidRPr="00E354AE">
        <w:t>Range Statement</w:t>
      </w:r>
    </w:p>
    <w:tbl>
      <w:tblPr>
        <w:tblW w:w="0" w:type="auto"/>
        <w:tblLayout w:type="fixed"/>
        <w:tblCellMar>
          <w:left w:w="62" w:type="dxa"/>
          <w:right w:w="62" w:type="dxa"/>
        </w:tblCellMar>
        <w:tblLook w:val="0000"/>
      </w:tblPr>
      <w:tblGrid>
        <w:gridCol w:w="8460"/>
      </w:tblGrid>
      <w:tr w:rsidTr="00B545D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rPr>
                <w:rStyle w:val="SpecialBold"/>
              </w:rPr>
              <w:t>RANGE STATEMENT</w:t>
            </w:r>
          </w:p>
        </w:tc>
      </w:tr>
      <w:tr w:rsidTr="00B545D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rPr>
                <w:rStyle w:val="SpecialBold"/>
              </w:rPr>
              <w:t>7</w:t>
            </w:r>
            <w:r w:rsidRPr="00E354AE">
              <w:t xml:space="preserve">) This relates to the competency standard unit as a whole providing the range of contexts and conditions </w:t>
            </w:r>
            <w:r w:rsidRPr="00E354AE">
              <w:t>to which the Performance Criteria apply. It allows for different work environments and situations that will affect performance.</w:t>
            </w:r>
          </w:p>
        </w:tc>
      </w:tr>
      <w:tr w:rsidTr="00B545D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t>This Unit shall/may be demonstrated in relation to installing cathodic protection systems.</w:t>
            </w:r>
          </w:p>
          <w:p w:rsidR="00000000" w:rsidRPr="00E354AE" w:rsidP="00E354AE">
            <w:pPr>
              <w:pStyle w:val="BodyText"/>
            </w:pPr>
            <w:r w:rsidRPr="00E354AE">
              <w:t>The following constants and variable</w:t>
            </w:r>
            <w:r w:rsidRPr="00E354AE">
              <w:t>s included in the element/Performance Criteria in this unit are fully described in the Definitions Section of this volume and form an integral part of the Range Statement of this unit:</w:t>
            </w:r>
          </w:p>
          <w:p w:rsidR="00000000" w:rsidRPr="00E354AE" w:rsidP="00E354AE">
            <w:pPr>
              <w:pStyle w:val="BodyText"/>
            </w:pPr>
            <w:r w:rsidRPr="00E354AE">
              <w:t xml:space="preserve">Applicable Australian standards/legislation </w:t>
            </w:r>
          </w:p>
          <w:p w:rsidR="00000000" w:rsidRPr="00E354AE" w:rsidP="00E354AE">
            <w:pPr>
              <w:pStyle w:val="BodyText"/>
            </w:pPr>
            <w:r w:rsidRPr="00E354AE">
              <w:t>Location for maintaining C</w:t>
            </w:r>
            <w:r w:rsidRPr="00E354AE">
              <w:t xml:space="preserve">P Systems </w:t>
            </w:r>
          </w:p>
          <w:p w:rsidR="00000000" w:rsidRPr="00E354AE" w:rsidP="00E354AE">
            <w:pPr>
              <w:pStyle w:val="BodyText"/>
            </w:pPr>
            <w:r w:rsidRPr="00E354AE">
              <w:t xml:space="preserve">Components and system </w:t>
            </w:r>
          </w:p>
          <w:p w:rsidR="00000000" w:rsidRPr="00E354AE" w:rsidP="00E354AE">
            <w:pPr>
              <w:pStyle w:val="BodyText"/>
            </w:pPr>
            <w:r w:rsidRPr="00E354AE">
              <w:t xml:space="preserve">Representatives in other utilities </w:t>
            </w:r>
          </w:p>
          <w:p w:rsidR="00000000" w:rsidRPr="00E354AE" w:rsidP="00E354AE">
            <w:pPr>
              <w:pStyle w:val="BodyText"/>
            </w:pPr>
            <w:r w:rsidRPr="00E354AE">
              <w:t xml:space="preserve">Types of checks and tests </w:t>
            </w:r>
          </w:p>
          <w:p w:rsidR="00000000" w:rsidRPr="00E354AE" w:rsidP="00E354AE">
            <w:pPr>
              <w:pStyle w:val="BodyText"/>
            </w:pPr>
            <w:r w:rsidRPr="00E354AE">
              <w:t xml:space="preserve">Test equipment </w:t>
            </w:r>
          </w:p>
          <w:p w:rsidR="00000000" w:rsidRPr="00E354AE" w:rsidP="00E354AE">
            <w:pPr>
              <w:pStyle w:val="BodyText"/>
            </w:pPr>
            <w:r w:rsidRPr="00E354AE">
              <w:t xml:space="preserve">Drawings and specifications </w:t>
            </w:r>
          </w:p>
          <w:p w:rsidR="00000000" w:rsidRPr="00E354AE" w:rsidP="00E354AE">
            <w:pPr>
              <w:pStyle w:val="BodyText"/>
            </w:pPr>
            <w:r w:rsidRPr="00E354AE">
              <w:t xml:space="preserve">Types of CP faults </w:t>
            </w:r>
          </w:p>
          <w:p w:rsidR="00000000" w:rsidRPr="00E354AE" w:rsidP="00E354AE">
            <w:pPr>
              <w:pStyle w:val="BodyText"/>
            </w:pPr>
            <w:r w:rsidRPr="00E354AE">
              <w:t>Components and systems</w:t>
            </w:r>
          </w:p>
          <w:p w:rsidR="00000000" w:rsidRPr="00E354AE" w:rsidP="00E354AE">
            <w:pPr>
              <w:pStyle w:val="BodyText"/>
            </w:pPr>
            <w:r w:rsidRPr="00E354AE">
              <w:t>Relevant documentation</w:t>
            </w:r>
          </w:p>
          <w:p w:rsidR="00000000" w:rsidRPr="00E354AE" w:rsidP="00E354AE">
            <w:pPr>
              <w:pStyle w:val="BodyText"/>
            </w:pPr>
            <w:r w:rsidRPr="00E354AE">
              <w:t>Relevant authorities and other stakeholders/relevant authorities</w:t>
            </w:r>
          </w:p>
          <w:p w:rsidR="00000000" w:rsidRPr="00E354AE" w:rsidP="00E354AE">
            <w:pPr>
              <w:pStyle w:val="BodyText"/>
            </w:pPr>
            <w:r w:rsidRPr="00E354AE">
              <w:t>Location for maintaining CP systems</w:t>
            </w:r>
          </w:p>
          <w:p w:rsidR="00000000" w:rsidRPr="00E354AE" w:rsidP="00E354AE">
            <w:pPr>
              <w:pStyle w:val="BodyText"/>
            </w:pPr>
            <w:r w:rsidRPr="00E354AE">
              <w:t>Drawings and specifications</w:t>
            </w:r>
          </w:p>
        </w:tc>
      </w:tr>
    </w:tbl>
    <w:p w:rsidR="00B545D9" w:rsidP="00E354AE">
      <w:pPr>
        <w:pStyle w:val="BodyText"/>
      </w:pPr>
    </w:p>
    <w:p w:rsidR="00B545D9" w:rsidP="00E354AE">
      <w:pPr>
        <w:pStyle w:val="BodyText"/>
      </w:pPr>
    </w:p>
    <w:p w:rsidR="00000000" w:rsidRPr="00E354AE" w:rsidP="00E354AE">
      <w:pPr>
        <w:pStyle w:val="Heading1"/>
      </w:pPr>
      <w:bookmarkStart w:id="12" w:name="O_296822"/>
      <w:bookmarkEnd w:id="12"/>
      <w:r w:rsidRPr="00E354AE">
        <w:t>Unit Sector(s)</w:t>
      </w:r>
    </w:p>
    <w:p w:rsidR="00000000" w:rsidRPr="00E354AE" w:rsidP="00E354AE">
      <w:pPr>
        <w:pStyle w:val="BodyText"/>
      </w:pPr>
      <w:r w:rsidRPr="00E354AE">
        <w:t>Not Applicable</w:t>
      </w:r>
    </w:p>
    <w:p w:rsidR="00000000" w:rsidRPr="00E354AE" w:rsidP="00E354AE">
      <w:pPr>
        <w:pStyle w:val="AllowPageBreak"/>
      </w:pPr>
    </w:p>
    <w:p w:rsidR="00000000" w:rsidRPr="00E354AE" w:rsidP="00E354AE">
      <w:pPr>
        <w:pStyle w:val="Heading1"/>
      </w:pPr>
      <w:bookmarkStart w:id="13" w:name="O_229591"/>
      <w:bookmarkEnd w:id="13"/>
      <w:r w:rsidRPr="00E354A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545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2</w:t>
            </w:r>
            <w:r w:rsidRPr="00E354AE">
              <w:t>.</w:t>
            </w:r>
            <w:r w:rsidRPr="00E354AE">
              <w:rPr>
                <w:rStyle w:val="SpecialBold"/>
              </w:rPr>
              <w:t>2</w:t>
            </w:r>
            <w:r w:rsidRPr="00E354AE">
              <w:t xml:space="preserve">) </w:t>
            </w:r>
          </w:p>
          <w:p w:rsidR="00000000" w:rsidP="00E354AE">
            <w:pPr>
              <w:pStyle w:val="BodyText"/>
              <w:rPr>
                <w:lang w:val="en-NZ"/>
              </w:rPr>
            </w:pPr>
            <w:r w:rsidRPr="00E354AE">
              <w:t>Participants are best equipped to achieve this unit if they have reading, writing and numeracy skills indicated by the following scales. Description of each scale is given in Volume 2, Part 3 'Literacy and Numeracy'</w:t>
            </w:r>
          </w:p>
        </w:tc>
      </w:tr>
      <w:tr w:rsidTr="00B545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Reading</w:t>
            </w:r>
          </w:p>
        </w:tc>
        <w:tc>
          <w:tcPr>
            <w:tcW w:w="805"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3</w:t>
            </w:r>
          </w:p>
        </w:tc>
        <w:tc>
          <w:tcPr>
            <w:tcW w:w="1184"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Writing</w:t>
            </w:r>
          </w:p>
        </w:tc>
        <w:tc>
          <w:tcPr>
            <w:tcW w:w="805"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3</w:t>
            </w:r>
          </w:p>
        </w:tc>
        <w:tc>
          <w:tcPr>
            <w:tcW w:w="1172"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t>Numeracy</w:t>
            </w:r>
          </w:p>
        </w:tc>
        <w:tc>
          <w:tcPr>
            <w:tcW w:w="805"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t>3</w:t>
            </w:r>
          </w:p>
        </w:tc>
      </w:tr>
    </w:tbl>
    <w:p w:rsidR="00B545D9" w:rsidP="00E354AE">
      <w:pPr>
        <w:pStyle w:val="BodyText"/>
      </w:pPr>
    </w:p>
    <w:p w:rsidR="00B545D9" w:rsidP="00E354AE">
      <w:pPr>
        <w:pStyle w:val="BodyText"/>
      </w:pPr>
    </w:p>
    <w:p w:rsidR="00000000" w:rsidRPr="00E354AE" w:rsidP="00E354AE">
      <w:pPr>
        <w:pStyle w:val="Heading1"/>
      </w:pPr>
      <w:bookmarkStart w:id="14" w:name="O_229594"/>
      <w:bookmarkEnd w:id="14"/>
      <w:r w:rsidRPr="00E354AE">
        <w:t>Competency Field</w:t>
      </w:r>
    </w:p>
    <w:tbl>
      <w:tblPr>
        <w:tblW w:w="0" w:type="auto"/>
        <w:tblLayout w:type="fixed"/>
        <w:tblCellMar>
          <w:left w:w="62" w:type="dxa"/>
          <w:right w:w="62" w:type="dxa"/>
        </w:tblCellMar>
        <w:tblLook w:val="0000"/>
      </w:tblPr>
      <w:tblGrid>
        <w:gridCol w:w="2700"/>
        <w:gridCol w:w="5760"/>
      </w:tblGrid>
      <w:tr w:rsidTr="00B545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354AE">
            <w:pPr>
              <w:pStyle w:val="BodyText"/>
              <w:rPr>
                <w:lang w:val="en-NZ"/>
              </w:rPr>
            </w:pPr>
            <w:r w:rsidRPr="00E354AE">
              <w:rPr>
                <w:rStyle w:val="SpecialBold"/>
              </w:rPr>
              <w:t>4</w:t>
            </w:r>
            <w:r w:rsidRPr="00E354AE">
              <w:t xml:space="preserve">) </w:t>
            </w:r>
          </w:p>
        </w:tc>
      </w:tr>
      <w:tr w:rsidTr="00B545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54AE" w:rsidP="00E354AE">
            <w:pPr>
              <w:pStyle w:val="BodyText"/>
            </w:pPr>
            <w:r w:rsidRPr="00E354AE">
              <w:t>Cathodic protection.</w:t>
            </w:r>
          </w:p>
        </w:tc>
      </w:tr>
    </w:tbl>
    <w:p w:rsidR="00B545D9" w:rsidP="00E354AE">
      <w:pPr>
        <w:pStyle w:val="BodyText"/>
      </w:pPr>
    </w:p>
    <w:p w:rsidR="00B545D9" w:rsidP="00E354AE">
      <w:pPr>
        <w:pStyle w:val="BodyText"/>
      </w:pPr>
    </w:p>
    <w:p w:rsidR="00000000" w:rsidRPr="00E354AE" w:rsidP="00E354AE"/>
    <w:sectPr w:rsidSect="00E354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4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45D9" w:rsidP="00B545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4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5D9" w:rsidP="00E354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545D9" w:rsidP="00E354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545D9" w:rsidP="00E354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4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45D9" w:rsidP="00B545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4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5D9" w:rsidP="00E354AE">
    <w:pPr>
      <w:pStyle w:val="Header"/>
      <w:framePr w:wrap="around"/>
    </w:pPr>
    <w:r>
      <w:fldChar w:fldCharType="begin"/>
    </w:r>
    <w:r>
      <w:instrText xml:space="preserve"> TITLE   \* MERGEFORMAT </w:instrText>
    </w:r>
    <w:r>
      <w:fldChar w:fldCharType="separate"/>
    </w:r>
    <w:r>
      <w:t>UEGNSG402A Install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45D9" w:rsidP="00E354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4883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9E5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E4F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4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54AE"/>
    <w:pPr>
      <w:spacing w:before="360" w:after="60"/>
      <w:outlineLvl w:val="0"/>
    </w:pPr>
    <w:rPr>
      <w:sz w:val="32"/>
    </w:rPr>
  </w:style>
  <w:style w:type="paragraph" w:styleId="Heading2">
    <w:name w:val="heading 2"/>
    <w:basedOn w:val="HeadingBase"/>
    <w:next w:val="BodyText"/>
    <w:link w:val="Heading2Char"/>
    <w:qFormat/>
    <w:rsid w:val="00E354AE"/>
    <w:pPr>
      <w:keepLines/>
      <w:spacing w:before="240" w:after="120"/>
      <w:outlineLvl w:val="1"/>
    </w:pPr>
    <w:rPr>
      <w:sz w:val="28"/>
      <w:szCs w:val="40"/>
    </w:rPr>
  </w:style>
  <w:style w:type="paragraph" w:styleId="Heading3">
    <w:name w:val="heading 3"/>
    <w:basedOn w:val="HeadingBase"/>
    <w:next w:val="BodyText"/>
    <w:link w:val="Heading3Char"/>
    <w:qFormat/>
    <w:rsid w:val="00E354AE"/>
    <w:pPr>
      <w:spacing w:before="180" w:after="120"/>
      <w:outlineLvl w:val="2"/>
    </w:pPr>
    <w:rPr>
      <w:spacing w:val="-10"/>
      <w:kern w:val="32"/>
    </w:rPr>
  </w:style>
  <w:style w:type="paragraph" w:styleId="Heading4">
    <w:name w:val="heading 4"/>
    <w:basedOn w:val="HeadingBase"/>
    <w:next w:val="BodyText"/>
    <w:link w:val="Heading4Char"/>
    <w:qFormat/>
    <w:rsid w:val="00E354AE"/>
    <w:pPr>
      <w:spacing w:before="160" w:after="120"/>
      <w:outlineLvl w:val="3"/>
    </w:pPr>
    <w:rPr>
      <w:sz w:val="22"/>
    </w:rPr>
  </w:style>
  <w:style w:type="paragraph" w:styleId="Heading5">
    <w:name w:val="heading 5"/>
    <w:basedOn w:val="HeadingBase"/>
    <w:next w:val="Normal"/>
    <w:link w:val="Heading5Char"/>
    <w:qFormat/>
    <w:rsid w:val="00E354AE"/>
    <w:pPr>
      <w:spacing w:before="80"/>
      <w:outlineLvl w:val="4"/>
    </w:pPr>
    <w:rPr>
      <w:color w:val="918585"/>
      <w:sz w:val="20"/>
    </w:rPr>
  </w:style>
  <w:style w:type="paragraph" w:styleId="Heading6">
    <w:name w:val="heading 6"/>
    <w:basedOn w:val="HeadingBase"/>
    <w:next w:val="Normal"/>
    <w:link w:val="Heading6Char"/>
    <w:qFormat/>
    <w:rsid w:val="00E354AE"/>
    <w:pPr>
      <w:spacing w:before="60"/>
      <w:outlineLvl w:val="5"/>
    </w:pPr>
    <w:rPr>
      <w:color w:val="918585"/>
      <w:sz w:val="20"/>
    </w:rPr>
  </w:style>
  <w:style w:type="paragraph" w:styleId="Heading7">
    <w:name w:val="heading 7"/>
    <w:basedOn w:val="Normal"/>
    <w:next w:val="Normal"/>
    <w:link w:val="Heading7Char"/>
    <w:qFormat/>
    <w:rsid w:val="00E354AE"/>
    <w:pPr>
      <w:ind w:left="720"/>
      <w:outlineLvl w:val="6"/>
    </w:pPr>
    <w:rPr>
      <w:i/>
    </w:rPr>
  </w:style>
  <w:style w:type="paragraph" w:styleId="Heading8">
    <w:name w:val="heading 8"/>
    <w:basedOn w:val="Normal"/>
    <w:next w:val="Normal"/>
    <w:link w:val="Heading8Char"/>
    <w:qFormat/>
    <w:rsid w:val="00E354AE"/>
    <w:pPr>
      <w:ind w:left="720"/>
      <w:outlineLvl w:val="7"/>
    </w:pPr>
    <w:rPr>
      <w:i/>
    </w:rPr>
  </w:style>
  <w:style w:type="paragraph" w:styleId="Heading9">
    <w:name w:val="heading 9"/>
    <w:basedOn w:val="Normal"/>
    <w:next w:val="Normal"/>
    <w:link w:val="Heading9Char"/>
    <w:qFormat/>
    <w:rsid w:val="00E354AE"/>
    <w:pPr>
      <w:ind w:left="720"/>
      <w:outlineLvl w:val="8"/>
    </w:pPr>
    <w:rPr>
      <w:i/>
    </w:rPr>
  </w:style>
  <w:style w:type="character" w:default="1" w:styleId="DefaultParagraphFont">
    <w:name w:val="Default Paragraph Font"/>
    <w:uiPriority w:val="1"/>
    <w:unhideWhenUsed/>
    <w:rsid w:val="00E354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4AE"/>
  </w:style>
  <w:style w:type="character" w:customStyle="1" w:styleId="Heading1Char">
    <w:name w:val="Heading 1 Char"/>
    <w:basedOn w:val="DefaultParagraphFont"/>
    <w:link w:val="Heading1"/>
    <w:rsid w:val="00E354AE"/>
    <w:rPr>
      <w:rFonts w:ascii="Times New Roman" w:eastAsia="Times New Roman" w:hAnsi="Times New Roman" w:cs="Times New Roman"/>
      <w:b/>
      <w:sz w:val="32"/>
      <w:szCs w:val="20"/>
      <w:lang w:eastAsia="en-US"/>
    </w:rPr>
  </w:style>
  <w:style w:type="paragraph" w:styleId="BodyText">
    <w:name w:val="Body Text"/>
    <w:basedOn w:val="Normal"/>
    <w:link w:val="BodyTextChar"/>
    <w:rsid w:val="00E354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54AE"/>
    <w:rPr>
      <w:rFonts w:ascii="Times New Roman" w:eastAsia="Times New Roman" w:hAnsi="Times New Roman" w:cs="Times New Roman"/>
      <w:sz w:val="24"/>
      <w:lang w:val="en-US" w:eastAsia="en-US"/>
    </w:rPr>
  </w:style>
  <w:style w:type="paragraph" w:styleId="Footer">
    <w:name w:val="footer"/>
    <w:basedOn w:val="Normal"/>
    <w:link w:val="FooterChar"/>
    <w:rsid w:val="00E354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4AE"/>
    <w:rPr>
      <w:rFonts w:ascii="Times New Roman" w:eastAsia="Times New Roman" w:hAnsi="Times New Roman" w:cs="Times New Roman"/>
      <w:sz w:val="16"/>
      <w:lang w:val="en-US" w:eastAsia="en-US"/>
    </w:rPr>
  </w:style>
  <w:style w:type="paragraph" w:styleId="ListBullet">
    <w:name w:val="List Bullet"/>
    <w:basedOn w:val="List"/>
    <w:rsid w:val="00E354AE"/>
    <w:pPr>
      <w:numPr>
        <w:numId w:val="13"/>
      </w:numPr>
      <w:tabs>
        <w:tab w:val="clear" w:pos="340"/>
      </w:tabs>
      <w:spacing w:before="40" w:after="40"/>
    </w:pPr>
  </w:style>
  <w:style w:type="character" w:customStyle="1" w:styleId="SpecialBold">
    <w:name w:val="Special Bold"/>
    <w:basedOn w:val="DefaultParagraphFont"/>
    <w:rsid w:val="00E354AE"/>
    <w:rPr>
      <w:b/>
      <w:spacing w:val="0"/>
    </w:rPr>
  </w:style>
  <w:style w:type="paragraph" w:styleId="ListBullet2">
    <w:name w:val="List Bullet 2"/>
    <w:basedOn w:val="List2"/>
    <w:rsid w:val="00E354AE"/>
    <w:pPr>
      <w:numPr>
        <w:numId w:val="14"/>
      </w:numPr>
      <w:tabs>
        <w:tab w:val="clear" w:pos="680"/>
      </w:tabs>
    </w:pPr>
  </w:style>
  <w:style w:type="paragraph" w:styleId="Header">
    <w:name w:val="header"/>
    <w:basedOn w:val="Normal"/>
    <w:link w:val="HeaderChar"/>
    <w:rsid w:val="00E354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4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54AE"/>
    <w:pPr>
      <w:spacing w:before="240" w:after="120"/>
      <w:outlineLvl w:val="0"/>
    </w:pPr>
    <w:rPr>
      <w:rFonts w:ascii="Times New Roman" w:hAnsi="Times New Roman"/>
      <w:b/>
      <w:sz w:val="28"/>
    </w:rPr>
  </w:style>
  <w:style w:type="paragraph" w:customStyle="1" w:styleId="AllowPageBreak">
    <w:name w:val="AllowPageBreak"/>
    <w:rsid w:val="00E354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54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4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4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4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4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4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54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54AE"/>
    <w:rPr>
      <w:rFonts w:ascii="Courier New" w:eastAsia="Times New Roman" w:hAnsi="Courier New" w:cs="Times New Roman"/>
      <w:i/>
      <w:szCs w:val="20"/>
      <w:lang w:val="en-US" w:eastAsia="en-US"/>
    </w:rPr>
  </w:style>
  <w:style w:type="paragraph" w:customStyle="1" w:styleId="HeadingBase">
    <w:name w:val="Heading Base"/>
    <w:rsid w:val="00E354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4AE"/>
    <w:pPr>
      <w:tabs>
        <w:tab w:val="right" w:leader="dot" w:pos="9072"/>
      </w:tabs>
      <w:ind w:left="567"/>
    </w:pPr>
    <w:rPr>
      <w:szCs w:val="22"/>
    </w:rPr>
  </w:style>
  <w:style w:type="paragraph" w:customStyle="1" w:styleId="TOCBase">
    <w:name w:val="TOC Base"/>
    <w:rsid w:val="00E354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4AE"/>
    <w:pPr>
      <w:tabs>
        <w:tab w:val="right" w:leader="dot" w:pos="9072"/>
      </w:tabs>
      <w:spacing w:before="40" w:after="40"/>
      <w:ind w:left="284"/>
    </w:pPr>
    <w:rPr>
      <w:rFonts w:ascii="Times New Roman" w:hAnsi="Times New Roman"/>
    </w:rPr>
  </w:style>
  <w:style w:type="paragraph" w:styleId="TOC1">
    <w:name w:val="toc 1"/>
    <w:basedOn w:val="TOCBase"/>
    <w:next w:val="Normal"/>
    <w:rsid w:val="00E354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54AE"/>
    <w:pPr>
      <w:spacing w:before="5040"/>
      <w:jc w:val="center"/>
    </w:pPr>
    <w:rPr>
      <w:sz w:val="48"/>
      <w:szCs w:val="72"/>
      <w:lang w:val="en-US"/>
    </w:rPr>
  </w:style>
  <w:style w:type="character" w:customStyle="1" w:styleId="TitleChar">
    <w:name w:val="Title Char"/>
    <w:basedOn w:val="DefaultParagraphFont"/>
    <w:link w:val="Title"/>
    <w:rsid w:val="00E354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4AE"/>
    <w:pPr>
      <w:tabs>
        <w:tab w:val="left" w:pos="3600"/>
        <w:tab w:val="left" w:pos="3958"/>
      </w:tabs>
    </w:pPr>
  </w:style>
  <w:style w:type="paragraph" w:styleId="List">
    <w:name w:val="List"/>
    <w:basedOn w:val="BodyText"/>
    <w:next w:val="BodyText"/>
    <w:rsid w:val="00E354AE"/>
    <w:pPr>
      <w:tabs>
        <w:tab w:val="left" w:pos="340"/>
      </w:tabs>
      <w:spacing w:before="60" w:after="60"/>
      <w:ind w:left="340" w:hanging="340"/>
    </w:pPr>
  </w:style>
  <w:style w:type="paragraph" w:customStyle="1" w:styleId="Note">
    <w:name w:val="Note"/>
    <w:basedOn w:val="BodyText"/>
    <w:rsid w:val="00E354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4AE"/>
    <w:pPr>
      <w:framePr w:wrap="auto" w:hAnchor="text" w:y="6049"/>
    </w:pPr>
    <w:rPr>
      <w:color w:val="000000"/>
      <w:sz w:val="40"/>
    </w:rPr>
  </w:style>
  <w:style w:type="paragraph" w:customStyle="1" w:styleId="TOCTitle">
    <w:name w:val="TOCTitle"/>
    <w:basedOn w:val="Heading1"/>
    <w:rsid w:val="00E354AE"/>
    <w:pPr>
      <w:spacing w:after="240"/>
      <w:jc w:val="center"/>
      <w:outlineLvl w:val="9"/>
    </w:pPr>
    <w:rPr>
      <w:caps/>
    </w:rPr>
  </w:style>
  <w:style w:type="paragraph" w:customStyle="1" w:styleId="Version">
    <w:name w:val="Version"/>
    <w:rsid w:val="00E354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4AE"/>
    <w:pPr>
      <w:keepNext w:val="0"/>
      <w:tabs>
        <w:tab w:val="right" w:pos="4176"/>
      </w:tabs>
      <w:ind w:left="198" w:hanging="198"/>
    </w:pPr>
    <w:rPr>
      <w:rFonts w:ascii="Garamond" w:hAnsi="Garamond"/>
    </w:rPr>
  </w:style>
  <w:style w:type="paragraph" w:styleId="IndexHeading">
    <w:name w:val="index heading"/>
    <w:basedOn w:val="Normal"/>
    <w:next w:val="Index1"/>
    <w:semiHidden/>
    <w:rsid w:val="00E354AE"/>
    <w:pPr>
      <w:spacing w:before="120" w:after="120"/>
    </w:pPr>
    <w:rPr>
      <w:rFonts w:ascii="Arial" w:hAnsi="Arial"/>
      <w:b/>
      <w:color w:val="918585"/>
      <w:sz w:val="24"/>
    </w:rPr>
  </w:style>
  <w:style w:type="paragraph" w:customStyle="1" w:styleId="Chapter">
    <w:name w:val="Chapter"/>
    <w:basedOn w:val="Normal"/>
    <w:rsid w:val="00E354AE"/>
    <w:pPr>
      <w:spacing w:before="240"/>
    </w:pPr>
    <w:rPr>
      <w:rFonts w:ascii="Times New Roman" w:hAnsi="Times New Roman"/>
      <w:smallCaps/>
      <w:spacing w:val="80"/>
      <w:sz w:val="28"/>
    </w:rPr>
  </w:style>
  <w:style w:type="paragraph" w:customStyle="1" w:styleId="InChapter">
    <w:name w:val="InChapter"/>
    <w:basedOn w:val="Heading3"/>
    <w:rsid w:val="00E354AE"/>
    <w:pPr>
      <w:spacing w:after="240"/>
      <w:outlineLvl w:val="9"/>
    </w:pPr>
    <w:rPr>
      <w:noProof/>
    </w:rPr>
  </w:style>
  <w:style w:type="paragraph" w:styleId="Index2">
    <w:name w:val="index 2"/>
    <w:basedOn w:val="Normal"/>
    <w:next w:val="Normal"/>
    <w:semiHidden/>
    <w:rsid w:val="00E354AE"/>
    <w:pPr>
      <w:tabs>
        <w:tab w:val="right" w:pos="4176"/>
      </w:tabs>
      <w:ind w:left="568" w:hanging="284"/>
    </w:pPr>
    <w:rPr>
      <w:rFonts w:ascii="Garamond" w:hAnsi="Garamond"/>
    </w:rPr>
  </w:style>
  <w:style w:type="paragraph" w:customStyle="1" w:styleId="Byline">
    <w:name w:val="Byline"/>
    <w:rsid w:val="00E354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4AE"/>
    <w:pPr>
      <w:tabs>
        <w:tab w:val="clear" w:pos="3600"/>
        <w:tab w:val="clear" w:pos="3958"/>
      </w:tabs>
      <w:jc w:val="right"/>
    </w:pPr>
  </w:style>
  <w:style w:type="character" w:styleId="Emphasis">
    <w:name w:val="Emphasis"/>
    <w:basedOn w:val="DefaultParagraphFont"/>
    <w:qFormat/>
    <w:rsid w:val="00E354AE"/>
    <w:rPr>
      <w:i/>
    </w:rPr>
  </w:style>
  <w:style w:type="paragraph" w:styleId="Caption">
    <w:name w:val="caption"/>
    <w:basedOn w:val="BodyText"/>
    <w:next w:val="Normal"/>
    <w:qFormat/>
    <w:rsid w:val="00E354AE"/>
    <w:pPr>
      <w:framePr w:w="2268" w:hSpace="181" w:vSpace="181" w:wrap="around" w:vAnchor="text" w:hAnchor="page" w:x="1135" w:y="285" w:anchorLock="1"/>
    </w:pPr>
    <w:rPr>
      <w:i/>
    </w:rPr>
  </w:style>
  <w:style w:type="paragraph" w:customStyle="1" w:styleId="MiniTOCTitle">
    <w:name w:val="MiniTOCTitle"/>
    <w:basedOn w:val="Heading4"/>
    <w:rsid w:val="00E354AE"/>
    <w:pPr>
      <w:spacing w:before="240"/>
      <w:outlineLvl w:val="9"/>
    </w:pPr>
    <w:rPr>
      <w:noProof/>
      <w:sz w:val="24"/>
    </w:rPr>
  </w:style>
  <w:style w:type="paragraph" w:customStyle="1" w:styleId="MiniTOCItem">
    <w:name w:val="MiniTOCItem"/>
    <w:basedOn w:val="ListBullet"/>
    <w:rsid w:val="00E354AE"/>
    <w:pPr>
      <w:numPr>
        <w:numId w:val="0"/>
      </w:numPr>
      <w:tabs>
        <w:tab w:val="right" w:leader="dot" w:pos="6521"/>
      </w:tabs>
      <w:spacing w:before="0" w:after="0"/>
    </w:pPr>
  </w:style>
  <w:style w:type="paragraph" w:customStyle="1" w:styleId="TOFTitle">
    <w:name w:val="TOFTitle"/>
    <w:basedOn w:val="TOCTitle"/>
    <w:rsid w:val="00E354AE"/>
  </w:style>
  <w:style w:type="paragraph" w:styleId="TableofFigures">
    <w:name w:val="table of figures"/>
    <w:basedOn w:val="Normal"/>
    <w:next w:val="Normal"/>
    <w:semiHidden/>
    <w:rsid w:val="00E354AE"/>
    <w:pPr>
      <w:tabs>
        <w:tab w:val="right" w:leader="dot" w:pos="9072"/>
      </w:tabs>
      <w:ind w:left="970" w:hanging="403"/>
    </w:pPr>
    <w:rPr>
      <w:rFonts w:ascii="Times New Roman" w:hAnsi="Times New Roman"/>
      <w:b/>
    </w:rPr>
  </w:style>
  <w:style w:type="paragraph" w:styleId="ListNumber">
    <w:name w:val="List Number"/>
    <w:basedOn w:val="List"/>
    <w:rsid w:val="00E354AE"/>
    <w:pPr>
      <w:numPr>
        <w:numId w:val="11"/>
      </w:numPr>
    </w:pPr>
  </w:style>
  <w:style w:type="character" w:customStyle="1" w:styleId="WingdingSymbols">
    <w:name w:val="Wingding Symbols"/>
    <w:rsid w:val="00E354AE"/>
    <w:rPr>
      <w:rFonts w:ascii="Wingdings" w:hAnsi="Wingdings"/>
    </w:rPr>
  </w:style>
  <w:style w:type="paragraph" w:customStyle="1" w:styleId="TableHeading">
    <w:name w:val="Table Heading"/>
    <w:basedOn w:val="HeadingBase"/>
    <w:rsid w:val="00E354AE"/>
    <w:pPr>
      <w:keepLines/>
      <w:pBdr>
        <w:bottom w:val="single" w:sz="6" w:space="1" w:color="918585"/>
      </w:pBdr>
      <w:spacing w:before="240"/>
    </w:pPr>
  </w:style>
  <w:style w:type="character" w:customStyle="1" w:styleId="HotSpot">
    <w:name w:val="HotSpot"/>
    <w:rsid w:val="00E354AE"/>
    <w:rPr>
      <w:color w:val="0033CC"/>
      <w:u w:val="none"/>
    </w:rPr>
  </w:style>
  <w:style w:type="paragraph" w:customStyle="1" w:styleId="BodyTextRight">
    <w:name w:val="Body Text Right"/>
    <w:basedOn w:val="BodyText"/>
    <w:rsid w:val="00E354AE"/>
    <w:pPr>
      <w:spacing w:before="0" w:after="0"/>
      <w:jc w:val="right"/>
    </w:pPr>
  </w:style>
  <w:style w:type="paragraph" w:styleId="Index3">
    <w:name w:val="index 3"/>
    <w:basedOn w:val="ListNumber2"/>
    <w:next w:val="Normal"/>
    <w:semiHidden/>
    <w:rsid w:val="00E354AE"/>
    <w:pPr>
      <w:numPr>
        <w:numId w:val="0"/>
      </w:numPr>
      <w:tabs>
        <w:tab w:val="right" w:leader="dot" w:pos="4176"/>
      </w:tabs>
    </w:pPr>
  </w:style>
  <w:style w:type="paragraph" w:styleId="ListNumber2">
    <w:name w:val="List Number 2"/>
    <w:basedOn w:val="List2"/>
    <w:rsid w:val="00E354AE"/>
    <w:pPr>
      <w:numPr>
        <w:numId w:val="10"/>
      </w:numPr>
      <w:tabs>
        <w:tab w:val="clear" w:pos="1060"/>
      </w:tabs>
    </w:pPr>
  </w:style>
  <w:style w:type="paragraph" w:customStyle="1" w:styleId="MarginNote">
    <w:name w:val="Margin Note"/>
    <w:basedOn w:val="BodyText"/>
    <w:rsid w:val="00E354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4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4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54AE"/>
    <w:rPr>
      <w:sz w:val="32"/>
    </w:rPr>
  </w:style>
  <w:style w:type="paragraph" w:customStyle="1" w:styleId="HeadingProcedure">
    <w:name w:val="Heading Procedure"/>
    <w:basedOn w:val="HeadingBase"/>
    <w:next w:val="Normal"/>
    <w:rsid w:val="00E354AE"/>
    <w:pPr>
      <w:tabs>
        <w:tab w:val="left" w:pos="0"/>
      </w:tabs>
      <w:spacing w:before="120" w:after="60"/>
    </w:pPr>
    <w:rPr>
      <w:i/>
      <w:color w:val="918585"/>
      <w:sz w:val="22"/>
    </w:rPr>
  </w:style>
  <w:style w:type="paragraph" w:customStyle="1" w:styleId="TableBodyText">
    <w:name w:val="Table Body Text"/>
    <w:basedOn w:val="BodyText"/>
    <w:rsid w:val="00E354AE"/>
    <w:pPr>
      <w:spacing w:before="60" w:after="60"/>
    </w:pPr>
  </w:style>
  <w:style w:type="paragraph" w:styleId="ListContinue">
    <w:name w:val="List Continue"/>
    <w:basedOn w:val="List"/>
    <w:rsid w:val="00E354AE"/>
    <w:pPr>
      <w:ind w:firstLine="0"/>
    </w:pPr>
  </w:style>
  <w:style w:type="paragraph" w:customStyle="1" w:styleId="ListNote">
    <w:name w:val="List Note"/>
    <w:basedOn w:val="List"/>
    <w:rsid w:val="00E354AE"/>
    <w:pPr>
      <w:pBdr>
        <w:top w:val="single" w:sz="6" w:space="2" w:color="918585"/>
        <w:bottom w:val="single" w:sz="6" w:space="2" w:color="918585"/>
      </w:pBdr>
      <w:tabs>
        <w:tab w:val="left" w:pos="1021"/>
      </w:tabs>
      <w:ind w:firstLine="0"/>
    </w:pPr>
  </w:style>
  <w:style w:type="paragraph" w:customStyle="1" w:styleId="Warning">
    <w:name w:val="Warning"/>
    <w:basedOn w:val="BodyText"/>
    <w:rsid w:val="00E354AE"/>
    <w:pPr>
      <w:shd w:val="clear" w:color="auto" w:fill="D9D9D9"/>
      <w:tabs>
        <w:tab w:val="left" w:pos="992"/>
      </w:tabs>
      <w:ind w:left="119" w:right="119"/>
    </w:pPr>
    <w:rPr>
      <w:sz w:val="20"/>
    </w:rPr>
  </w:style>
  <w:style w:type="paragraph" w:customStyle="1" w:styleId="MarginIcons">
    <w:name w:val="Margin Icons"/>
    <w:basedOn w:val="BodyText"/>
    <w:rsid w:val="00E354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4AE"/>
    <w:rPr>
      <w:rFonts w:ascii="Courier New" w:hAnsi="Courier New"/>
    </w:rPr>
  </w:style>
  <w:style w:type="paragraph" w:customStyle="1" w:styleId="NoteBullet">
    <w:name w:val="Note Bullet"/>
    <w:basedOn w:val="Note"/>
    <w:rsid w:val="00E354AE"/>
    <w:pPr>
      <w:tabs>
        <w:tab w:val="clear" w:pos="680"/>
      </w:tabs>
      <w:spacing w:before="60" w:after="60"/>
    </w:pPr>
  </w:style>
  <w:style w:type="paragraph" w:customStyle="1" w:styleId="SubHeading2">
    <w:name w:val="SubHeading2"/>
    <w:basedOn w:val="HeadingBase"/>
    <w:rsid w:val="00E354AE"/>
    <w:pPr>
      <w:spacing w:before="240" w:after="60"/>
    </w:pPr>
    <w:rPr>
      <w:sz w:val="20"/>
    </w:rPr>
  </w:style>
  <w:style w:type="paragraph" w:customStyle="1" w:styleId="SubHeading1">
    <w:name w:val="SubHeading1"/>
    <w:basedOn w:val="HeadingBase"/>
    <w:rsid w:val="00E354AE"/>
    <w:pPr>
      <w:spacing w:before="240" w:after="60"/>
    </w:pPr>
    <w:rPr>
      <w:color w:val="918585"/>
      <w:sz w:val="22"/>
    </w:rPr>
  </w:style>
  <w:style w:type="paragraph" w:customStyle="1" w:styleId="SideHeading">
    <w:name w:val="Side Heading"/>
    <w:basedOn w:val="HeadingBase"/>
    <w:rsid w:val="00E354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4AE"/>
    <w:pPr>
      <w:numPr>
        <w:numId w:val="12"/>
      </w:numPr>
    </w:pPr>
  </w:style>
  <w:style w:type="paragraph" w:styleId="PlainText">
    <w:name w:val="Plain Text"/>
    <w:basedOn w:val="Normal"/>
    <w:link w:val="PlainTextChar"/>
    <w:rsid w:val="00E354AE"/>
    <w:rPr>
      <w:sz w:val="20"/>
    </w:rPr>
  </w:style>
  <w:style w:type="character" w:customStyle="1" w:styleId="PlainTextChar">
    <w:name w:val="Plain Text Char"/>
    <w:basedOn w:val="DefaultParagraphFont"/>
    <w:link w:val="PlainText"/>
    <w:rsid w:val="00E354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54AE"/>
    <w:rPr>
      <w:b/>
      <w:smallCaps/>
    </w:rPr>
  </w:style>
  <w:style w:type="paragraph" w:customStyle="1" w:styleId="TableListNumber">
    <w:name w:val="Table List Number"/>
    <w:basedOn w:val="ListNumber"/>
    <w:rsid w:val="00E354AE"/>
    <w:pPr>
      <w:numPr>
        <w:numId w:val="0"/>
      </w:numPr>
    </w:pPr>
  </w:style>
  <w:style w:type="paragraph" w:styleId="TOC4">
    <w:name w:val="toc 4"/>
    <w:basedOn w:val="TOCBase"/>
    <w:next w:val="Normal"/>
    <w:semiHidden/>
    <w:rsid w:val="00E354AE"/>
    <w:pPr>
      <w:tabs>
        <w:tab w:val="right" w:leader="dot" w:pos="9071"/>
      </w:tabs>
      <w:ind w:left="1701"/>
    </w:pPr>
  </w:style>
  <w:style w:type="paragraph" w:customStyle="1" w:styleId="ListAlpha">
    <w:name w:val="List Alpha"/>
    <w:basedOn w:val="List"/>
    <w:rsid w:val="00E354AE"/>
    <w:pPr>
      <w:numPr>
        <w:numId w:val="9"/>
      </w:numPr>
    </w:pPr>
  </w:style>
  <w:style w:type="paragraph" w:customStyle="1" w:styleId="ListAlpha2">
    <w:name w:val="List Alpha 2"/>
    <w:basedOn w:val="List2"/>
    <w:rsid w:val="00E354AE"/>
    <w:pPr>
      <w:numPr>
        <w:numId w:val="8"/>
      </w:numPr>
    </w:pPr>
  </w:style>
  <w:style w:type="paragraph" w:styleId="List2">
    <w:name w:val="List 2"/>
    <w:basedOn w:val="BodyText"/>
    <w:rsid w:val="00E354AE"/>
    <w:pPr>
      <w:tabs>
        <w:tab w:val="left" w:pos="680"/>
      </w:tabs>
      <w:spacing w:before="60" w:after="60"/>
      <w:ind w:left="680" w:hanging="340"/>
    </w:pPr>
  </w:style>
  <w:style w:type="paragraph" w:styleId="List3">
    <w:name w:val="List 3"/>
    <w:basedOn w:val="BodyText"/>
    <w:rsid w:val="00E354AE"/>
    <w:pPr>
      <w:tabs>
        <w:tab w:val="left" w:pos="1021"/>
      </w:tabs>
      <w:spacing w:before="60" w:after="60"/>
      <w:ind w:left="1020" w:hanging="340"/>
    </w:pPr>
  </w:style>
  <w:style w:type="paragraph" w:styleId="List4">
    <w:name w:val="List 4"/>
    <w:basedOn w:val="BodyText"/>
    <w:rsid w:val="00E354AE"/>
    <w:pPr>
      <w:tabs>
        <w:tab w:val="left" w:pos="1361"/>
      </w:tabs>
      <w:spacing w:before="60" w:after="60"/>
      <w:ind w:left="1361" w:hanging="340"/>
    </w:pPr>
  </w:style>
  <w:style w:type="paragraph" w:styleId="List5">
    <w:name w:val="List 5"/>
    <w:basedOn w:val="BodyText"/>
    <w:rsid w:val="00E354AE"/>
    <w:pPr>
      <w:tabs>
        <w:tab w:val="left" w:pos="1701"/>
      </w:tabs>
      <w:spacing w:before="60" w:after="60"/>
      <w:ind w:left="1701" w:hanging="340"/>
    </w:pPr>
  </w:style>
  <w:style w:type="paragraph" w:styleId="ListBullet3">
    <w:name w:val="List Bullet 3"/>
    <w:basedOn w:val="List3"/>
    <w:rsid w:val="00E354AE"/>
    <w:pPr>
      <w:numPr>
        <w:numId w:val="15"/>
      </w:numPr>
      <w:tabs>
        <w:tab w:val="clear" w:pos="1021"/>
      </w:tabs>
      <w:ind w:left="1037" w:hanging="357"/>
    </w:pPr>
  </w:style>
  <w:style w:type="paragraph" w:styleId="ListBullet4">
    <w:name w:val="List Bullet 4"/>
    <w:basedOn w:val="List4"/>
    <w:rsid w:val="00E354AE"/>
    <w:pPr>
      <w:numPr>
        <w:numId w:val="3"/>
      </w:numPr>
    </w:pPr>
  </w:style>
  <w:style w:type="paragraph" w:styleId="ListBullet5">
    <w:name w:val="List Bullet 5"/>
    <w:basedOn w:val="List5"/>
    <w:rsid w:val="00E354AE"/>
    <w:pPr>
      <w:numPr>
        <w:numId w:val="4"/>
      </w:numPr>
    </w:pPr>
  </w:style>
  <w:style w:type="paragraph" w:styleId="ListContinue2">
    <w:name w:val="List Continue 2"/>
    <w:basedOn w:val="List2"/>
    <w:rsid w:val="00E354AE"/>
    <w:pPr>
      <w:ind w:firstLine="0"/>
    </w:pPr>
  </w:style>
  <w:style w:type="paragraph" w:styleId="ListContinue3">
    <w:name w:val="List Continue 3"/>
    <w:basedOn w:val="List3"/>
    <w:rsid w:val="00E354AE"/>
    <w:pPr>
      <w:ind w:left="1021" w:firstLine="0"/>
    </w:pPr>
  </w:style>
  <w:style w:type="paragraph" w:styleId="ListContinue4">
    <w:name w:val="List Continue 4"/>
    <w:basedOn w:val="List4"/>
    <w:rsid w:val="00E354AE"/>
    <w:pPr>
      <w:ind w:firstLine="0"/>
    </w:pPr>
  </w:style>
  <w:style w:type="paragraph" w:styleId="ListContinue5">
    <w:name w:val="List Continue 5"/>
    <w:basedOn w:val="List5"/>
    <w:rsid w:val="00E354AE"/>
    <w:pPr>
      <w:ind w:firstLine="0"/>
    </w:pPr>
  </w:style>
  <w:style w:type="paragraph" w:styleId="ListNumber3">
    <w:name w:val="List Number 3"/>
    <w:basedOn w:val="List3"/>
    <w:rsid w:val="00E354AE"/>
    <w:pPr>
      <w:numPr>
        <w:numId w:val="5"/>
      </w:numPr>
    </w:pPr>
  </w:style>
  <w:style w:type="paragraph" w:styleId="ListNumber4">
    <w:name w:val="List Number 4"/>
    <w:basedOn w:val="List4"/>
    <w:rsid w:val="00E354AE"/>
    <w:pPr>
      <w:numPr>
        <w:numId w:val="6"/>
      </w:numPr>
    </w:pPr>
  </w:style>
  <w:style w:type="paragraph" w:styleId="ListNumber5">
    <w:name w:val="List Number 5"/>
    <w:basedOn w:val="List5"/>
    <w:rsid w:val="00E354AE"/>
    <w:pPr>
      <w:numPr>
        <w:numId w:val="7"/>
      </w:numPr>
    </w:pPr>
  </w:style>
  <w:style w:type="paragraph" w:styleId="BlockText">
    <w:name w:val="Block Text"/>
    <w:basedOn w:val="Normal"/>
    <w:rsid w:val="00E354AE"/>
    <w:pPr>
      <w:spacing w:after="120"/>
      <w:ind w:left="1440" w:right="1440"/>
    </w:pPr>
  </w:style>
  <w:style w:type="character" w:customStyle="1" w:styleId="Subscript">
    <w:name w:val="Subscript"/>
    <w:basedOn w:val="DefaultParagraphFont"/>
    <w:rsid w:val="00E354AE"/>
    <w:rPr>
      <w:sz w:val="16"/>
      <w:vertAlign w:val="subscript"/>
    </w:rPr>
  </w:style>
  <w:style w:type="character" w:customStyle="1" w:styleId="Superscript">
    <w:name w:val="Superscript"/>
    <w:basedOn w:val="DefaultParagraphFont"/>
    <w:rsid w:val="00E354AE"/>
    <w:rPr>
      <w:sz w:val="16"/>
      <w:vertAlign w:val="superscript"/>
    </w:rPr>
  </w:style>
  <w:style w:type="character" w:customStyle="1" w:styleId="Symbols">
    <w:name w:val="Symbols"/>
    <w:basedOn w:val="DefaultParagraphFont"/>
    <w:rsid w:val="00E354AE"/>
    <w:rPr>
      <w:rFonts w:ascii="Symbol" w:hAnsi="Symbol"/>
    </w:rPr>
  </w:style>
  <w:style w:type="character" w:customStyle="1" w:styleId="MenuOptions">
    <w:name w:val="Menu Options"/>
    <w:basedOn w:val="DefaultParagraphFont"/>
    <w:rsid w:val="00E354AE"/>
    <w:rPr>
      <w:rFonts w:ascii="Arial Narrow" w:hAnsi="Arial Narrow"/>
      <w:smallCaps/>
    </w:rPr>
  </w:style>
  <w:style w:type="character" w:customStyle="1" w:styleId="Buttons">
    <w:name w:val="Buttons"/>
    <w:basedOn w:val="DefaultParagraphFont"/>
    <w:rsid w:val="00E354AE"/>
    <w:rPr>
      <w:b/>
    </w:rPr>
  </w:style>
  <w:style w:type="character" w:customStyle="1" w:styleId="Underlined">
    <w:name w:val="Underlined"/>
    <w:basedOn w:val="DefaultParagraphFont"/>
    <w:rsid w:val="00E354AE"/>
    <w:rPr>
      <w:u w:val="single"/>
    </w:rPr>
  </w:style>
  <w:style w:type="paragraph" w:customStyle="1" w:styleId="TableBodyTextRight">
    <w:name w:val="Table Body Text Right"/>
    <w:basedOn w:val="TableBodyText"/>
    <w:rsid w:val="00E354AE"/>
    <w:pPr>
      <w:widowControl w:val="0"/>
      <w:autoSpaceDE w:val="0"/>
      <w:autoSpaceDN w:val="0"/>
      <w:adjustRightInd w:val="0"/>
      <w:jc w:val="right"/>
    </w:pPr>
    <w:rPr>
      <w:rFonts w:cs="Arial"/>
      <w:szCs w:val="18"/>
    </w:rPr>
  </w:style>
  <w:style w:type="paragraph" w:customStyle="1" w:styleId="CopyrightText">
    <w:name w:val="Copyright Text"/>
    <w:basedOn w:val="BodyText"/>
    <w:rsid w:val="00E354AE"/>
    <w:rPr>
      <w:sz w:val="18"/>
    </w:rPr>
  </w:style>
  <w:style w:type="paragraph" w:customStyle="1" w:styleId="BodySmallRight">
    <w:name w:val="Body Small Right"/>
    <w:basedOn w:val="BodyTextRight"/>
    <w:rsid w:val="00E354AE"/>
    <w:rPr>
      <w:sz w:val="18"/>
      <w:szCs w:val="18"/>
    </w:rPr>
  </w:style>
  <w:style w:type="paragraph" w:customStyle="1" w:styleId="MarginEdition">
    <w:name w:val="Margin Edition"/>
    <w:basedOn w:val="MarginNote"/>
    <w:rsid w:val="00E354AE"/>
    <w:pPr>
      <w:spacing w:before="0" w:after="0"/>
    </w:pPr>
    <w:rPr>
      <w:rFonts w:ascii="Times New Roman" w:hAnsi="Times New Roman"/>
      <w:color w:val="999999"/>
    </w:rPr>
  </w:style>
  <w:style w:type="paragraph" w:customStyle="1" w:styleId="Spacer">
    <w:name w:val="Spacer"/>
    <w:basedOn w:val="Normal"/>
    <w:rsid w:val="00E354AE"/>
    <w:rPr>
      <w:sz w:val="2"/>
      <w:szCs w:val="2"/>
    </w:rPr>
  </w:style>
  <w:style w:type="character" w:customStyle="1" w:styleId="Small">
    <w:name w:val="Small"/>
    <w:basedOn w:val="DefaultParagraphFont"/>
    <w:rsid w:val="00E354AE"/>
    <w:rPr>
      <w:sz w:val="16"/>
    </w:rPr>
  </w:style>
  <w:style w:type="paragraph" w:customStyle="1" w:styleId="WideTable">
    <w:name w:val="Wide Table"/>
    <w:basedOn w:val="Normal"/>
    <w:rsid w:val="00E354AE"/>
    <w:pPr>
      <w:ind w:left="-1418"/>
    </w:pPr>
    <w:rPr>
      <w:sz w:val="2"/>
      <w:szCs w:val="2"/>
    </w:rPr>
  </w:style>
  <w:style w:type="character" w:styleId="PageNumber">
    <w:name w:val="page number"/>
    <w:basedOn w:val="DefaultParagraphFont"/>
    <w:rsid w:val="00E354AE"/>
  </w:style>
  <w:style w:type="paragraph" w:styleId="Quote">
    <w:name w:val="Quote"/>
    <w:basedOn w:val="Heading1"/>
    <w:link w:val="QuoteChar"/>
    <w:qFormat/>
    <w:rsid w:val="00E354AE"/>
    <w:rPr>
      <w:b w:val="0"/>
      <w:sz w:val="72"/>
      <w:szCs w:val="72"/>
      <w:lang w:val="en-NZ"/>
    </w:rPr>
  </w:style>
  <w:style w:type="character" w:customStyle="1" w:styleId="QuoteChar">
    <w:name w:val="Quote Char"/>
    <w:basedOn w:val="DefaultParagraphFont"/>
    <w:link w:val="Quote"/>
    <w:rsid w:val="00E354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4AE"/>
    <w:pPr>
      <w:pageBreakBefore/>
    </w:pPr>
  </w:style>
  <w:style w:type="paragraph" w:customStyle="1" w:styleId="Border">
    <w:name w:val="Border"/>
    <w:basedOn w:val="Normal"/>
    <w:qFormat/>
    <w:rsid w:val="00E354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4AE"/>
    <w:rPr>
      <w:b/>
      <w:bCs/>
      <w:i/>
      <w:iCs/>
      <w:color w:val="auto"/>
    </w:rPr>
  </w:style>
  <w:style w:type="paragraph" w:styleId="IntenseQuote">
    <w:name w:val="Intense Quote"/>
    <w:basedOn w:val="Normal"/>
    <w:next w:val="Normal"/>
    <w:link w:val="IntenseQuoteChar"/>
    <w:uiPriority w:val="30"/>
    <w:qFormat/>
    <w:rsid w:val="00E354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4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54AE"/>
    <w:rPr>
      <w:smallCaps/>
      <w:color w:val="auto"/>
      <w:u w:val="single"/>
    </w:rPr>
  </w:style>
  <w:style w:type="character" w:styleId="IntenseReference">
    <w:name w:val="Intense Reference"/>
    <w:basedOn w:val="DefaultParagraphFont"/>
    <w:uiPriority w:val="32"/>
    <w:qFormat/>
    <w:rsid w:val="00E354AE"/>
    <w:rPr>
      <w:b/>
      <w:bCs/>
      <w:smallCaps/>
      <w:color w:val="auto"/>
      <w:spacing w:val="5"/>
      <w:u w:val="single"/>
    </w:rPr>
  </w:style>
  <w:style w:type="paragraph" w:customStyle="1" w:styleId="2ColumnHeading">
    <w:name w:val="2Column Heading"/>
    <w:basedOn w:val="BodyText"/>
    <w:qFormat/>
    <w:rsid w:val="00E354AE"/>
    <w:pPr>
      <w:spacing w:after="60"/>
      <w:ind w:left="-2268"/>
    </w:pPr>
    <w:rPr>
      <w:b/>
    </w:rPr>
  </w:style>
  <w:style w:type="paragraph" w:customStyle="1" w:styleId="Heading1TOC">
    <w:name w:val="Heading1 TOC"/>
    <w:basedOn w:val="Normal"/>
    <w:qFormat/>
    <w:rsid w:val="00E354AE"/>
    <w:pPr>
      <w:spacing w:before="240" w:after="120"/>
    </w:pPr>
    <w:rPr>
      <w:rFonts w:ascii="Times New Roman" w:hAnsi="Times New Roman"/>
      <w:b/>
      <w:sz w:val="32"/>
    </w:rPr>
  </w:style>
  <w:style w:type="paragraph" w:customStyle="1" w:styleId="Heading2TOC">
    <w:name w:val="Heading2 TOC"/>
    <w:basedOn w:val="Normal"/>
    <w:qFormat/>
    <w:rsid w:val="00E354AE"/>
    <w:pPr>
      <w:spacing w:before="240" w:after="60"/>
    </w:pPr>
    <w:rPr>
      <w:rFonts w:ascii="Times New Roman" w:hAnsi="Times New Roman"/>
      <w:b/>
      <w:sz w:val="28"/>
    </w:rPr>
  </w:style>
  <w:style w:type="character" w:customStyle="1" w:styleId="Underline">
    <w:name w:val="Underline"/>
    <w:basedOn w:val="DefaultParagraphFont"/>
    <w:qFormat/>
    <w:rsid w:val="00E354AE"/>
    <w:rPr>
      <w:u w:val="single"/>
    </w:rPr>
  </w:style>
  <w:style w:type="character" w:customStyle="1" w:styleId="BoldandItalics">
    <w:name w:val="Bold and Italics"/>
    <w:qFormat/>
    <w:rsid w:val="00E354AE"/>
    <w:rPr>
      <w:b/>
      <w:i/>
      <w:u w:val="none"/>
    </w:rPr>
  </w:style>
  <w:style w:type="paragraph" w:styleId="BalloonText">
    <w:name w:val="Balloon Text"/>
    <w:basedOn w:val="Normal"/>
    <w:link w:val="BalloonTextChar"/>
    <w:rsid w:val="00E354AE"/>
    <w:rPr>
      <w:rFonts w:ascii="Tahoma" w:hAnsi="Tahoma" w:cs="Tahoma"/>
      <w:sz w:val="16"/>
      <w:szCs w:val="16"/>
    </w:rPr>
  </w:style>
  <w:style w:type="character" w:customStyle="1" w:styleId="BalloonTextChar">
    <w:name w:val="Balloon Text Char"/>
    <w:basedOn w:val="DefaultParagraphFont"/>
    <w:link w:val="BalloonText"/>
    <w:rsid w:val="00E354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54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54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2579</Words>
  <Characters>15505</Characters>
  <Application>Microsoft Office Word</Application>
  <DocSecurity>0</DocSecurity>
  <Lines>749</Lines>
  <Paragraphs>301</Paragraphs>
  <ScaleCrop>false</ScaleCrop>
  <Company>Author-it Software Corporation Ltd.</Company>
  <LinksUpToDate>false</LinksUpToDate>
  <CharactersWithSpaces>17826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UEGNSG402A Install cathodic protection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2012-05-26T22:09:00Z</dcterms:created>
  <dcterms:modified xsi:type="dcterms:W3CDTF">2012-05-26T22:09:00Z</dcterms:modified>
</cp:coreProperties>
</file>