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0D1" w:rsidP="004720D1">
      <w:pPr>
        <w:pStyle w:val="Title"/>
      </w:pPr>
      <w:r>
        <w:fldChar w:fldCharType="begin"/>
      </w:r>
      <w:r>
        <w:instrText xml:space="preserve"> TITLE   \* MERGEFORMAT </w:instrText>
      </w:r>
      <w:r>
        <w:fldChar w:fldCharType="separate"/>
      </w:r>
      <w:r>
        <w:t>UEGNSG401A Maintain cathodic protection systems</w:t>
      </w:r>
      <w:r>
        <w:fldChar w:fldCharType="end"/>
      </w:r>
    </w:p>
    <w:p w:rsidR="004720D1" w:rsidP="004720D1">
      <w:pPr>
        <w:pStyle w:val="Version"/>
        <w:sectPr w:rsidSect="00911B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B7B" w:rsidP="00911B7B">
      <w:pPr>
        <w:pStyle w:val="SuperHeading"/>
      </w:pPr>
      <w:r w:rsidRPr="00911B7B">
        <w:t>UEGNSG401A Maintain cathodic protection systems</w:t>
      </w:r>
    </w:p>
    <w:p w:rsidR="00000000" w:rsidRPr="00911B7B" w:rsidP="00911B7B">
      <w:pPr>
        <w:pStyle w:val="Heading1"/>
      </w:pPr>
      <w:bookmarkStart w:id="1" w:name="O_275127"/>
      <w:bookmarkEnd w:id="1"/>
      <w:r w:rsidRPr="00911B7B">
        <w:t>Modification History</w:t>
      </w:r>
    </w:p>
    <w:p w:rsidR="00000000" w:rsidRPr="00911B7B" w:rsidP="00911B7B">
      <w:pPr>
        <w:pStyle w:val="BodyText"/>
      </w:pPr>
      <w:r w:rsidRPr="00911B7B">
        <w:t>Not Applicable</w:t>
      </w:r>
    </w:p>
    <w:p w:rsidR="00000000" w:rsidRPr="00911B7B" w:rsidP="00911B7B">
      <w:pPr>
        <w:pStyle w:val="AllowPageBreak"/>
      </w:pPr>
    </w:p>
    <w:p w:rsidR="00000000" w:rsidRPr="00911B7B" w:rsidP="00911B7B">
      <w:pPr>
        <w:pStyle w:val="Heading1"/>
      </w:pPr>
      <w:bookmarkStart w:id="2" w:name="O_229583"/>
      <w:bookmarkEnd w:id="2"/>
      <w:r w:rsidRPr="00911B7B">
        <w:t>Unit Descriptor</w:t>
      </w:r>
    </w:p>
    <w:tbl>
      <w:tblPr>
        <w:tblW w:w="0" w:type="auto"/>
        <w:tblLayout w:type="fixed"/>
        <w:tblCellMar>
          <w:left w:w="62" w:type="dxa"/>
          <w:right w:w="62" w:type="dxa"/>
        </w:tblCellMar>
        <w:tblLook w:val="0000"/>
      </w:tblPr>
      <w:tblGrid>
        <w:gridCol w:w="2700"/>
        <w:gridCol w:w="5760"/>
      </w:tblGrid>
      <w:tr w:rsidTr="004720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1</w:t>
            </w:r>
            <w:r w:rsidRPr="00911B7B">
              <w:t xml:space="preserve">) </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This Unit covers maintaining of cathodic protection (CP) to prevent corrosion in steel pipelines. The competency standard covers the types of cathodic protection faults, the applicable Australian Standards as well as the location and the type of electrical</w:t>
            </w:r>
            <w:r w:rsidRPr="00911B7B">
              <w:t xml:space="preserve"> equipment used and the testing procedures and related maintenance requirements.</w:t>
            </w:r>
          </w:p>
        </w:tc>
      </w:tr>
    </w:tbl>
    <w:p w:rsidR="004720D1" w:rsidP="00911B7B">
      <w:pPr>
        <w:pStyle w:val="BodyText"/>
      </w:pPr>
    </w:p>
    <w:p w:rsidR="004720D1" w:rsidP="00911B7B">
      <w:pPr>
        <w:pStyle w:val="BodyText"/>
      </w:pPr>
    </w:p>
    <w:p w:rsidR="00000000" w:rsidRPr="00911B7B" w:rsidP="00911B7B">
      <w:pPr>
        <w:pStyle w:val="Heading1"/>
      </w:pPr>
      <w:bookmarkStart w:id="3" w:name="O_229586"/>
      <w:bookmarkEnd w:id="3"/>
      <w:r w:rsidRPr="00911B7B">
        <w:t>Application of the Unit</w:t>
      </w:r>
    </w:p>
    <w:tbl>
      <w:tblPr>
        <w:tblW w:w="0" w:type="auto"/>
        <w:tblLayout w:type="fixed"/>
        <w:tblCellMar>
          <w:left w:w="62" w:type="dxa"/>
          <w:right w:w="62" w:type="dxa"/>
        </w:tblCellMar>
        <w:tblLook w:val="0000"/>
      </w:tblPr>
      <w:tblGrid>
        <w:gridCol w:w="2700"/>
        <w:gridCol w:w="5760"/>
      </w:tblGrid>
      <w:tr w:rsidTr="004720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3</w:t>
            </w:r>
            <w:r w:rsidRPr="00911B7B">
              <w:t>)</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This competency standard shall apply to any basic and safe work site where Gas Industry operations occ</w:t>
            </w:r>
            <w:r w:rsidRPr="00911B7B">
              <w:t>ur. It could also apply, where applicable to other workplaces in the electricity supply industry (transmission and distribution and generation), the electrotechnology industry and the water industry, subject to all Occupational Health and Safety and duty o</w:t>
            </w:r>
            <w:r w:rsidRPr="00911B7B">
              <w:t>f care requirements being met for the workplace.</w:t>
            </w:r>
          </w:p>
        </w:tc>
      </w:tr>
    </w:tbl>
    <w:p w:rsidR="004720D1" w:rsidP="00911B7B">
      <w:pPr>
        <w:pStyle w:val="BodyText"/>
      </w:pPr>
    </w:p>
    <w:p w:rsidR="004720D1" w:rsidP="00911B7B">
      <w:pPr>
        <w:pStyle w:val="BodyText"/>
      </w:pPr>
    </w:p>
    <w:p w:rsidR="00000000" w:rsidRPr="00911B7B" w:rsidP="00911B7B">
      <w:pPr>
        <w:pStyle w:val="Heading1"/>
      </w:pPr>
      <w:bookmarkStart w:id="4" w:name="O_229587"/>
      <w:bookmarkEnd w:id="4"/>
      <w:r w:rsidRPr="00911B7B">
        <w:t>Licensing/Regulatory Information</w:t>
      </w:r>
    </w:p>
    <w:tbl>
      <w:tblPr>
        <w:tblW w:w="0" w:type="auto"/>
        <w:tblLayout w:type="fixed"/>
        <w:tblCellMar>
          <w:left w:w="62" w:type="dxa"/>
          <w:right w:w="62" w:type="dxa"/>
        </w:tblCellMar>
        <w:tblLook w:val="0000"/>
      </w:tblPr>
      <w:tblGrid>
        <w:gridCol w:w="2700"/>
        <w:gridCol w:w="5760"/>
      </w:tblGrid>
      <w:tr w:rsidTr="004720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3</w:t>
            </w:r>
            <w:r w:rsidRPr="00911B7B">
              <w:t>.</w:t>
            </w:r>
            <w:r w:rsidRPr="00911B7B">
              <w:rPr>
                <w:rStyle w:val="SpecialBold"/>
              </w:rPr>
              <w:t>1</w:t>
            </w:r>
            <w:r w:rsidRPr="00911B7B">
              <w:t xml:space="preserve">) </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The skills and knowledge described in this unit are not subject to licence regulation other than those directly related</w:t>
            </w:r>
            <w:r w:rsidRPr="00911B7B">
              <w:t xml:space="preserve"> to Occupational Health and Safety, gas/electricity/water industry safety and compliance, industrial relations, environmental protection, telecommunications, anti discrimination and training. </w:t>
            </w:r>
            <w:r w:rsidRPr="00911B7B">
              <w:t>Commonwealth, State/Territory or Local Government legislation an</w:t>
            </w:r>
            <w:r w:rsidRPr="00911B7B">
              <w:t>d regulations may exist that limits the age of operating certain equipment.</w:t>
            </w:r>
          </w:p>
        </w:tc>
      </w:tr>
    </w:tbl>
    <w:p w:rsidR="004720D1" w:rsidP="00911B7B">
      <w:pPr>
        <w:pStyle w:val="BodyText"/>
      </w:pPr>
    </w:p>
    <w:p w:rsidR="004720D1" w:rsidP="00911B7B">
      <w:pPr>
        <w:pStyle w:val="BodyText"/>
      </w:pPr>
    </w:p>
    <w:p w:rsidR="00000000" w:rsidRPr="00911B7B" w:rsidP="00911B7B">
      <w:pPr>
        <w:pStyle w:val="Heading1"/>
      </w:pPr>
      <w:bookmarkStart w:id="5" w:name="O_229584"/>
      <w:bookmarkEnd w:id="5"/>
      <w:r w:rsidRPr="00911B7B">
        <w:t>Pre-Requisites</w:t>
      </w:r>
    </w:p>
    <w:tbl>
      <w:tblPr>
        <w:tblW w:w="0" w:type="auto"/>
        <w:tblLayout w:type="fixed"/>
        <w:tblCellMar>
          <w:left w:w="62" w:type="dxa"/>
          <w:right w:w="62" w:type="dxa"/>
        </w:tblCellMar>
        <w:tblLook w:val="0000"/>
      </w:tblPr>
      <w:tblGrid>
        <w:gridCol w:w="2700"/>
        <w:gridCol w:w="1800"/>
        <w:gridCol w:w="3960"/>
      </w:tblGrid>
      <w:tr w:rsidTr="004720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Prerequisite Unit</w:t>
            </w:r>
            <w:r w:rsidRPr="00911B7B">
              <w:t>(</w:t>
            </w:r>
            <w:r w:rsidRPr="00911B7B">
              <w:rPr>
                <w:rStyle w:val="SpecialBold"/>
              </w:rPr>
              <w:t>s</w:t>
            </w:r>
            <w:r w:rsidRPr="00911B7B">
              <w:t>)</w:t>
            </w:r>
          </w:p>
        </w:tc>
        <w:tc>
          <w:tcPr>
            <w:tcW w:w="5760" w:type="dxa"/>
            <w:gridSpan w:val="2"/>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2</w:t>
            </w:r>
            <w:r w:rsidRPr="00911B7B">
              <w:t xml:space="preserve">) </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2</w:t>
            </w:r>
            <w:r w:rsidRPr="00911B7B">
              <w:t>.</w:t>
            </w:r>
            <w:r w:rsidRPr="00911B7B">
              <w:rPr>
                <w:rStyle w:val="SpecialBold"/>
              </w:rPr>
              <w:t>1</w:t>
            </w:r>
            <w:r w:rsidRPr="00911B7B">
              <w:t xml:space="preserve">) </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Gr</w:t>
            </w:r>
            <w:r w:rsidRPr="00911B7B">
              <w:t>anting of competency in this unit shall be made only after competency in the following unit(s) has/have been confirmed:</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Nil</w:t>
            </w:r>
          </w:p>
        </w:tc>
        <w:tc>
          <w:tcPr>
            <w:tcW w:w="3960" w:type="dxa"/>
            <w:tcBorders>
              <w:top w:val="nil"/>
              <w:left w:val="nil"/>
              <w:bottom w:val="nil"/>
              <w:right w:val="nil"/>
            </w:tcBorders>
            <w:tcMar>
              <w:top w:w="0" w:type="dxa"/>
              <w:left w:w="62" w:type="dxa"/>
              <w:bottom w:w="0" w:type="dxa"/>
              <w:right w:w="62" w:type="dxa"/>
            </w:tcMar>
          </w:tcPr>
          <w:p w:rsidR="00000000" w:rsidRPr="00911B7B" w:rsidP="00911B7B">
            <w:pPr>
              <w:pStyle w:val="BodyText"/>
            </w:pPr>
          </w:p>
        </w:tc>
      </w:tr>
    </w:tbl>
    <w:p w:rsidR="004720D1" w:rsidP="00911B7B">
      <w:pPr>
        <w:pStyle w:val="BodyText"/>
      </w:pPr>
    </w:p>
    <w:p w:rsidR="004720D1" w:rsidP="00911B7B">
      <w:pPr>
        <w:pStyle w:val="BodyText"/>
      </w:pPr>
    </w:p>
    <w:p w:rsidR="00000000" w:rsidRPr="00911B7B" w:rsidP="00911B7B">
      <w:pPr>
        <w:pStyle w:val="Heading1"/>
      </w:pPr>
      <w:bookmarkStart w:id="6" w:name="O_285376"/>
      <w:bookmarkEnd w:id="6"/>
      <w:r w:rsidRPr="00911B7B">
        <w:t>Employability Skills Information</w:t>
      </w:r>
    </w:p>
    <w:p w:rsidR="00000000" w:rsidRPr="00911B7B" w:rsidP="00911B7B">
      <w:pPr>
        <w:pStyle w:val="BodyText"/>
      </w:pPr>
      <w:r w:rsidRPr="00911B7B">
        <w:t>Refer to the Evidence Guide</w:t>
      </w:r>
    </w:p>
    <w:p w:rsidR="00000000" w:rsidRPr="00911B7B" w:rsidP="00911B7B">
      <w:pPr>
        <w:pStyle w:val="AllowPageBreak"/>
      </w:pPr>
    </w:p>
    <w:p w:rsidR="00000000" w:rsidRPr="00911B7B" w:rsidP="00911B7B">
      <w:pPr>
        <w:pStyle w:val="Heading1"/>
      </w:pPr>
      <w:bookmarkStart w:id="7" w:name="O_293173"/>
      <w:bookmarkEnd w:id="7"/>
      <w:r w:rsidRPr="00911B7B">
        <w:t>Elements and Performance Criteria Pre-Content</w:t>
      </w:r>
    </w:p>
    <w:tbl>
      <w:tblPr>
        <w:tblW w:w="0" w:type="auto"/>
        <w:tblLayout w:type="fixed"/>
        <w:tblCellMar>
          <w:left w:w="62" w:type="dxa"/>
          <w:right w:w="62" w:type="dxa"/>
        </w:tblCellMar>
        <w:tblLook w:val="0000"/>
      </w:tblPr>
      <w:tblGrid>
        <w:gridCol w:w="2700"/>
        <w:gridCol w:w="5760"/>
      </w:tblGrid>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5</w:t>
            </w:r>
            <w:r w:rsidRPr="00911B7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Performance criteria describe the required performance needed to demonstrate achievement of the element. Assessment of performance is to</w:t>
            </w:r>
            <w:r w:rsidRPr="00911B7B">
              <w:t xml:space="preserve"> be consistent with the Evidence Guide.</w:t>
            </w:r>
          </w:p>
        </w:tc>
      </w:tr>
    </w:tbl>
    <w:p w:rsidR="00000000" w:rsidRPr="00911B7B" w:rsidP="00911B7B">
      <w:pPr>
        <w:pStyle w:val="BodyText"/>
      </w:pPr>
    </w:p>
    <w:p w:rsidR="00000000" w:rsidRPr="00911B7B" w:rsidP="00911B7B">
      <w:pPr>
        <w:pStyle w:val="AllowPageBreak"/>
      </w:pPr>
    </w:p>
    <w:p w:rsidR="00000000" w:rsidRPr="00911B7B" w:rsidP="00911B7B">
      <w:pPr>
        <w:pStyle w:val="Heading1"/>
      </w:pPr>
      <w:bookmarkStart w:id="8" w:name="O_239841"/>
      <w:bookmarkEnd w:id="8"/>
      <w:r w:rsidRPr="00911B7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720D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PERFORMANCE CRITERIA</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w:t>
            </w:r>
          </w:p>
        </w:tc>
        <w:tc>
          <w:tcPr>
            <w:tcW w:w="2296" w:type="dxa"/>
            <w:vMerge w:val="restart"/>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Prepare and plan for maintenance activities</w:t>
            </w: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1.1</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Cathodic protection system maintenance activity is identified and confirmed according to the work schedule(s), drawings, plans, requirements and established procedures </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1.2</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Readings from cathodic protection monitoring equipment and galvanic anode beds a</w:t>
            </w:r>
            <w:r w:rsidRPr="00911B7B">
              <w:t xml:space="preserve">re taken at regular intervals and data collected in accordance with </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1.3</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Relevant work schedules and requirements are communicated to all persons and identified for all work sites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1.4</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OHS, environmental and sustainable energy policies and procedures related to the maintaining of cathodic protection systems are obtained and confirmed for the purposes of the work performed and communicated </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1.5</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Work is prioritised and sequenced followi</w:t>
            </w:r>
            <w:r w:rsidRPr="00911B7B">
              <w:t>ng consultation with others for completion within acceptable timeframes and in accordance with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1.6</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Risk control measures for identified hazards are prioritised, implemented and monitored against the work schedule</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1.7</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Relevant work permits are obtained to access and perform work according to requirements and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1.8</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Resources including persons, equipment, tools and personal protective equipment required for the job are identified, scheduled and obt</w:t>
            </w:r>
            <w:r w:rsidRPr="00911B7B">
              <w:t>ained and confirmed in working order</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1.9</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Relevant persons at worksite are confirmed to be current in First Aid and other related work procedures according to requirements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1.10</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Liaison and communication issues with authorised persons, authorities, clients and land-owners are resolved to carry out work where necessary</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1.11</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Site is prepared according to the work schedule and to minimise risk and damage to property, commerce and </w:t>
            </w:r>
            <w:r w:rsidRPr="00911B7B">
              <w:t>individuals in accordance with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1.12</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Persons participating in the work, including plant operators and contractors are fully briefed and respective responsibilities confirmed where </w:t>
            </w:r>
            <w:r w:rsidRPr="00911B7B">
              <w:t xml:space="preserve">applicable in accordance with established procedures </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1.13</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Road signs, barriers and warning devices are positioned in accordance with requirements including traffic management plans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w:t>
            </w:r>
          </w:p>
        </w:tc>
        <w:tc>
          <w:tcPr>
            <w:tcW w:w="2296"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Maintain and adjust cathodic protection system equipment</w:t>
            </w: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2.1</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OHS pol</w:t>
            </w:r>
            <w:r w:rsidRPr="00911B7B">
              <w:t>icies and procedures and safe work practices are followed to eliminate or minimise incidents and hazards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2.2</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Lifting, climbing, working in confined spaces, excavations, trenches, or aloft, and use of power tools, techniques and practices are safely foll</w:t>
            </w:r>
            <w:r w:rsidRPr="00911B7B">
              <w:t>owed and currency according to requirements confirmed</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2.3</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Essential Knowledge and Associated Skills is applied for maintaining of cathodic protection systems to ensure completion in an agreed timeframe </w:t>
            </w:r>
            <w:r w:rsidRPr="00911B7B">
              <w:t>and to quality standards with a minimum of waste according to requirements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2.4</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Cathodic protection system is maintained at maximum efficiency and the maintaining of cathodic protection systems is carried out in accordance with the work schedule and to e</w:t>
            </w:r>
            <w:r w:rsidRPr="00911B7B">
              <w:t xml:space="preserve">stablished procedures </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2.5</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Hazard warnings and safety signs are recognised and hazards and assessed OHS risks are reported to the immediate authorised persons for directions according to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2.6</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Unplanned events in the maintaining of cathodic protection systems is undertaken with the scope of established procedures </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2.7</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Known solutions to a variety of problems are applied using Essential Knowledge and Associated Skills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2.8</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Data is collected </w:t>
            </w:r>
            <w:r w:rsidRPr="00911B7B">
              <w:t>and interpreted and ongoing checks of quality of the work are undertaken in accordance with given instructions and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w:t>
            </w:r>
          </w:p>
        </w:tc>
        <w:tc>
          <w:tcPr>
            <w:tcW w:w="2296"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Re-establish system and notify completion of work</w:t>
            </w: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3.1</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System is re-established in order to meet pipeline system ope</w:t>
            </w:r>
            <w:r w:rsidRPr="00911B7B">
              <w:t>rational requirements and the work undertaken is checked against work schedules for conformance with requirements, anomalies are reported in accordance with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3.2</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Accidents and injuries are reported in accordance with established procedures where applicable</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3.3</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Work site is rehabilitated, cleaned up and made safe in accordance with given instructions and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3.4</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Tools, equipment and any surp</w:t>
            </w:r>
            <w:r w:rsidRPr="00911B7B">
              <w:t>lus resources and materials are, where appropriate, cleaned, checked and returned to storage in accordance with established procedures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3.5</w:t>
            </w:r>
          </w:p>
        </w:tc>
        <w:tc>
          <w:tcPr>
            <w:tcW w:w="48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Relevant work permit(s) are signed off and equipment is returned to service in accordance with requirements</w:t>
            </w:r>
          </w:p>
        </w:tc>
      </w:tr>
      <w:tr w:rsidTr="004720D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3.6</w:t>
            </w:r>
          </w:p>
        </w:tc>
        <w:tc>
          <w:tcPr>
            <w:tcW w:w="48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Work completion records, reports as installed/modified drawings and documentation and information are finalised and processed and appropriate persons notified</w:t>
            </w:r>
          </w:p>
        </w:tc>
      </w:tr>
    </w:tbl>
    <w:p w:rsidR="004720D1" w:rsidP="00911B7B">
      <w:pPr>
        <w:pStyle w:val="BodyText"/>
      </w:pPr>
    </w:p>
    <w:p w:rsidR="004720D1" w:rsidP="00911B7B">
      <w:pPr>
        <w:pStyle w:val="BodyText"/>
      </w:pPr>
    </w:p>
    <w:p w:rsidR="00000000" w:rsidRPr="00911B7B" w:rsidP="00911B7B">
      <w:pPr>
        <w:pStyle w:val="Heading1"/>
      </w:pPr>
      <w:bookmarkStart w:id="9" w:name="O_263632"/>
      <w:bookmarkEnd w:id="9"/>
      <w:r w:rsidRPr="00911B7B">
        <w:t>Required Skills and Knowledge</w:t>
      </w:r>
    </w:p>
    <w:tbl>
      <w:tblPr>
        <w:tblW w:w="0" w:type="auto"/>
        <w:tblLayout w:type="fixed"/>
        <w:tblCellMar>
          <w:left w:w="62" w:type="dxa"/>
          <w:right w:w="62" w:type="dxa"/>
        </w:tblCellMar>
        <w:tblLook w:val="0000"/>
      </w:tblPr>
      <w:tblGrid>
        <w:gridCol w:w="2700"/>
        <w:gridCol w:w="1080"/>
        <w:gridCol w:w="4680"/>
      </w:tblGrid>
      <w:tr w:rsidTr="004720D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REQUIRED SKILLS AND KNOWLEDGE</w:t>
            </w:r>
          </w:p>
        </w:tc>
      </w:tr>
      <w:tr w:rsidTr="004720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6</w:t>
            </w:r>
            <w:r w:rsidRPr="00911B7B">
              <w:t>) This describes the essential skills and knowledge and their level, required for this unit.</w:t>
            </w:r>
          </w:p>
        </w:tc>
      </w:tr>
      <w:tr w:rsidTr="004720D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Evidence shall show that knowledge has been acquired of safe working practices for maintaining cathodic protection systems. The extent of the </w:t>
            </w:r>
            <w:r w:rsidRPr="00911B7B">
              <w:t>essential knowledge and associated skills (EKAS) required is given in Volume 2 - Part 2.2 EKAS.  It forms an integral part of this unit.</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G 3.4.1</w:t>
            </w:r>
          </w:p>
        </w:tc>
        <w:tc>
          <w:tcPr>
            <w:tcW w:w="46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Understanding corrosion processes</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G 3.4.2</w:t>
            </w:r>
          </w:p>
        </w:tc>
        <w:tc>
          <w:tcPr>
            <w:tcW w:w="46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Interpreting system design, planning and operation</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G 3.4.3</w:t>
            </w:r>
          </w:p>
        </w:tc>
        <w:tc>
          <w:tcPr>
            <w:tcW w:w="46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Us</w:t>
            </w:r>
            <w:r w:rsidRPr="00911B7B">
              <w:t>e and understand cathodic protection systems</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G 3.4.4</w:t>
            </w:r>
          </w:p>
        </w:tc>
        <w:tc>
          <w:tcPr>
            <w:tcW w:w="46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Select and use appropriate tools and equipment for cathodic protection</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G 3.4.5</w:t>
            </w:r>
          </w:p>
        </w:tc>
        <w:tc>
          <w:tcPr>
            <w:tcW w:w="468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Interpreting topographical and geographical maps and information</w:t>
            </w:r>
          </w:p>
        </w:tc>
      </w:tr>
    </w:tbl>
    <w:p w:rsidR="004720D1" w:rsidP="00911B7B">
      <w:pPr>
        <w:pStyle w:val="BodyText"/>
      </w:pPr>
    </w:p>
    <w:p w:rsidR="004720D1" w:rsidP="00911B7B">
      <w:pPr>
        <w:pStyle w:val="BodyText"/>
      </w:pPr>
    </w:p>
    <w:p w:rsidR="00000000" w:rsidRPr="00911B7B" w:rsidP="00911B7B">
      <w:pPr>
        <w:pStyle w:val="Heading1"/>
      </w:pPr>
      <w:bookmarkStart w:id="10" w:name="O_247824"/>
      <w:bookmarkEnd w:id="10"/>
      <w:r w:rsidRPr="00911B7B">
        <w:t>Evidence Guide</w:t>
      </w:r>
    </w:p>
    <w:tbl>
      <w:tblPr>
        <w:tblW w:w="0" w:type="auto"/>
        <w:tblLayout w:type="fixed"/>
        <w:tblCellMar>
          <w:left w:w="62" w:type="dxa"/>
          <w:right w:w="62" w:type="dxa"/>
        </w:tblCellMar>
        <w:tblLook w:val="0000"/>
      </w:tblPr>
      <w:tblGrid>
        <w:gridCol w:w="326"/>
        <w:gridCol w:w="1834"/>
        <w:gridCol w:w="540"/>
        <w:gridCol w:w="900"/>
        <w:gridCol w:w="360"/>
        <w:gridCol w:w="1800"/>
        <w:gridCol w:w="1137"/>
        <w:gridCol w:w="1563"/>
      </w:tblGrid>
      <w:tr w:rsidTr="004720D1">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EVIDENCE GUIDE</w:t>
            </w:r>
          </w:p>
        </w:tc>
      </w:tr>
      <w:tr w:rsidTr="004720D1">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8</w:t>
            </w:r>
            <w:r w:rsidRPr="00911B7B">
              <w:t>) The Evidence Guide forms an integral part of this Competency Standard Units and shall be used in conjunction with all components parts of this unit and, performed in accordance with the Assessment Guidelines of this Training Package.</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8</w:t>
            </w:r>
            <w:r w:rsidRPr="00911B7B">
              <w:t>.</w:t>
            </w:r>
            <w:r w:rsidRPr="00911B7B">
              <w:rPr>
                <w:rStyle w:val="SpecialBold"/>
              </w:rPr>
              <w:t>1</w:t>
            </w:r>
            <w:r w:rsidRPr="00911B7B">
              <w:t>) Longitudinal competency development approaches to assessment, such as Profiling, require data to be reliably gathered in a form that can be consistently interpreted over time. This approach is best utilised in Apprenticeship pr</w:t>
            </w:r>
            <w:r w:rsidRPr="00911B7B">
              <w:t>ograms and reduces assessment intervention. It is the Industry's preferred model for apprenticeships. However, where summative (or final) assessment is used it is to include the application of the competency in the normal work environment or, at a minimum,</w:t>
            </w:r>
            <w:r w:rsidRPr="00911B7B">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911B7B">
              <w:t>n this regard.</w:t>
            </w:r>
          </w:p>
          <w:p w:rsidR="00000000" w:rsidRPr="00911B7B" w:rsidP="00911B7B">
            <w:pPr>
              <w:pStyle w:val="BodyText"/>
            </w:pPr>
            <w:r w:rsidRPr="00911B7B">
              <w:t xml:space="preserve">Methods chosen for a particular assessment will be influenced by various factors. These include the extent of the assessment, the most effective locations for the assessment activities to take place, access to physical resources, additional </w:t>
            </w:r>
            <w:r w:rsidRPr="00911B7B">
              <w:t>safety measures that may be required and the critical nature of the competencies being assessed.</w:t>
            </w:r>
          </w:p>
          <w:p w:rsidR="00000000" w:rsidRPr="00911B7B" w:rsidP="00911B7B">
            <w:pPr>
              <w:pStyle w:val="BodyText"/>
            </w:pPr>
            <w:r w:rsidRPr="00911B7B">
              <w:t>The critical safety nature of working with electricity, electrical equipment, gas or any other hazardous substance/material carries risk in deeming a person co</w:t>
            </w:r>
            <w:r w:rsidRPr="00911B7B">
              <w:t>mpetent. Hence, sources of evidence need to be 'rich' in nature so as to minimise error in judgment.</w:t>
            </w:r>
          </w:p>
          <w:p w:rsidR="00000000" w:rsidP="00911B7B">
            <w:pPr>
              <w:pStyle w:val="BodyText"/>
              <w:rPr>
                <w:lang w:val="en-NZ"/>
              </w:rPr>
            </w:pPr>
            <w:r w:rsidRPr="00911B7B">
              <w:t>Activities associated with normal every day work have a bearing on the decision as to how much and how detailed the data gathered will contribute to its 'r</w:t>
            </w:r>
            <w:r w:rsidRPr="00911B7B">
              <w:t>ichness'. Some skills are more critical to safety and operational requirements while the same skills may be more or less frequently practiced. These points are raised for the assessors to consider when choosing an assessment method and developing assessmen</w:t>
            </w:r>
            <w:r w:rsidRPr="00911B7B">
              <w:t>t instruments. Sample instruments are included for Assessors in the Assessment Guidelines of this Training Package.</w:t>
            </w:r>
          </w:p>
        </w:tc>
      </w:tr>
      <w:tr w:rsidTr="004720D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8</w:t>
            </w:r>
            <w:r w:rsidRPr="00911B7B">
              <w:t>.</w:t>
            </w:r>
            <w:r w:rsidRPr="00911B7B">
              <w:rPr>
                <w:rStyle w:val="SpecialBold"/>
              </w:rPr>
              <w:t>2</w:t>
            </w:r>
            <w:r w:rsidRPr="00911B7B">
              <w:t xml:space="preserve">) Before the critical aspects </w:t>
            </w:r>
            <w:r w:rsidRPr="00911B7B">
              <w:t>of evidence are considered all prerequisites shall be met.</w:t>
            </w:r>
          </w:p>
        </w:tc>
      </w:tr>
      <w:tr w:rsidTr="004720D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 xml:space="preserve">Evidence for competence in this unit shall be considered holistically. Each element and associated Performance Criteria shall be demonstrated </w:t>
            </w:r>
            <w:r w:rsidRPr="00911B7B">
              <w:t>on at least two occasions in accordance with the 'Assessment Guidelines  UEG06'. Evidence shall also comprise:</w:t>
            </w:r>
          </w:p>
          <w:p w:rsidR="00000000" w:rsidP="00911B7B">
            <w:pPr>
              <w:pStyle w:val="ListBullet"/>
              <w:rPr>
                <w:lang w:val="en-NZ"/>
              </w:rPr>
            </w:pPr>
            <w:r w:rsidRPr="00911B7B">
              <w:t>A representative body of Performance Criteria demonstrated within the timeframes typically expected of the discipline, work function and industr</w:t>
            </w:r>
            <w:r w:rsidRPr="00911B7B">
              <w:t>ial environment. In particular this will incorporate evidence that shows a candidate is able to:</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911B7B">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911B7B" w:rsidP="00911B7B">
            <w:pPr>
              <w:pStyle w:val="ListBullet2"/>
            </w:pPr>
            <w:r w:rsidRPr="00911B7B">
              <w:t xml:space="preserve">Implement Occupational Health and Safety workplace procedures and practices including </w:t>
            </w:r>
            <w:r w:rsidRPr="00911B7B">
              <w:t>the use of risk control measures as specified in the Performance Criteria and range</w:t>
            </w:r>
          </w:p>
          <w:p w:rsidR="00000000" w:rsidRPr="00911B7B" w:rsidP="00911B7B">
            <w:pPr>
              <w:pStyle w:val="ListBullet2"/>
            </w:pPr>
            <w:r w:rsidRPr="00911B7B">
              <w:t>Apply sustainable energy principles and practices as specified in the Performance Criteria and range</w:t>
            </w:r>
          </w:p>
          <w:p w:rsidR="00000000" w:rsidRPr="00911B7B" w:rsidP="00911B7B">
            <w:pPr>
              <w:pStyle w:val="ListBullet2"/>
            </w:pPr>
            <w:r w:rsidRPr="00911B7B">
              <w:t xml:space="preserve">Demonstrate an understanding of the essential knowledge and associated </w:t>
            </w:r>
            <w:r w:rsidRPr="00911B7B">
              <w:t>skills as described in this unit to such an extent that the learner's performance outcome is reported in accordance with the preferred approach; namely a percentile graded result, where required by the regulated environment</w:t>
            </w:r>
          </w:p>
          <w:p w:rsidR="00000000" w:rsidRPr="00911B7B" w:rsidP="00911B7B">
            <w:pPr>
              <w:pStyle w:val="ListBullet2"/>
            </w:pPr>
            <w:r w:rsidRPr="00911B7B">
              <w:t>Demonstrate an appropriate level</w:t>
            </w:r>
            <w:r w:rsidRPr="00911B7B">
              <w:t xml:space="preserve"> of skills enabling employment</w:t>
            </w:r>
          </w:p>
          <w:p w:rsidR="00000000" w:rsidP="00911B7B">
            <w:pPr>
              <w:pStyle w:val="ListBullet2"/>
              <w:rPr>
                <w:lang w:val="en-NZ"/>
              </w:rPr>
            </w:pPr>
            <w:r w:rsidRPr="00911B7B">
              <w:t>Conduct work observing the relevant Anti Discrimination legislation, regulations, polices and workplace procedures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911B7B">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911B7B">
            <w:pPr>
              <w:pStyle w:val="ListBullet2"/>
              <w:rPr>
                <w:lang w:val="en-NZ"/>
              </w:rPr>
            </w:pPr>
            <w:r w:rsidRPr="00911B7B">
              <w:t>Demonstrate performance across a representative range of contexts from the prescribed items below:</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911B7B">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rPr>
                <w:rStyle w:val="SpecialBold"/>
              </w:rPr>
              <w:t>Range of tools</w:t>
            </w:r>
            <w:r w:rsidRPr="00911B7B">
              <w:t>/</w:t>
            </w:r>
            <w:r w:rsidRPr="00911B7B">
              <w:rPr>
                <w:rStyle w:val="SpecialBold"/>
              </w:rPr>
              <w:t>equipment</w:t>
            </w:r>
            <w:r w:rsidRPr="00911B7B">
              <w:t>/</w:t>
            </w:r>
            <w:r w:rsidRPr="00911B7B">
              <w:rPr>
                <w:rStyle w:val="SpecialBold"/>
              </w:rPr>
              <w:t>materials</w:t>
            </w:r>
            <w:r w:rsidRPr="00911B7B">
              <w:t>/</w:t>
            </w:r>
            <w:r w:rsidRPr="00911B7B">
              <w:rPr>
                <w:rStyle w:val="SpecialBold"/>
              </w:rPr>
              <w:t>procedures</w:t>
            </w:r>
            <w:r w:rsidRPr="00911B7B">
              <w:t>/</w:t>
            </w:r>
            <w:r w:rsidRPr="00911B7B">
              <w:br/>
            </w:r>
            <w:r w:rsidRPr="00911B7B">
              <w:rPr>
                <w:rStyle w:val="SpecialBold"/>
              </w:rPr>
              <w:t>workplaces</w:t>
            </w:r>
            <w:r w:rsidRPr="00911B7B">
              <w:t>/</w:t>
            </w:r>
            <w:r w:rsidRPr="00911B7B">
              <w:rPr>
                <w:rStyle w:val="SpecialBold"/>
              </w:rPr>
              <w:t>other variables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911B7B">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rPr>
                <w:rStyle w:val="SpecialBold"/>
              </w:rPr>
              <w:t>Group No</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rPr>
                <w:rStyle w:val="SpecialBold"/>
              </w:rPr>
              <w:t>The minimum number of items on which skill is to be demonstrated</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rPr>
                <w:rStyle w:val="SpecialBold"/>
              </w:rPr>
              <w:t>Item List</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All</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t>Types of faults:</w:t>
            </w:r>
          </w:p>
          <w:p w:rsidR="00000000" w:rsidRPr="00911B7B" w:rsidP="00911B7B">
            <w:pPr>
              <w:pStyle w:val="BodyText"/>
            </w:pPr>
            <w:r w:rsidRPr="00911B7B">
              <w:t>Coating damage/deterioration</w:t>
            </w:r>
          </w:p>
          <w:p w:rsidR="00000000" w:rsidRPr="00911B7B" w:rsidP="00911B7B">
            <w:pPr>
              <w:pStyle w:val="BodyText"/>
            </w:pPr>
            <w:r w:rsidRPr="00911B7B">
              <w:t>Interference from other systems</w:t>
            </w:r>
          </w:p>
          <w:p w:rsidR="00000000" w:rsidRPr="00911B7B" w:rsidP="00911B7B">
            <w:pPr>
              <w:pStyle w:val="BodyText"/>
            </w:pPr>
            <w:r w:rsidRPr="00911B7B">
              <w:t>Anode not working</w:t>
            </w:r>
          </w:p>
          <w:p w:rsidR="00000000" w:rsidP="00911B7B">
            <w:pPr>
              <w:pStyle w:val="BodyText"/>
              <w:rPr>
                <w:lang w:val="en-NZ"/>
              </w:rPr>
            </w:pPr>
            <w:r w:rsidRPr="00911B7B">
              <w:t>Equipment fault/failure</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B</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At least 4</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t>Checks and tests on CP systems:</w:t>
            </w:r>
          </w:p>
          <w:p w:rsidR="00000000" w:rsidRPr="00911B7B" w:rsidP="00911B7B">
            <w:pPr>
              <w:pStyle w:val="BodyText"/>
            </w:pPr>
            <w:r w:rsidRPr="00911B7B">
              <w:t>Potential surveys</w:t>
            </w:r>
          </w:p>
          <w:p w:rsidR="00000000" w:rsidRPr="00911B7B" w:rsidP="00911B7B">
            <w:pPr>
              <w:pStyle w:val="BodyText"/>
            </w:pPr>
            <w:r w:rsidRPr="00911B7B">
              <w:t>On/off potential surveys</w:t>
            </w:r>
          </w:p>
          <w:p w:rsidR="00000000" w:rsidRPr="00911B7B" w:rsidP="00911B7B">
            <w:pPr>
              <w:pStyle w:val="BodyText"/>
            </w:pPr>
            <w:r w:rsidRPr="00911B7B">
              <w:t>Coating defect assessment surveys (DCVG method, Peason technique/method, over pipeline potential method)</w:t>
            </w:r>
          </w:p>
          <w:p w:rsidR="00000000" w:rsidRPr="00911B7B" w:rsidP="00911B7B">
            <w:pPr>
              <w:pStyle w:val="BodyText"/>
            </w:pPr>
            <w:r w:rsidRPr="00911B7B">
              <w:t>Loop impedance testing</w:t>
            </w:r>
          </w:p>
          <w:p w:rsidR="00000000" w:rsidRPr="00911B7B" w:rsidP="00911B7B">
            <w:pPr>
              <w:pStyle w:val="BodyText"/>
            </w:pPr>
            <w:r w:rsidRPr="00911B7B">
              <w:t>Anode bed testing</w:t>
            </w:r>
          </w:p>
          <w:p w:rsidR="00000000" w:rsidRPr="00911B7B" w:rsidP="00911B7B">
            <w:pPr>
              <w:pStyle w:val="BodyText"/>
            </w:pPr>
            <w:r w:rsidRPr="00911B7B">
              <w:t>Soil resistivity testing</w:t>
            </w:r>
          </w:p>
          <w:p w:rsidR="00000000" w:rsidP="00911B7B">
            <w:pPr>
              <w:pStyle w:val="BodyText"/>
              <w:rPr>
                <w:lang w:val="en-NZ"/>
              </w:rPr>
            </w:pPr>
            <w:r w:rsidRPr="00911B7B">
              <w:t>Interference testing</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C</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All</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t>Knowledge of relevant Australian Standards or their equivalents:</w:t>
            </w:r>
          </w:p>
          <w:p w:rsidR="00000000" w:rsidRPr="00911B7B" w:rsidP="00911B7B">
            <w:pPr>
              <w:pStyle w:val="BodyText"/>
            </w:pPr>
            <w:r w:rsidRPr="00911B7B">
              <w:t>AS 2885</w:t>
            </w:r>
          </w:p>
          <w:p w:rsidR="00000000" w:rsidRPr="00911B7B" w:rsidP="00911B7B">
            <w:pPr>
              <w:pStyle w:val="BodyText"/>
            </w:pPr>
            <w:r w:rsidRPr="00911B7B">
              <w:t>AS 2430</w:t>
            </w:r>
          </w:p>
          <w:p w:rsidR="00000000" w:rsidRPr="00911B7B" w:rsidP="00911B7B">
            <w:pPr>
              <w:pStyle w:val="BodyText"/>
            </w:pPr>
            <w:r w:rsidRPr="00911B7B">
              <w:t>AS 1768</w:t>
            </w:r>
          </w:p>
          <w:p w:rsidR="00000000" w:rsidRPr="00911B7B" w:rsidP="00911B7B">
            <w:pPr>
              <w:pStyle w:val="BodyText"/>
            </w:pPr>
            <w:r w:rsidRPr="00911B7B">
              <w:t>AS 1596</w:t>
            </w:r>
          </w:p>
          <w:p w:rsidR="00000000" w:rsidRPr="00911B7B" w:rsidP="00911B7B">
            <w:pPr>
              <w:pStyle w:val="BodyText"/>
            </w:pPr>
            <w:r w:rsidRPr="00911B7B">
              <w:t>AS 1697</w:t>
            </w:r>
          </w:p>
          <w:p w:rsidR="00000000" w:rsidRPr="00911B7B" w:rsidP="00911B7B">
            <w:pPr>
              <w:pStyle w:val="BodyText"/>
            </w:pPr>
            <w:r w:rsidRPr="00911B7B">
              <w:t>AS 2832.1</w:t>
            </w:r>
          </w:p>
          <w:p w:rsidR="00000000" w:rsidRPr="00911B7B" w:rsidP="00911B7B">
            <w:pPr>
              <w:pStyle w:val="BodyText"/>
            </w:pPr>
            <w:r w:rsidRPr="00911B7B">
              <w:t>AS 3000</w:t>
            </w:r>
          </w:p>
          <w:p w:rsidR="00000000" w:rsidRPr="00911B7B" w:rsidP="00911B7B">
            <w:pPr>
              <w:pStyle w:val="BodyText"/>
            </w:pPr>
            <w:r w:rsidRPr="00911B7B">
              <w:t>AS 2239</w:t>
            </w:r>
          </w:p>
          <w:p w:rsidR="00000000" w:rsidRPr="00911B7B" w:rsidP="00911B7B">
            <w:pPr>
              <w:pStyle w:val="BodyText"/>
            </w:pPr>
            <w:r w:rsidRPr="00911B7B">
              <w:t>AG 603</w:t>
            </w:r>
          </w:p>
          <w:p w:rsidR="00000000" w:rsidP="00911B7B">
            <w:pPr>
              <w:pStyle w:val="BodyText"/>
              <w:rPr>
                <w:lang w:val="en-NZ"/>
              </w:rPr>
            </w:pPr>
            <w:r w:rsidRPr="00911B7B">
              <w:t>AS 2865</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D</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All</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t>Interpreting cathodic protection data system surveys and readings</w:t>
            </w:r>
          </w:p>
          <w:p w:rsidR="00000000" w:rsidRPr="00911B7B" w:rsidP="00911B7B">
            <w:pPr>
              <w:pStyle w:val="BodyText"/>
            </w:pPr>
            <w:r w:rsidRPr="00911B7B">
              <w:t>Locating and repairing faults</w:t>
            </w:r>
          </w:p>
          <w:p w:rsidR="00000000" w:rsidRPr="00911B7B" w:rsidP="00911B7B">
            <w:pPr>
              <w:pStyle w:val="BodyText"/>
            </w:pPr>
            <w:r w:rsidRPr="00911B7B">
              <w:t>Procedures for coating surveys</w:t>
            </w:r>
          </w:p>
          <w:p w:rsidR="00000000" w:rsidP="00911B7B">
            <w:pPr>
              <w:pStyle w:val="BodyText"/>
              <w:rPr>
                <w:lang w:val="en-NZ"/>
              </w:rPr>
            </w:pPr>
            <w:r w:rsidRPr="00911B7B">
              <w:t>Checking and maintaining potentials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E</w:t>
            </w:r>
          </w:p>
        </w:tc>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At least one occasion</w:t>
            </w:r>
          </w:p>
        </w:tc>
        <w:tc>
          <w:tcPr>
            <w:tcW w:w="27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 xml:space="preserve">Dealing with an unplanned event by drawing on essential knowledge and associated skills to provide appropriate solutions incorporated in the </w:t>
            </w:r>
            <w:r w:rsidRPr="00911B7B">
              <w:t xml:space="preserve">holistic assessment with the above listed items </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8</w:t>
            </w:r>
            <w:r w:rsidRPr="00911B7B">
              <w:t>.</w:t>
            </w:r>
            <w:r w:rsidRPr="00911B7B">
              <w:rPr>
                <w:rStyle w:val="SpecialBold"/>
              </w:rPr>
              <w:t>3</w:t>
            </w:r>
            <w:r w:rsidRPr="00911B7B">
              <w:t>)</w:t>
            </w:r>
          </w:p>
          <w:p w:rsidR="00000000" w:rsidRPr="00911B7B" w:rsidP="00911B7B">
            <w:pPr>
              <w:pStyle w:val="BodyText"/>
            </w:pPr>
            <w:r w:rsidRPr="00911B7B">
              <w:t>This unit should be assessed as it relates to normal work practice using procedures, information and resources typical of a workplace. This should inc</w:t>
            </w:r>
            <w:r w:rsidRPr="00911B7B">
              <w:t>lude:</w:t>
            </w:r>
          </w:p>
          <w:p w:rsidR="00000000" w:rsidRPr="00911B7B" w:rsidP="00911B7B">
            <w:pPr>
              <w:pStyle w:val="ListBullet"/>
            </w:pPr>
            <w:r w:rsidRPr="00911B7B">
              <w:t>OHS policy and work procedures and instructions.</w:t>
            </w:r>
          </w:p>
          <w:p w:rsidR="00000000" w:rsidRPr="00911B7B" w:rsidP="00911B7B">
            <w:pPr>
              <w:pStyle w:val="ListBullet"/>
            </w:pPr>
            <w:r w:rsidRPr="00911B7B">
              <w:t>Suitable work environment, facilities, equipment and materials to undertake actual work as prescribed by this Competency Standard Units.</w:t>
            </w:r>
          </w:p>
          <w:p w:rsidR="00000000" w:rsidRPr="00911B7B" w:rsidP="00911B7B">
            <w:pPr>
              <w:pStyle w:val="ListBullet"/>
            </w:pPr>
            <w:r w:rsidRPr="00911B7B">
              <w:t>Appropriate environmental regulation and work practices.</w:t>
            </w:r>
          </w:p>
          <w:p w:rsidR="00000000" w:rsidRPr="00911B7B" w:rsidP="00911B7B">
            <w:pPr>
              <w:pStyle w:val="ListBullet"/>
            </w:pPr>
            <w:r w:rsidRPr="00911B7B">
              <w:t>Appropriate organisational requirements.</w:t>
            </w:r>
          </w:p>
          <w:p w:rsidR="00000000" w:rsidP="00911B7B">
            <w:pPr>
              <w:pStyle w:val="ListBullet"/>
              <w:rPr>
                <w:lang w:val="en-NZ"/>
              </w:rPr>
            </w:pPr>
            <w:r w:rsidRPr="00911B7B">
              <w:t>Appropriate work environment, equipment and tools.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 xml:space="preserve">In addition to the resources listed above, in Context of and specific resources for assessment, evidence should show demonstrated competency </w:t>
            </w:r>
            <w:r w:rsidRPr="00911B7B">
              <w:t>in maintaining cathodic protection systems.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Assessment of this competency must also be undertaken in either an actual workplace or under a simulated work environment. Assessment must also integrate the Key Competencies.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8</w:t>
            </w:r>
            <w:r w:rsidRPr="00911B7B">
              <w:t>.</w:t>
            </w:r>
            <w:r w:rsidRPr="00911B7B">
              <w:rPr>
                <w:rStyle w:val="SpecialBold"/>
              </w:rPr>
              <w:t>4</w:t>
            </w:r>
            <w:r w:rsidRPr="00911B7B">
              <w:t>) This Unit shall be assessed by methods given in Volume 1, Part 3 'Assessment Guidelines'.</w:t>
            </w:r>
          </w:p>
          <w:p w:rsidR="00000000" w:rsidP="00911B7B">
            <w:pPr>
              <w:pStyle w:val="BodyText"/>
              <w:rPr>
                <w:lang w:val="en-NZ"/>
              </w:rPr>
            </w:pPr>
            <w:r w:rsidRPr="00911B7B">
              <w:rPr>
                <w:rStyle w:val="SpecialBold"/>
              </w:rPr>
              <w:t>Note</w:t>
            </w:r>
            <w:r w:rsidRPr="00911B7B">
              <w:t xml:space="preserve">: Competent performance with inherent safe working practices is expected in the Industry to which this Competency Standard Units applies. This requires that </w:t>
            </w:r>
            <w:r w:rsidRPr="00911B7B">
              <w:t>the specified Essential Knowledge and Associated Skills are assessed in a structured environment which is primarily intended for learning/assessment and incorporates all necessary equipment and facilities for learners to develop and demonstrate the essenti</w:t>
            </w:r>
            <w:r w:rsidRPr="00911B7B">
              <w:t>al knowledge and associated skills described in this unit.</w:t>
            </w:r>
          </w:p>
        </w:tc>
      </w:tr>
      <w:tr w:rsidTr="004720D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8</w:t>
            </w:r>
            <w:r w:rsidRPr="00911B7B">
              <w:t>.</w:t>
            </w:r>
            <w:r w:rsidRPr="00911B7B">
              <w:rPr>
                <w:rStyle w:val="SpecialBold"/>
              </w:rPr>
              <w:t>5</w:t>
            </w:r>
            <w:r w:rsidRPr="00911B7B">
              <w:t xml:space="preserve">) </w:t>
            </w:r>
          </w:p>
        </w:tc>
      </w:tr>
      <w:tr w:rsidTr="004720D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There are no recommended concurrent assessments with this unit, however in some cases efficiencies may be gained in ter</w:t>
            </w:r>
            <w:r w:rsidRPr="00911B7B">
              <w:t>ms of learning and assessment effort being concurrently managed with allied Competency Standard Units where listed.</w:t>
            </w:r>
          </w:p>
        </w:tc>
      </w:tr>
      <w:tr w:rsidTr="004720D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UEGNSG102A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Carry out work activities in a utilities industry work environment</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UEGNSG103A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Comply with workplace OHS procedures and practices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UEGNSG104A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Comply with environmental policies and procedures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UEGNSG105A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Establish the work site</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BSBCMN302A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Organise personal work priorities and professional development</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BSBFLM312A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Contribute to team effectiveness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BSBFLM303A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Contribute to effective workplace relationships</w:t>
            </w:r>
          </w:p>
        </w:tc>
      </w:tr>
      <w:tr w:rsidTr="004720D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BSBCMN311A</w:t>
            </w:r>
          </w:p>
        </w:tc>
        <w:tc>
          <w:tcPr>
            <w:tcW w:w="4500" w:type="dxa"/>
            <w:gridSpan w:val="3"/>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Maintain workplace safety</w:t>
            </w:r>
          </w:p>
        </w:tc>
      </w:tr>
      <w:tr w:rsidTr="004720D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11B7B" w:rsidP="00911B7B">
            <w:pPr>
              <w:pStyle w:val="BodyText"/>
            </w:pPr>
            <w:r w:rsidRPr="00911B7B">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8</w:t>
            </w:r>
            <w:r w:rsidRPr="00911B7B">
              <w:t>.</w:t>
            </w:r>
            <w:r w:rsidRPr="00911B7B">
              <w:rPr>
                <w:rStyle w:val="SpecialBold"/>
              </w:rPr>
              <w:t>6</w:t>
            </w:r>
            <w:r w:rsidRPr="00911B7B">
              <w:t xml:space="preserve">) </w:t>
            </w:r>
          </w:p>
          <w:p w:rsidR="00000000" w:rsidP="00911B7B">
            <w:pPr>
              <w:pStyle w:val="BodyText"/>
              <w:rPr>
                <w:lang w:val="en-NZ"/>
              </w:rPr>
            </w:pPr>
            <w:r w:rsidRPr="00911B7B">
              <w:t>Evidence that particular Key Competencies ha</w:t>
            </w:r>
            <w:r w:rsidRPr="00911B7B">
              <w:t>ve been achieved within this Competency Standard Units is in the context of the following Performance Criteria of evidence. See Volume 2, Part 4 for an explanation of Key Competencies and levels of this Training Package.</w:t>
            </w:r>
          </w:p>
        </w:tc>
      </w:tr>
      <w:tr w:rsidTr="004720D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rPr>
                <w:rStyle w:val="SpecialBold"/>
              </w:rPr>
              <w:t>Performance Level</w:t>
            </w: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3</w:t>
            </w:r>
          </w:p>
        </w:tc>
      </w:tr>
      <w:tr w:rsidTr="004720D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1.7;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2</w:t>
            </w:r>
          </w:p>
        </w:tc>
      </w:tr>
      <w:tr w:rsidTr="004720D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1.1;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2</w:t>
            </w:r>
          </w:p>
        </w:tc>
      </w:tr>
      <w:tr w:rsidTr="004720D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1.11;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1</w:t>
            </w:r>
          </w:p>
        </w:tc>
      </w:tr>
      <w:tr w:rsidTr="004720D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1.8;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N/A</w:t>
            </w:r>
          </w:p>
        </w:tc>
      </w:tr>
      <w:tr w:rsidTr="004720D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2</w:t>
            </w:r>
          </w:p>
        </w:tc>
      </w:tr>
      <w:tr w:rsidTr="004720D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p>
        </w:tc>
      </w:tr>
      <w:tr w:rsidTr="004720D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How is use of technology applied?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p>
          <w:p w:rsidR="00000000" w:rsidP="00911B7B">
            <w:pPr>
              <w:pStyle w:val="BodyText"/>
              <w:rPr>
                <w:lang w:val="en-NZ"/>
              </w:rPr>
            </w:pPr>
            <w:r w:rsidRPr="00911B7B">
              <w:t>2</w:t>
            </w:r>
          </w:p>
        </w:tc>
      </w:tr>
      <w:tr w:rsidTr="004720D1">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3.4</w:t>
            </w:r>
          </w:p>
        </w:tc>
      </w:tr>
      <w:tr w:rsidTr="004720D1">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911B7B" w:rsidP="00911B7B">
            <w:pPr>
              <w:pStyle w:val="BodyText"/>
            </w:pPr>
            <w:r w:rsidRPr="00911B7B">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911B7B" w:rsidP="00911B7B">
            <w:pPr>
              <w:pStyle w:val="BodyText"/>
            </w:pPr>
            <w:r w:rsidRPr="00911B7B">
              <w:rPr>
                <w:rStyle w:val="SpecialBold"/>
              </w:rPr>
              <w:t>8</w:t>
            </w:r>
            <w:r w:rsidRPr="00911B7B">
              <w:t>.</w:t>
            </w:r>
            <w:r w:rsidRPr="00911B7B">
              <w:rPr>
                <w:rStyle w:val="SpecialBold"/>
              </w:rPr>
              <w:t>7</w:t>
            </w:r>
            <w:r w:rsidRPr="00911B7B">
              <w:t xml:space="preserve">) </w:t>
            </w:r>
          </w:p>
          <w:p w:rsidR="00000000" w:rsidP="00911B7B">
            <w:pPr>
              <w:pStyle w:val="BodyText"/>
              <w:rPr>
                <w:lang w:val="en-NZ"/>
              </w:rPr>
            </w:pPr>
            <w:r w:rsidRPr="00911B7B">
              <w:t xml:space="preserve">Evidence that competency in this unit incorporates skills enabling employment is in the context of the following performance. See Volume 2, Part 5 for definitions and an explanation of skills enabling employment. </w:t>
            </w:r>
          </w:p>
        </w:tc>
      </w:tr>
      <w:tr w:rsidTr="004720D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rPr>
                <w:rStyle w:val="SpecialBold"/>
              </w:rPr>
              <w:t>Example of Ap</w:t>
            </w:r>
            <w:r w:rsidRPr="00911B7B">
              <w:rPr>
                <w:rStyle w:val="SpecialBold"/>
              </w:rPr>
              <w:t>plication</w:t>
            </w:r>
          </w:p>
        </w:tc>
      </w:tr>
      <w:tr w:rsidTr="004720D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r>
      <w:tr w:rsidTr="004720D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All</w:t>
            </w:r>
          </w:p>
        </w:tc>
      </w:tr>
      <w:tr w:rsidTr="004720D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r>
      <w:tr w:rsidTr="004720D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2.6; 2.7</w:t>
            </w:r>
          </w:p>
        </w:tc>
      </w:tr>
      <w:tr w:rsidTr="004720D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r>
      <w:tr w:rsidTr="004720D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3.4; 3.6</w:t>
            </w:r>
          </w:p>
        </w:tc>
      </w:tr>
      <w:tr w:rsidTr="004720D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r>
      <w:tr w:rsidTr="004720D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1.5; 1.10; 3.6</w:t>
            </w:r>
          </w:p>
        </w:tc>
      </w:tr>
      <w:tr w:rsidTr="004720D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r>
      <w:tr w:rsidTr="004720D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1.5; 1.6; 1.8; 1.10</w:t>
            </w:r>
          </w:p>
        </w:tc>
      </w:tr>
      <w:tr w:rsidTr="004720D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1B7B">
            <w:pPr>
              <w:pStyle w:val="BodyText"/>
              <w:rPr>
                <w:lang w:val="en-NZ"/>
              </w:rPr>
            </w:pPr>
            <w:r w:rsidRPr="00911B7B">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1B7B">
            <w:pPr>
              <w:pStyle w:val="BodyText"/>
              <w:rPr>
                <w:lang w:val="en-NZ"/>
              </w:rPr>
            </w:pPr>
            <w:r w:rsidRPr="00911B7B">
              <w:t>Refer to the following Performance Criteria for examples of application:</w:t>
            </w:r>
          </w:p>
        </w:tc>
      </w:tr>
      <w:tr w:rsidTr="004720D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11B7B" w:rsidP="00911B7B">
            <w:pPr>
              <w:pStyle w:val="BodyText"/>
            </w:pPr>
            <w:r w:rsidRPr="00911B7B">
              <w:t>2.6</w:t>
            </w:r>
          </w:p>
        </w:tc>
      </w:tr>
    </w:tbl>
    <w:p w:rsidR="004720D1" w:rsidP="00911B7B">
      <w:pPr>
        <w:pStyle w:val="BodyText"/>
      </w:pPr>
    </w:p>
    <w:p w:rsidR="004720D1" w:rsidP="00911B7B">
      <w:pPr>
        <w:pStyle w:val="BodyText"/>
      </w:pPr>
    </w:p>
    <w:p w:rsidR="00000000" w:rsidRPr="00911B7B" w:rsidP="00911B7B">
      <w:pPr>
        <w:pStyle w:val="Heading1"/>
      </w:pPr>
      <w:bookmarkStart w:id="11" w:name="O_255808"/>
      <w:bookmarkEnd w:id="11"/>
      <w:r w:rsidRPr="00911B7B">
        <w:t>Range Statement</w:t>
      </w:r>
    </w:p>
    <w:tbl>
      <w:tblPr>
        <w:tblW w:w="0" w:type="auto"/>
        <w:tblLayout w:type="fixed"/>
        <w:tblCellMar>
          <w:left w:w="62" w:type="dxa"/>
          <w:right w:w="62" w:type="dxa"/>
        </w:tblCellMar>
        <w:tblLook w:val="0000"/>
      </w:tblPr>
      <w:tblGrid>
        <w:gridCol w:w="8460"/>
      </w:tblGrid>
      <w:tr w:rsidTr="004720D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RANGE STATEMENT</w:t>
            </w:r>
          </w:p>
        </w:tc>
      </w:tr>
      <w:tr w:rsidTr="004720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7</w:t>
            </w:r>
            <w:r w:rsidRPr="00911B7B">
              <w:t xml:space="preserve">) This relates to the competency standard unit as a whole providing the range of contexts and conditions to which the Performance Criteria apply. It allows for different work environments </w:t>
            </w:r>
            <w:r w:rsidRPr="00911B7B">
              <w:t>and situations that will affect performance.</w:t>
            </w:r>
          </w:p>
        </w:tc>
      </w:tr>
      <w:tr w:rsidTr="004720D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This Unit shall/may be demonstrated in relation to maintaining cathodic protection systems.</w:t>
            </w:r>
          </w:p>
          <w:p w:rsidR="00000000" w:rsidRPr="00911B7B" w:rsidP="00911B7B">
            <w:pPr>
              <w:pStyle w:val="BodyText"/>
            </w:pPr>
            <w:r w:rsidRPr="00911B7B">
              <w:t>The following constants and variables included in the element/Performance Criteria in this unit are fully described in the Definitions Section of this volume and form an integral part of the Range Statement of this unit:</w:t>
            </w:r>
          </w:p>
          <w:p w:rsidR="00000000" w:rsidRPr="00911B7B" w:rsidP="00911B7B">
            <w:pPr>
              <w:pStyle w:val="BodyText"/>
            </w:pPr>
            <w:r w:rsidRPr="00911B7B">
              <w:t xml:space="preserve">Types of CP faults </w:t>
            </w:r>
          </w:p>
          <w:p w:rsidR="00000000" w:rsidRPr="00911B7B" w:rsidP="00911B7B">
            <w:pPr>
              <w:pStyle w:val="BodyText"/>
            </w:pPr>
            <w:r w:rsidRPr="00911B7B">
              <w:t>Applicable Aust</w:t>
            </w:r>
            <w:r w:rsidRPr="00911B7B">
              <w:t>ralian standards/legislation</w:t>
            </w:r>
          </w:p>
          <w:p w:rsidR="00000000" w:rsidRPr="00911B7B" w:rsidP="00911B7B">
            <w:pPr>
              <w:pStyle w:val="BodyText"/>
            </w:pPr>
            <w:r w:rsidRPr="00911B7B">
              <w:t xml:space="preserve">Location </w:t>
            </w:r>
          </w:p>
          <w:p w:rsidR="00000000" w:rsidRPr="00911B7B" w:rsidP="00911B7B">
            <w:pPr>
              <w:pStyle w:val="BodyText"/>
            </w:pPr>
            <w:r w:rsidRPr="00911B7B">
              <w:t>Electrical equipment</w:t>
            </w:r>
          </w:p>
          <w:p w:rsidR="00000000" w:rsidRPr="00911B7B" w:rsidP="00911B7B">
            <w:pPr>
              <w:pStyle w:val="BodyText"/>
            </w:pPr>
            <w:r w:rsidRPr="00911B7B">
              <w:t>Types of checks and tests</w:t>
            </w:r>
          </w:p>
          <w:p w:rsidR="00000000" w:rsidRPr="00911B7B" w:rsidP="00911B7B">
            <w:pPr>
              <w:pStyle w:val="BodyText"/>
            </w:pPr>
            <w:r w:rsidRPr="00911B7B">
              <w:t xml:space="preserve">Test equipment </w:t>
            </w:r>
          </w:p>
          <w:p w:rsidR="00000000" w:rsidRPr="00911B7B" w:rsidP="00911B7B">
            <w:pPr>
              <w:pStyle w:val="BodyText"/>
            </w:pPr>
            <w:r w:rsidRPr="00911B7B">
              <w:t>Components and systems</w:t>
            </w:r>
          </w:p>
          <w:p w:rsidR="00000000" w:rsidRPr="00911B7B" w:rsidP="00911B7B">
            <w:pPr>
              <w:pStyle w:val="BodyText"/>
            </w:pPr>
            <w:r w:rsidRPr="00911B7B">
              <w:t>Relevant documentation</w:t>
            </w:r>
          </w:p>
          <w:p w:rsidR="00000000" w:rsidRPr="00911B7B" w:rsidP="00911B7B">
            <w:pPr>
              <w:pStyle w:val="BodyText"/>
            </w:pPr>
            <w:r w:rsidRPr="00911B7B">
              <w:t>Relevant authorities and other stakeholders/authorities</w:t>
            </w:r>
          </w:p>
          <w:p w:rsidR="00000000" w:rsidRPr="00911B7B" w:rsidP="00911B7B">
            <w:pPr>
              <w:pStyle w:val="BodyText"/>
            </w:pPr>
            <w:r w:rsidRPr="00911B7B">
              <w:t>Location for maintaining CP systems</w:t>
            </w:r>
          </w:p>
          <w:p w:rsidR="00000000" w:rsidRPr="00911B7B" w:rsidP="00911B7B">
            <w:pPr>
              <w:pStyle w:val="BodyText"/>
            </w:pPr>
            <w:r w:rsidRPr="00911B7B">
              <w:t>Drawings and spe</w:t>
            </w:r>
            <w:r w:rsidRPr="00911B7B">
              <w:t>cifications</w:t>
            </w:r>
          </w:p>
        </w:tc>
      </w:tr>
    </w:tbl>
    <w:p w:rsidR="004720D1" w:rsidP="00911B7B">
      <w:pPr>
        <w:pStyle w:val="BodyText"/>
      </w:pPr>
    </w:p>
    <w:p w:rsidR="004720D1" w:rsidP="00911B7B">
      <w:pPr>
        <w:pStyle w:val="BodyText"/>
      </w:pPr>
    </w:p>
    <w:p w:rsidR="00000000" w:rsidRPr="00911B7B" w:rsidP="00911B7B">
      <w:pPr>
        <w:pStyle w:val="Heading1"/>
      </w:pPr>
      <w:bookmarkStart w:id="12" w:name="O_296821"/>
      <w:bookmarkEnd w:id="12"/>
      <w:r w:rsidRPr="00911B7B">
        <w:t>Unit Sector(s)</w:t>
      </w:r>
    </w:p>
    <w:p w:rsidR="00000000" w:rsidRPr="00911B7B" w:rsidP="00911B7B">
      <w:pPr>
        <w:pStyle w:val="BodyText"/>
      </w:pPr>
      <w:r w:rsidRPr="00911B7B">
        <w:t>Not Applicable</w:t>
      </w:r>
    </w:p>
    <w:p w:rsidR="00000000" w:rsidRPr="00911B7B" w:rsidP="00911B7B">
      <w:pPr>
        <w:pStyle w:val="AllowPageBreak"/>
      </w:pPr>
    </w:p>
    <w:p w:rsidR="00000000" w:rsidRPr="00911B7B" w:rsidP="00911B7B">
      <w:pPr>
        <w:pStyle w:val="Heading1"/>
      </w:pPr>
      <w:bookmarkStart w:id="13" w:name="O_229585"/>
      <w:bookmarkEnd w:id="13"/>
      <w:r w:rsidRPr="00911B7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720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2</w:t>
            </w:r>
            <w:r w:rsidRPr="00911B7B">
              <w:t>.</w:t>
            </w:r>
            <w:r w:rsidRPr="00911B7B">
              <w:rPr>
                <w:rStyle w:val="SpecialBold"/>
              </w:rPr>
              <w:t>2</w:t>
            </w:r>
            <w:r w:rsidRPr="00911B7B">
              <w:t xml:space="preserve">) </w:t>
            </w:r>
          </w:p>
          <w:p w:rsidR="00000000" w:rsidP="00911B7B">
            <w:pPr>
              <w:pStyle w:val="BodyText"/>
              <w:rPr>
                <w:lang w:val="en-NZ"/>
              </w:rPr>
            </w:pPr>
            <w:r w:rsidRPr="00911B7B">
              <w:t>Participants are best equipped to achieve this unit if they have reading, writing and numeracy skills indicated by the following scales. Description of each scale is given in Volume 2, Part 3 'Literacy and Numeracy'</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Reading</w:t>
            </w:r>
          </w:p>
        </w:tc>
        <w:tc>
          <w:tcPr>
            <w:tcW w:w="805"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w:t>
            </w:r>
          </w:p>
        </w:tc>
        <w:tc>
          <w:tcPr>
            <w:tcW w:w="1184"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Writing</w:t>
            </w:r>
          </w:p>
        </w:tc>
        <w:tc>
          <w:tcPr>
            <w:tcW w:w="805"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3</w:t>
            </w:r>
          </w:p>
        </w:tc>
        <w:tc>
          <w:tcPr>
            <w:tcW w:w="1172"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t>Numeracy</w:t>
            </w:r>
          </w:p>
        </w:tc>
        <w:tc>
          <w:tcPr>
            <w:tcW w:w="805"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3</w:t>
            </w:r>
          </w:p>
        </w:tc>
      </w:tr>
    </w:tbl>
    <w:p w:rsidR="004720D1" w:rsidP="00911B7B">
      <w:pPr>
        <w:pStyle w:val="BodyText"/>
      </w:pPr>
    </w:p>
    <w:p w:rsidR="004720D1" w:rsidP="00911B7B">
      <w:pPr>
        <w:pStyle w:val="BodyText"/>
      </w:pPr>
    </w:p>
    <w:p w:rsidR="00000000" w:rsidRPr="00911B7B" w:rsidP="00911B7B">
      <w:pPr>
        <w:pStyle w:val="Heading1"/>
      </w:pPr>
      <w:bookmarkStart w:id="14" w:name="O_229588"/>
      <w:bookmarkEnd w:id="14"/>
      <w:r w:rsidRPr="00911B7B">
        <w:t>Competency Field</w:t>
      </w:r>
    </w:p>
    <w:tbl>
      <w:tblPr>
        <w:tblW w:w="0" w:type="auto"/>
        <w:tblLayout w:type="fixed"/>
        <w:tblCellMar>
          <w:left w:w="62" w:type="dxa"/>
          <w:right w:w="62" w:type="dxa"/>
        </w:tblCellMar>
        <w:tblLook w:val="0000"/>
      </w:tblPr>
      <w:tblGrid>
        <w:gridCol w:w="2700"/>
        <w:gridCol w:w="5760"/>
      </w:tblGrid>
      <w:tr w:rsidTr="004720D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11B7B">
            <w:pPr>
              <w:pStyle w:val="BodyText"/>
              <w:rPr>
                <w:lang w:val="en-NZ"/>
              </w:rPr>
            </w:pPr>
            <w:r w:rsidRPr="00911B7B">
              <w:rPr>
                <w:rStyle w:val="SpecialBold"/>
              </w:rPr>
              <w:t>4</w:t>
            </w:r>
            <w:r w:rsidRPr="00911B7B">
              <w:t xml:space="preserve">) </w:t>
            </w:r>
          </w:p>
        </w:tc>
      </w:tr>
      <w:tr w:rsidTr="004720D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11B7B" w:rsidP="00911B7B">
            <w:pPr>
              <w:pStyle w:val="BodyText"/>
            </w:pPr>
            <w:r w:rsidRPr="00911B7B">
              <w:t>Cathodic protection.</w:t>
            </w:r>
          </w:p>
        </w:tc>
      </w:tr>
    </w:tbl>
    <w:p w:rsidR="004720D1" w:rsidP="00911B7B">
      <w:pPr>
        <w:pStyle w:val="BodyText"/>
      </w:pPr>
    </w:p>
    <w:p w:rsidR="004720D1" w:rsidP="00911B7B">
      <w:pPr>
        <w:pStyle w:val="BodyText"/>
      </w:pPr>
    </w:p>
    <w:p w:rsidR="00000000" w:rsidRPr="00911B7B" w:rsidP="00911B7B"/>
    <w:sectPr w:rsidSect="00911B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0D1" w:rsidP="004720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D1" w:rsidP="00911B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720D1" w:rsidP="00911B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20D1" w:rsidP="00911B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20D1" w:rsidP="004720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B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0D1" w:rsidP="00911B7B">
    <w:pPr>
      <w:pStyle w:val="Header"/>
      <w:framePr w:wrap="around"/>
    </w:pPr>
    <w:r>
      <w:fldChar w:fldCharType="begin"/>
    </w:r>
    <w:r>
      <w:instrText xml:space="preserve"> TITLE   \* MERGEFORMAT </w:instrText>
    </w:r>
    <w:r>
      <w:fldChar w:fldCharType="separate"/>
    </w:r>
    <w:r>
      <w:t>UEGNSG401A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20D1" w:rsidP="00911B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87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3EE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88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B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B7B"/>
    <w:pPr>
      <w:spacing w:before="360" w:after="60"/>
      <w:outlineLvl w:val="0"/>
    </w:pPr>
    <w:rPr>
      <w:sz w:val="32"/>
    </w:rPr>
  </w:style>
  <w:style w:type="paragraph" w:styleId="Heading2">
    <w:name w:val="heading 2"/>
    <w:basedOn w:val="HeadingBase"/>
    <w:next w:val="BodyText"/>
    <w:link w:val="Heading2Char"/>
    <w:qFormat/>
    <w:rsid w:val="00911B7B"/>
    <w:pPr>
      <w:keepLines/>
      <w:spacing w:before="240" w:after="120"/>
      <w:outlineLvl w:val="1"/>
    </w:pPr>
    <w:rPr>
      <w:sz w:val="28"/>
      <w:szCs w:val="40"/>
    </w:rPr>
  </w:style>
  <w:style w:type="paragraph" w:styleId="Heading3">
    <w:name w:val="heading 3"/>
    <w:basedOn w:val="HeadingBase"/>
    <w:next w:val="BodyText"/>
    <w:link w:val="Heading3Char"/>
    <w:qFormat/>
    <w:rsid w:val="00911B7B"/>
    <w:pPr>
      <w:spacing w:before="180" w:after="120"/>
      <w:outlineLvl w:val="2"/>
    </w:pPr>
    <w:rPr>
      <w:spacing w:val="-10"/>
      <w:kern w:val="32"/>
    </w:rPr>
  </w:style>
  <w:style w:type="paragraph" w:styleId="Heading4">
    <w:name w:val="heading 4"/>
    <w:basedOn w:val="HeadingBase"/>
    <w:next w:val="BodyText"/>
    <w:link w:val="Heading4Char"/>
    <w:qFormat/>
    <w:rsid w:val="00911B7B"/>
    <w:pPr>
      <w:spacing w:before="160" w:after="120"/>
      <w:outlineLvl w:val="3"/>
    </w:pPr>
    <w:rPr>
      <w:sz w:val="22"/>
    </w:rPr>
  </w:style>
  <w:style w:type="paragraph" w:styleId="Heading5">
    <w:name w:val="heading 5"/>
    <w:basedOn w:val="HeadingBase"/>
    <w:next w:val="Normal"/>
    <w:link w:val="Heading5Char"/>
    <w:qFormat/>
    <w:rsid w:val="00911B7B"/>
    <w:pPr>
      <w:spacing w:before="80"/>
      <w:outlineLvl w:val="4"/>
    </w:pPr>
    <w:rPr>
      <w:color w:val="918585"/>
      <w:sz w:val="20"/>
    </w:rPr>
  </w:style>
  <w:style w:type="paragraph" w:styleId="Heading6">
    <w:name w:val="heading 6"/>
    <w:basedOn w:val="HeadingBase"/>
    <w:next w:val="Normal"/>
    <w:link w:val="Heading6Char"/>
    <w:qFormat/>
    <w:rsid w:val="00911B7B"/>
    <w:pPr>
      <w:spacing w:before="60"/>
      <w:outlineLvl w:val="5"/>
    </w:pPr>
    <w:rPr>
      <w:color w:val="918585"/>
      <w:sz w:val="20"/>
    </w:rPr>
  </w:style>
  <w:style w:type="paragraph" w:styleId="Heading7">
    <w:name w:val="heading 7"/>
    <w:basedOn w:val="Normal"/>
    <w:next w:val="Normal"/>
    <w:link w:val="Heading7Char"/>
    <w:qFormat/>
    <w:rsid w:val="00911B7B"/>
    <w:pPr>
      <w:ind w:left="720"/>
      <w:outlineLvl w:val="6"/>
    </w:pPr>
    <w:rPr>
      <w:i/>
    </w:rPr>
  </w:style>
  <w:style w:type="paragraph" w:styleId="Heading8">
    <w:name w:val="heading 8"/>
    <w:basedOn w:val="Normal"/>
    <w:next w:val="Normal"/>
    <w:link w:val="Heading8Char"/>
    <w:qFormat/>
    <w:rsid w:val="00911B7B"/>
    <w:pPr>
      <w:ind w:left="720"/>
      <w:outlineLvl w:val="7"/>
    </w:pPr>
    <w:rPr>
      <w:i/>
    </w:rPr>
  </w:style>
  <w:style w:type="paragraph" w:styleId="Heading9">
    <w:name w:val="heading 9"/>
    <w:basedOn w:val="Normal"/>
    <w:next w:val="Normal"/>
    <w:link w:val="Heading9Char"/>
    <w:qFormat/>
    <w:rsid w:val="00911B7B"/>
    <w:pPr>
      <w:ind w:left="720"/>
      <w:outlineLvl w:val="8"/>
    </w:pPr>
    <w:rPr>
      <w:i/>
    </w:rPr>
  </w:style>
  <w:style w:type="character" w:default="1" w:styleId="DefaultParagraphFont">
    <w:name w:val="Default Paragraph Font"/>
    <w:uiPriority w:val="1"/>
    <w:unhideWhenUsed/>
    <w:rsid w:val="00911B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B7B"/>
  </w:style>
  <w:style w:type="character" w:customStyle="1" w:styleId="Heading1Char">
    <w:name w:val="Heading 1 Char"/>
    <w:link w:val="Heading1"/>
    <w:rsid w:val="00911B7B"/>
    <w:rPr>
      <w:rFonts w:ascii="Times New Roman" w:eastAsia="Times New Roman" w:hAnsi="Times New Roman" w:cs="Times New Roman"/>
      <w:b/>
      <w:sz w:val="32"/>
      <w:szCs w:val="20"/>
      <w:lang w:eastAsia="en-US"/>
    </w:rPr>
  </w:style>
  <w:style w:type="paragraph" w:styleId="BodyText">
    <w:name w:val="Body Text"/>
    <w:basedOn w:val="Normal"/>
    <w:link w:val="BodyTextChar"/>
    <w:rsid w:val="00911B7B"/>
    <w:pPr>
      <w:spacing w:before="120" w:after="120"/>
      <w:contextualSpacing/>
    </w:pPr>
    <w:rPr>
      <w:rFonts w:ascii="Times New Roman" w:hAnsi="Times New Roman"/>
      <w:sz w:val="24"/>
      <w:szCs w:val="22"/>
    </w:rPr>
  </w:style>
  <w:style w:type="character" w:customStyle="1" w:styleId="BodyTextChar">
    <w:name w:val="Body Text Char"/>
    <w:link w:val="BodyText"/>
    <w:rsid w:val="00911B7B"/>
    <w:rPr>
      <w:rFonts w:ascii="Times New Roman" w:eastAsia="Times New Roman" w:hAnsi="Times New Roman" w:cs="Times New Roman"/>
      <w:sz w:val="24"/>
      <w:lang w:val="en-US" w:eastAsia="en-US"/>
    </w:rPr>
  </w:style>
  <w:style w:type="paragraph" w:styleId="Footer">
    <w:name w:val="footer"/>
    <w:basedOn w:val="Normal"/>
    <w:link w:val="FooterChar"/>
    <w:rsid w:val="00911B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1B7B"/>
    <w:rPr>
      <w:rFonts w:ascii="Times New Roman" w:eastAsia="Times New Roman" w:hAnsi="Times New Roman" w:cs="Times New Roman"/>
      <w:sz w:val="16"/>
      <w:lang w:val="en-US" w:eastAsia="en-US"/>
    </w:rPr>
  </w:style>
  <w:style w:type="paragraph" w:styleId="ListBullet">
    <w:name w:val="List Bullet"/>
    <w:basedOn w:val="List"/>
    <w:rsid w:val="00911B7B"/>
    <w:pPr>
      <w:numPr>
        <w:numId w:val="13"/>
      </w:numPr>
      <w:tabs>
        <w:tab w:val="clear" w:pos="340"/>
      </w:tabs>
      <w:spacing w:before="40" w:after="40"/>
    </w:pPr>
  </w:style>
  <w:style w:type="character" w:customStyle="1" w:styleId="SpecialBold">
    <w:name w:val="Special Bold"/>
    <w:rsid w:val="00911B7B"/>
    <w:rPr>
      <w:b/>
      <w:spacing w:val="0"/>
    </w:rPr>
  </w:style>
  <w:style w:type="paragraph" w:styleId="ListBullet2">
    <w:name w:val="List Bullet 2"/>
    <w:basedOn w:val="List2"/>
    <w:rsid w:val="00911B7B"/>
    <w:pPr>
      <w:numPr>
        <w:numId w:val="14"/>
      </w:numPr>
      <w:tabs>
        <w:tab w:val="clear" w:pos="680"/>
      </w:tabs>
    </w:pPr>
  </w:style>
  <w:style w:type="paragraph" w:styleId="Header">
    <w:name w:val="header"/>
    <w:basedOn w:val="Normal"/>
    <w:link w:val="HeaderChar"/>
    <w:rsid w:val="00911B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1B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B7B"/>
    <w:pPr>
      <w:spacing w:before="240" w:after="120"/>
      <w:outlineLvl w:val="0"/>
    </w:pPr>
    <w:rPr>
      <w:rFonts w:ascii="Times New Roman" w:hAnsi="Times New Roman"/>
      <w:b/>
      <w:sz w:val="28"/>
    </w:rPr>
  </w:style>
  <w:style w:type="paragraph" w:customStyle="1" w:styleId="AllowPageBreak">
    <w:name w:val="AllowPageBreak"/>
    <w:rsid w:val="00911B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11B7B"/>
    <w:rPr>
      <w:rFonts w:ascii="Times New Roman" w:eastAsia="Times New Roman" w:hAnsi="Times New Roman" w:cs="Times New Roman"/>
      <w:b/>
      <w:sz w:val="28"/>
      <w:szCs w:val="40"/>
      <w:lang w:eastAsia="en-US"/>
    </w:rPr>
  </w:style>
  <w:style w:type="character" w:customStyle="1" w:styleId="Heading3Char">
    <w:name w:val="Heading 3 Char"/>
    <w:link w:val="Heading3"/>
    <w:rsid w:val="00911B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1B7B"/>
    <w:rPr>
      <w:rFonts w:ascii="Times New Roman" w:eastAsia="Times New Roman" w:hAnsi="Times New Roman" w:cs="Times New Roman"/>
      <w:b/>
      <w:szCs w:val="20"/>
      <w:lang w:eastAsia="en-US"/>
    </w:rPr>
  </w:style>
  <w:style w:type="character" w:customStyle="1" w:styleId="Heading5Char">
    <w:name w:val="Heading 5 Char"/>
    <w:link w:val="Heading5"/>
    <w:rsid w:val="00911B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1B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B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B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B7B"/>
    <w:rPr>
      <w:rFonts w:ascii="Courier New" w:eastAsia="Times New Roman" w:hAnsi="Courier New" w:cs="Times New Roman"/>
      <w:i/>
      <w:szCs w:val="20"/>
      <w:lang w:val="en-US" w:eastAsia="en-US"/>
    </w:rPr>
  </w:style>
  <w:style w:type="paragraph" w:customStyle="1" w:styleId="HeadingBase">
    <w:name w:val="Heading Base"/>
    <w:rsid w:val="00911B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B7B"/>
    <w:pPr>
      <w:tabs>
        <w:tab w:val="right" w:leader="dot" w:pos="9072"/>
      </w:tabs>
      <w:ind w:left="567"/>
    </w:pPr>
    <w:rPr>
      <w:szCs w:val="22"/>
    </w:rPr>
  </w:style>
  <w:style w:type="paragraph" w:customStyle="1" w:styleId="TOCBase">
    <w:name w:val="TOC Base"/>
    <w:rsid w:val="00911B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B7B"/>
    <w:pPr>
      <w:tabs>
        <w:tab w:val="right" w:leader="dot" w:pos="9072"/>
      </w:tabs>
      <w:spacing w:before="40" w:after="40"/>
      <w:ind w:left="284"/>
    </w:pPr>
    <w:rPr>
      <w:rFonts w:ascii="Times New Roman" w:hAnsi="Times New Roman"/>
    </w:rPr>
  </w:style>
  <w:style w:type="paragraph" w:styleId="TOC1">
    <w:name w:val="toc 1"/>
    <w:basedOn w:val="TOCBase"/>
    <w:next w:val="Normal"/>
    <w:rsid w:val="00911B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B7B"/>
    <w:pPr>
      <w:spacing w:before="5040"/>
      <w:jc w:val="center"/>
    </w:pPr>
    <w:rPr>
      <w:sz w:val="48"/>
      <w:szCs w:val="72"/>
      <w:lang w:val="en-US"/>
    </w:rPr>
  </w:style>
  <w:style w:type="character" w:customStyle="1" w:styleId="TitleChar">
    <w:name w:val="Title Char"/>
    <w:link w:val="Title"/>
    <w:rsid w:val="00911B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B7B"/>
    <w:pPr>
      <w:tabs>
        <w:tab w:val="left" w:pos="3600"/>
        <w:tab w:val="left" w:pos="3958"/>
      </w:tabs>
    </w:pPr>
  </w:style>
  <w:style w:type="paragraph" w:styleId="List">
    <w:name w:val="List"/>
    <w:basedOn w:val="BodyText"/>
    <w:next w:val="BodyText"/>
    <w:rsid w:val="00911B7B"/>
    <w:pPr>
      <w:tabs>
        <w:tab w:val="left" w:pos="340"/>
      </w:tabs>
      <w:spacing w:before="60" w:after="60"/>
      <w:ind w:left="340" w:hanging="340"/>
    </w:pPr>
  </w:style>
  <w:style w:type="paragraph" w:customStyle="1" w:styleId="Note">
    <w:name w:val="Note"/>
    <w:basedOn w:val="BodyText"/>
    <w:rsid w:val="00911B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B7B"/>
    <w:pPr>
      <w:framePr w:wrap="auto" w:hAnchor="text" w:y="6049"/>
    </w:pPr>
    <w:rPr>
      <w:color w:val="000000"/>
      <w:sz w:val="40"/>
    </w:rPr>
  </w:style>
  <w:style w:type="paragraph" w:customStyle="1" w:styleId="TOCTitle">
    <w:name w:val="TOCTitle"/>
    <w:basedOn w:val="Heading1"/>
    <w:rsid w:val="00911B7B"/>
    <w:pPr>
      <w:spacing w:after="240"/>
      <w:jc w:val="center"/>
      <w:outlineLvl w:val="9"/>
    </w:pPr>
    <w:rPr>
      <w:caps/>
    </w:rPr>
  </w:style>
  <w:style w:type="paragraph" w:customStyle="1" w:styleId="Version">
    <w:name w:val="Version"/>
    <w:rsid w:val="00911B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B7B"/>
    <w:pPr>
      <w:keepNext w:val="0"/>
      <w:tabs>
        <w:tab w:val="right" w:pos="4176"/>
      </w:tabs>
      <w:ind w:left="198" w:hanging="198"/>
    </w:pPr>
    <w:rPr>
      <w:rFonts w:ascii="Garamond" w:hAnsi="Garamond"/>
    </w:rPr>
  </w:style>
  <w:style w:type="paragraph" w:styleId="IndexHeading">
    <w:name w:val="index heading"/>
    <w:basedOn w:val="Normal"/>
    <w:next w:val="Index1"/>
    <w:semiHidden/>
    <w:rsid w:val="00911B7B"/>
    <w:pPr>
      <w:spacing w:before="120" w:after="120"/>
    </w:pPr>
    <w:rPr>
      <w:rFonts w:ascii="Arial" w:hAnsi="Arial"/>
      <w:b/>
      <w:color w:val="918585"/>
      <w:sz w:val="24"/>
    </w:rPr>
  </w:style>
  <w:style w:type="paragraph" w:customStyle="1" w:styleId="Chapter">
    <w:name w:val="Chapter"/>
    <w:basedOn w:val="Normal"/>
    <w:rsid w:val="00911B7B"/>
    <w:pPr>
      <w:spacing w:before="240"/>
    </w:pPr>
    <w:rPr>
      <w:rFonts w:ascii="Times New Roman" w:hAnsi="Times New Roman"/>
      <w:smallCaps/>
      <w:spacing w:val="80"/>
      <w:sz w:val="28"/>
    </w:rPr>
  </w:style>
  <w:style w:type="paragraph" w:customStyle="1" w:styleId="InChapter">
    <w:name w:val="InChapter"/>
    <w:basedOn w:val="Heading3"/>
    <w:rsid w:val="00911B7B"/>
    <w:pPr>
      <w:spacing w:after="240"/>
      <w:outlineLvl w:val="9"/>
    </w:pPr>
    <w:rPr>
      <w:noProof/>
    </w:rPr>
  </w:style>
  <w:style w:type="paragraph" w:styleId="Index2">
    <w:name w:val="index 2"/>
    <w:basedOn w:val="Normal"/>
    <w:next w:val="Normal"/>
    <w:semiHidden/>
    <w:rsid w:val="00911B7B"/>
    <w:pPr>
      <w:tabs>
        <w:tab w:val="right" w:pos="4176"/>
      </w:tabs>
      <w:ind w:left="568" w:hanging="284"/>
    </w:pPr>
    <w:rPr>
      <w:rFonts w:ascii="Garamond" w:hAnsi="Garamond"/>
    </w:rPr>
  </w:style>
  <w:style w:type="paragraph" w:customStyle="1" w:styleId="Byline">
    <w:name w:val="Byline"/>
    <w:rsid w:val="00911B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B7B"/>
    <w:pPr>
      <w:tabs>
        <w:tab w:val="clear" w:pos="3600"/>
        <w:tab w:val="clear" w:pos="3958"/>
      </w:tabs>
      <w:jc w:val="right"/>
    </w:pPr>
  </w:style>
  <w:style w:type="character" w:styleId="Emphasis">
    <w:name w:val="Emphasis"/>
    <w:qFormat/>
    <w:rsid w:val="00911B7B"/>
    <w:rPr>
      <w:i/>
    </w:rPr>
  </w:style>
  <w:style w:type="paragraph" w:styleId="Caption">
    <w:name w:val="caption"/>
    <w:basedOn w:val="BodyText"/>
    <w:next w:val="Normal"/>
    <w:qFormat/>
    <w:rsid w:val="00911B7B"/>
    <w:pPr>
      <w:framePr w:w="2268" w:hSpace="181" w:vSpace="181" w:wrap="around" w:vAnchor="text" w:hAnchor="page" w:x="1135" w:y="285" w:anchorLock="1"/>
    </w:pPr>
    <w:rPr>
      <w:i/>
    </w:rPr>
  </w:style>
  <w:style w:type="paragraph" w:customStyle="1" w:styleId="MiniTOCTitle">
    <w:name w:val="MiniTOCTitle"/>
    <w:basedOn w:val="Heading4"/>
    <w:rsid w:val="00911B7B"/>
    <w:pPr>
      <w:spacing w:before="240"/>
      <w:outlineLvl w:val="9"/>
    </w:pPr>
    <w:rPr>
      <w:noProof/>
      <w:sz w:val="24"/>
    </w:rPr>
  </w:style>
  <w:style w:type="paragraph" w:customStyle="1" w:styleId="MiniTOCItem">
    <w:name w:val="MiniTOCItem"/>
    <w:basedOn w:val="ListBullet"/>
    <w:rsid w:val="00911B7B"/>
    <w:pPr>
      <w:numPr>
        <w:numId w:val="0"/>
      </w:numPr>
      <w:tabs>
        <w:tab w:val="right" w:leader="dot" w:pos="6521"/>
      </w:tabs>
      <w:spacing w:before="0" w:after="0"/>
    </w:pPr>
  </w:style>
  <w:style w:type="paragraph" w:customStyle="1" w:styleId="TOFTitle">
    <w:name w:val="TOFTitle"/>
    <w:basedOn w:val="TOCTitle"/>
    <w:rsid w:val="00911B7B"/>
  </w:style>
  <w:style w:type="paragraph" w:styleId="TableofFigures">
    <w:name w:val="table of figures"/>
    <w:basedOn w:val="Normal"/>
    <w:next w:val="Normal"/>
    <w:semiHidden/>
    <w:rsid w:val="00911B7B"/>
    <w:pPr>
      <w:tabs>
        <w:tab w:val="right" w:leader="dot" w:pos="9072"/>
      </w:tabs>
      <w:ind w:left="970" w:hanging="403"/>
    </w:pPr>
    <w:rPr>
      <w:rFonts w:ascii="Times New Roman" w:hAnsi="Times New Roman"/>
      <w:b/>
    </w:rPr>
  </w:style>
  <w:style w:type="paragraph" w:styleId="ListNumber">
    <w:name w:val="List Number"/>
    <w:basedOn w:val="List"/>
    <w:rsid w:val="00911B7B"/>
    <w:pPr>
      <w:numPr>
        <w:numId w:val="11"/>
      </w:numPr>
    </w:pPr>
  </w:style>
  <w:style w:type="character" w:customStyle="1" w:styleId="WingdingSymbols">
    <w:name w:val="Wingding Symbols"/>
    <w:rsid w:val="00911B7B"/>
    <w:rPr>
      <w:rFonts w:ascii="Wingdings" w:hAnsi="Wingdings"/>
    </w:rPr>
  </w:style>
  <w:style w:type="paragraph" w:customStyle="1" w:styleId="TableHeading">
    <w:name w:val="Table Heading"/>
    <w:basedOn w:val="HeadingBase"/>
    <w:rsid w:val="00911B7B"/>
    <w:pPr>
      <w:keepLines/>
      <w:pBdr>
        <w:bottom w:val="single" w:sz="6" w:space="1" w:color="918585"/>
      </w:pBdr>
      <w:spacing w:before="240"/>
    </w:pPr>
  </w:style>
  <w:style w:type="character" w:customStyle="1" w:styleId="HotSpot">
    <w:name w:val="HotSpot"/>
    <w:rsid w:val="00911B7B"/>
    <w:rPr>
      <w:color w:val="0033CC"/>
      <w:u w:val="none"/>
    </w:rPr>
  </w:style>
  <w:style w:type="paragraph" w:customStyle="1" w:styleId="BodyTextRight">
    <w:name w:val="Body Text Right"/>
    <w:basedOn w:val="BodyText"/>
    <w:rsid w:val="00911B7B"/>
    <w:pPr>
      <w:spacing w:before="0" w:after="0"/>
      <w:jc w:val="right"/>
    </w:pPr>
  </w:style>
  <w:style w:type="paragraph" w:styleId="Index3">
    <w:name w:val="index 3"/>
    <w:basedOn w:val="ListNumber2"/>
    <w:next w:val="Normal"/>
    <w:semiHidden/>
    <w:rsid w:val="00911B7B"/>
    <w:pPr>
      <w:numPr>
        <w:numId w:val="0"/>
      </w:numPr>
      <w:tabs>
        <w:tab w:val="right" w:leader="dot" w:pos="4176"/>
      </w:tabs>
    </w:pPr>
  </w:style>
  <w:style w:type="paragraph" w:styleId="ListNumber2">
    <w:name w:val="List Number 2"/>
    <w:basedOn w:val="List2"/>
    <w:rsid w:val="00911B7B"/>
    <w:pPr>
      <w:numPr>
        <w:numId w:val="10"/>
      </w:numPr>
      <w:tabs>
        <w:tab w:val="clear" w:pos="1060"/>
      </w:tabs>
    </w:pPr>
  </w:style>
  <w:style w:type="paragraph" w:customStyle="1" w:styleId="MarginNote">
    <w:name w:val="Margin Note"/>
    <w:basedOn w:val="BodyText"/>
    <w:rsid w:val="00911B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B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1B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B7B"/>
    <w:rPr>
      <w:sz w:val="32"/>
    </w:rPr>
  </w:style>
  <w:style w:type="paragraph" w:customStyle="1" w:styleId="HeadingProcedure">
    <w:name w:val="Heading Procedure"/>
    <w:basedOn w:val="HeadingBase"/>
    <w:next w:val="Normal"/>
    <w:rsid w:val="00911B7B"/>
    <w:pPr>
      <w:tabs>
        <w:tab w:val="left" w:pos="0"/>
      </w:tabs>
      <w:spacing w:before="120" w:after="60"/>
    </w:pPr>
    <w:rPr>
      <w:i/>
      <w:color w:val="918585"/>
      <w:sz w:val="22"/>
    </w:rPr>
  </w:style>
  <w:style w:type="paragraph" w:customStyle="1" w:styleId="TableBodyText">
    <w:name w:val="Table Body Text"/>
    <w:basedOn w:val="BodyText"/>
    <w:rsid w:val="00911B7B"/>
    <w:pPr>
      <w:spacing w:before="60" w:after="60"/>
    </w:pPr>
  </w:style>
  <w:style w:type="paragraph" w:styleId="ListContinue">
    <w:name w:val="List Continue"/>
    <w:basedOn w:val="List"/>
    <w:rsid w:val="00911B7B"/>
    <w:pPr>
      <w:ind w:firstLine="0"/>
    </w:pPr>
  </w:style>
  <w:style w:type="paragraph" w:customStyle="1" w:styleId="ListNote">
    <w:name w:val="List Note"/>
    <w:basedOn w:val="List"/>
    <w:rsid w:val="00911B7B"/>
    <w:pPr>
      <w:pBdr>
        <w:top w:val="single" w:sz="6" w:space="2" w:color="918585"/>
        <w:bottom w:val="single" w:sz="6" w:space="2" w:color="918585"/>
      </w:pBdr>
      <w:tabs>
        <w:tab w:val="left" w:pos="1021"/>
      </w:tabs>
      <w:ind w:firstLine="0"/>
    </w:pPr>
  </w:style>
  <w:style w:type="paragraph" w:customStyle="1" w:styleId="Warning">
    <w:name w:val="Warning"/>
    <w:basedOn w:val="BodyText"/>
    <w:rsid w:val="00911B7B"/>
    <w:pPr>
      <w:shd w:val="clear" w:color="auto" w:fill="D9D9D9"/>
      <w:tabs>
        <w:tab w:val="left" w:pos="992"/>
      </w:tabs>
      <w:ind w:left="119" w:right="119"/>
    </w:pPr>
    <w:rPr>
      <w:sz w:val="20"/>
    </w:rPr>
  </w:style>
  <w:style w:type="paragraph" w:customStyle="1" w:styleId="MarginIcons">
    <w:name w:val="Margin Icons"/>
    <w:basedOn w:val="BodyText"/>
    <w:rsid w:val="00911B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1B7B"/>
    <w:rPr>
      <w:rFonts w:ascii="Courier New" w:hAnsi="Courier New"/>
    </w:rPr>
  </w:style>
  <w:style w:type="paragraph" w:customStyle="1" w:styleId="NoteBullet">
    <w:name w:val="Note Bullet"/>
    <w:basedOn w:val="Note"/>
    <w:rsid w:val="00911B7B"/>
    <w:pPr>
      <w:tabs>
        <w:tab w:val="clear" w:pos="680"/>
      </w:tabs>
      <w:spacing w:before="60" w:after="60"/>
    </w:pPr>
  </w:style>
  <w:style w:type="paragraph" w:customStyle="1" w:styleId="SubHeading2">
    <w:name w:val="SubHeading2"/>
    <w:basedOn w:val="HeadingBase"/>
    <w:rsid w:val="00911B7B"/>
    <w:pPr>
      <w:spacing w:before="240" w:after="60"/>
    </w:pPr>
    <w:rPr>
      <w:sz w:val="20"/>
    </w:rPr>
  </w:style>
  <w:style w:type="paragraph" w:customStyle="1" w:styleId="SubHeading1">
    <w:name w:val="SubHeading1"/>
    <w:basedOn w:val="HeadingBase"/>
    <w:rsid w:val="00911B7B"/>
    <w:pPr>
      <w:spacing w:before="240" w:after="60"/>
    </w:pPr>
    <w:rPr>
      <w:color w:val="918585"/>
      <w:sz w:val="22"/>
    </w:rPr>
  </w:style>
  <w:style w:type="paragraph" w:customStyle="1" w:styleId="SideHeading">
    <w:name w:val="Side Heading"/>
    <w:basedOn w:val="HeadingBase"/>
    <w:rsid w:val="00911B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B7B"/>
    <w:pPr>
      <w:numPr>
        <w:numId w:val="12"/>
      </w:numPr>
    </w:pPr>
  </w:style>
  <w:style w:type="paragraph" w:styleId="PlainText">
    <w:name w:val="Plain Text"/>
    <w:basedOn w:val="Normal"/>
    <w:link w:val="PlainTextChar"/>
    <w:rsid w:val="00911B7B"/>
    <w:rPr>
      <w:sz w:val="20"/>
    </w:rPr>
  </w:style>
  <w:style w:type="character" w:customStyle="1" w:styleId="PlainTextChar">
    <w:name w:val="Plain Text Char"/>
    <w:basedOn w:val="DefaultParagraphFont"/>
    <w:link w:val="PlainText"/>
    <w:rsid w:val="00911B7B"/>
    <w:rPr>
      <w:rFonts w:ascii="Courier New" w:eastAsia="Times New Roman" w:hAnsi="Courier New" w:cs="Times New Roman"/>
      <w:sz w:val="20"/>
      <w:szCs w:val="20"/>
      <w:lang w:val="en-US" w:eastAsia="en-US"/>
    </w:rPr>
  </w:style>
  <w:style w:type="character" w:customStyle="1" w:styleId="MenuOption">
    <w:name w:val="Menu Option"/>
    <w:rsid w:val="00911B7B"/>
    <w:rPr>
      <w:b/>
      <w:smallCaps/>
    </w:rPr>
  </w:style>
  <w:style w:type="paragraph" w:customStyle="1" w:styleId="TableListNumber">
    <w:name w:val="Table List Number"/>
    <w:basedOn w:val="ListNumber"/>
    <w:rsid w:val="00911B7B"/>
    <w:pPr>
      <w:numPr>
        <w:numId w:val="0"/>
      </w:numPr>
    </w:pPr>
  </w:style>
  <w:style w:type="paragraph" w:styleId="TOC4">
    <w:name w:val="toc 4"/>
    <w:basedOn w:val="TOCBase"/>
    <w:next w:val="Normal"/>
    <w:semiHidden/>
    <w:rsid w:val="00911B7B"/>
    <w:pPr>
      <w:tabs>
        <w:tab w:val="right" w:leader="dot" w:pos="9071"/>
      </w:tabs>
      <w:ind w:left="1701"/>
    </w:pPr>
  </w:style>
  <w:style w:type="paragraph" w:customStyle="1" w:styleId="ListAlpha">
    <w:name w:val="List Alpha"/>
    <w:basedOn w:val="List"/>
    <w:rsid w:val="00911B7B"/>
    <w:pPr>
      <w:numPr>
        <w:numId w:val="9"/>
      </w:numPr>
    </w:pPr>
  </w:style>
  <w:style w:type="paragraph" w:customStyle="1" w:styleId="ListAlpha2">
    <w:name w:val="List Alpha 2"/>
    <w:basedOn w:val="List2"/>
    <w:rsid w:val="00911B7B"/>
    <w:pPr>
      <w:numPr>
        <w:numId w:val="8"/>
      </w:numPr>
    </w:pPr>
  </w:style>
  <w:style w:type="paragraph" w:styleId="List2">
    <w:name w:val="List 2"/>
    <w:basedOn w:val="BodyText"/>
    <w:rsid w:val="00911B7B"/>
    <w:pPr>
      <w:tabs>
        <w:tab w:val="left" w:pos="680"/>
      </w:tabs>
      <w:spacing w:before="60" w:after="60"/>
      <w:ind w:left="680" w:hanging="340"/>
    </w:pPr>
  </w:style>
  <w:style w:type="paragraph" w:styleId="List3">
    <w:name w:val="List 3"/>
    <w:basedOn w:val="BodyText"/>
    <w:rsid w:val="00911B7B"/>
    <w:pPr>
      <w:tabs>
        <w:tab w:val="left" w:pos="1021"/>
      </w:tabs>
      <w:spacing w:before="60" w:after="60"/>
      <w:ind w:left="1020" w:hanging="340"/>
    </w:pPr>
  </w:style>
  <w:style w:type="paragraph" w:styleId="List4">
    <w:name w:val="List 4"/>
    <w:basedOn w:val="BodyText"/>
    <w:rsid w:val="00911B7B"/>
    <w:pPr>
      <w:tabs>
        <w:tab w:val="left" w:pos="1361"/>
      </w:tabs>
      <w:spacing w:before="60" w:after="60"/>
      <w:ind w:left="1361" w:hanging="340"/>
    </w:pPr>
  </w:style>
  <w:style w:type="paragraph" w:styleId="List5">
    <w:name w:val="List 5"/>
    <w:basedOn w:val="BodyText"/>
    <w:rsid w:val="00911B7B"/>
    <w:pPr>
      <w:tabs>
        <w:tab w:val="left" w:pos="1701"/>
      </w:tabs>
      <w:spacing w:before="60" w:after="60"/>
      <w:ind w:left="1701" w:hanging="340"/>
    </w:pPr>
  </w:style>
  <w:style w:type="paragraph" w:styleId="ListBullet3">
    <w:name w:val="List Bullet 3"/>
    <w:basedOn w:val="List3"/>
    <w:rsid w:val="00911B7B"/>
    <w:pPr>
      <w:numPr>
        <w:numId w:val="15"/>
      </w:numPr>
      <w:tabs>
        <w:tab w:val="clear" w:pos="1021"/>
      </w:tabs>
      <w:ind w:left="1037" w:hanging="357"/>
    </w:pPr>
  </w:style>
  <w:style w:type="paragraph" w:styleId="ListBullet4">
    <w:name w:val="List Bullet 4"/>
    <w:basedOn w:val="List4"/>
    <w:rsid w:val="00911B7B"/>
    <w:pPr>
      <w:numPr>
        <w:numId w:val="3"/>
      </w:numPr>
    </w:pPr>
  </w:style>
  <w:style w:type="paragraph" w:styleId="ListBullet5">
    <w:name w:val="List Bullet 5"/>
    <w:basedOn w:val="List5"/>
    <w:rsid w:val="00911B7B"/>
    <w:pPr>
      <w:numPr>
        <w:numId w:val="4"/>
      </w:numPr>
    </w:pPr>
  </w:style>
  <w:style w:type="paragraph" w:styleId="ListContinue2">
    <w:name w:val="List Continue 2"/>
    <w:basedOn w:val="List2"/>
    <w:rsid w:val="00911B7B"/>
    <w:pPr>
      <w:ind w:firstLine="0"/>
    </w:pPr>
  </w:style>
  <w:style w:type="paragraph" w:styleId="ListContinue3">
    <w:name w:val="List Continue 3"/>
    <w:basedOn w:val="List3"/>
    <w:rsid w:val="00911B7B"/>
    <w:pPr>
      <w:ind w:left="1021" w:firstLine="0"/>
    </w:pPr>
  </w:style>
  <w:style w:type="paragraph" w:styleId="ListContinue4">
    <w:name w:val="List Continue 4"/>
    <w:basedOn w:val="List4"/>
    <w:rsid w:val="00911B7B"/>
    <w:pPr>
      <w:ind w:firstLine="0"/>
    </w:pPr>
  </w:style>
  <w:style w:type="paragraph" w:styleId="ListContinue5">
    <w:name w:val="List Continue 5"/>
    <w:basedOn w:val="List5"/>
    <w:rsid w:val="00911B7B"/>
    <w:pPr>
      <w:ind w:firstLine="0"/>
    </w:pPr>
  </w:style>
  <w:style w:type="paragraph" w:styleId="ListNumber3">
    <w:name w:val="List Number 3"/>
    <w:basedOn w:val="List3"/>
    <w:rsid w:val="00911B7B"/>
    <w:pPr>
      <w:numPr>
        <w:numId w:val="5"/>
      </w:numPr>
    </w:pPr>
  </w:style>
  <w:style w:type="paragraph" w:styleId="ListNumber4">
    <w:name w:val="List Number 4"/>
    <w:basedOn w:val="List4"/>
    <w:rsid w:val="00911B7B"/>
    <w:pPr>
      <w:numPr>
        <w:numId w:val="6"/>
      </w:numPr>
    </w:pPr>
  </w:style>
  <w:style w:type="paragraph" w:styleId="ListNumber5">
    <w:name w:val="List Number 5"/>
    <w:basedOn w:val="List5"/>
    <w:rsid w:val="00911B7B"/>
    <w:pPr>
      <w:numPr>
        <w:numId w:val="7"/>
      </w:numPr>
    </w:pPr>
  </w:style>
  <w:style w:type="paragraph" w:styleId="BlockText">
    <w:name w:val="Block Text"/>
    <w:basedOn w:val="Normal"/>
    <w:rsid w:val="00911B7B"/>
    <w:pPr>
      <w:spacing w:after="120"/>
      <w:ind w:left="1440" w:right="1440"/>
    </w:pPr>
  </w:style>
  <w:style w:type="character" w:customStyle="1" w:styleId="Subscript">
    <w:name w:val="Subscript"/>
    <w:rsid w:val="00911B7B"/>
    <w:rPr>
      <w:sz w:val="16"/>
      <w:vertAlign w:val="subscript"/>
    </w:rPr>
  </w:style>
  <w:style w:type="character" w:customStyle="1" w:styleId="Superscript">
    <w:name w:val="Superscript"/>
    <w:rsid w:val="00911B7B"/>
    <w:rPr>
      <w:sz w:val="16"/>
      <w:vertAlign w:val="superscript"/>
    </w:rPr>
  </w:style>
  <w:style w:type="character" w:customStyle="1" w:styleId="Symbols">
    <w:name w:val="Symbols"/>
    <w:rsid w:val="00911B7B"/>
    <w:rPr>
      <w:rFonts w:ascii="Symbol" w:hAnsi="Symbol"/>
    </w:rPr>
  </w:style>
  <w:style w:type="character" w:customStyle="1" w:styleId="MenuOptions">
    <w:name w:val="Menu Options"/>
    <w:rsid w:val="00911B7B"/>
    <w:rPr>
      <w:rFonts w:ascii="Arial Narrow" w:hAnsi="Arial Narrow"/>
      <w:smallCaps/>
    </w:rPr>
  </w:style>
  <w:style w:type="character" w:customStyle="1" w:styleId="Buttons">
    <w:name w:val="Buttons"/>
    <w:rsid w:val="00911B7B"/>
    <w:rPr>
      <w:b/>
    </w:rPr>
  </w:style>
  <w:style w:type="character" w:customStyle="1" w:styleId="Underlined">
    <w:name w:val="Underlined"/>
    <w:rsid w:val="00911B7B"/>
    <w:rPr>
      <w:u w:val="single"/>
    </w:rPr>
  </w:style>
  <w:style w:type="paragraph" w:customStyle="1" w:styleId="TableBodyTextRight">
    <w:name w:val="Table Body Text Right"/>
    <w:basedOn w:val="TableBodyText"/>
    <w:rsid w:val="00911B7B"/>
    <w:pPr>
      <w:widowControl w:val="0"/>
      <w:autoSpaceDE w:val="0"/>
      <w:autoSpaceDN w:val="0"/>
      <w:adjustRightInd w:val="0"/>
      <w:jc w:val="right"/>
    </w:pPr>
    <w:rPr>
      <w:rFonts w:cs="Arial"/>
      <w:szCs w:val="18"/>
    </w:rPr>
  </w:style>
  <w:style w:type="paragraph" w:customStyle="1" w:styleId="CopyrightText">
    <w:name w:val="Copyright Text"/>
    <w:basedOn w:val="BodyText"/>
    <w:rsid w:val="00911B7B"/>
    <w:rPr>
      <w:sz w:val="18"/>
    </w:rPr>
  </w:style>
  <w:style w:type="paragraph" w:customStyle="1" w:styleId="BodySmallRight">
    <w:name w:val="Body Small Right"/>
    <w:basedOn w:val="BodyTextRight"/>
    <w:rsid w:val="00911B7B"/>
    <w:rPr>
      <w:sz w:val="18"/>
      <w:szCs w:val="18"/>
    </w:rPr>
  </w:style>
  <w:style w:type="paragraph" w:customStyle="1" w:styleId="MarginEdition">
    <w:name w:val="Margin Edition"/>
    <w:basedOn w:val="MarginNote"/>
    <w:rsid w:val="00911B7B"/>
    <w:pPr>
      <w:spacing w:before="0" w:after="0"/>
    </w:pPr>
    <w:rPr>
      <w:rFonts w:ascii="Times New Roman" w:hAnsi="Times New Roman"/>
      <w:color w:val="999999"/>
    </w:rPr>
  </w:style>
  <w:style w:type="paragraph" w:customStyle="1" w:styleId="Spacer">
    <w:name w:val="Spacer"/>
    <w:basedOn w:val="Normal"/>
    <w:rsid w:val="00911B7B"/>
    <w:rPr>
      <w:sz w:val="2"/>
      <w:szCs w:val="2"/>
    </w:rPr>
  </w:style>
  <w:style w:type="character" w:customStyle="1" w:styleId="Small">
    <w:name w:val="Small"/>
    <w:rsid w:val="00911B7B"/>
    <w:rPr>
      <w:sz w:val="16"/>
    </w:rPr>
  </w:style>
  <w:style w:type="paragraph" w:customStyle="1" w:styleId="WideTable">
    <w:name w:val="Wide Table"/>
    <w:basedOn w:val="Normal"/>
    <w:rsid w:val="00911B7B"/>
    <w:pPr>
      <w:ind w:left="-1418"/>
    </w:pPr>
    <w:rPr>
      <w:sz w:val="2"/>
      <w:szCs w:val="2"/>
    </w:rPr>
  </w:style>
  <w:style w:type="character" w:styleId="PageNumber">
    <w:name w:val="page number"/>
    <w:rsid w:val="00911B7B"/>
  </w:style>
  <w:style w:type="paragraph" w:styleId="Quote">
    <w:name w:val="Quote"/>
    <w:basedOn w:val="Heading1"/>
    <w:link w:val="QuoteChar"/>
    <w:qFormat/>
    <w:rsid w:val="00911B7B"/>
    <w:rPr>
      <w:b w:val="0"/>
      <w:sz w:val="72"/>
      <w:szCs w:val="72"/>
      <w:lang w:val="en-NZ"/>
    </w:rPr>
  </w:style>
  <w:style w:type="character" w:customStyle="1" w:styleId="QuoteChar">
    <w:name w:val="Quote Char"/>
    <w:link w:val="Quote"/>
    <w:rsid w:val="00911B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B7B"/>
    <w:pPr>
      <w:pageBreakBefore/>
    </w:pPr>
  </w:style>
  <w:style w:type="paragraph" w:customStyle="1" w:styleId="Border">
    <w:name w:val="Border"/>
    <w:basedOn w:val="Normal"/>
    <w:qFormat/>
    <w:rsid w:val="00911B7B"/>
    <w:pPr>
      <w:pBdr>
        <w:top w:val="single" w:sz="18" w:space="1" w:color="auto"/>
      </w:pBdr>
    </w:pPr>
    <w:rPr>
      <w:rFonts w:ascii="Times New Roman" w:hAnsi="Times New Roman"/>
      <w:color w:val="FFFFFF"/>
      <w:sz w:val="2"/>
    </w:rPr>
  </w:style>
  <w:style w:type="character" w:styleId="IntenseEmphasis">
    <w:name w:val="Intense Emphasis"/>
    <w:uiPriority w:val="21"/>
    <w:qFormat/>
    <w:rsid w:val="00911B7B"/>
    <w:rPr>
      <w:b/>
      <w:bCs/>
      <w:i/>
      <w:iCs/>
      <w:color w:val="auto"/>
    </w:rPr>
  </w:style>
  <w:style w:type="paragraph" w:styleId="IntenseQuote">
    <w:name w:val="Intense Quote"/>
    <w:basedOn w:val="Normal"/>
    <w:next w:val="Normal"/>
    <w:link w:val="IntenseQuoteChar"/>
    <w:uiPriority w:val="30"/>
    <w:qFormat/>
    <w:rsid w:val="00911B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1B7B"/>
    <w:rPr>
      <w:rFonts w:ascii="Courier New" w:eastAsia="Times New Roman" w:hAnsi="Courier New" w:cs="Times New Roman"/>
      <w:b/>
      <w:bCs/>
      <w:i/>
      <w:iCs/>
      <w:szCs w:val="20"/>
      <w:lang w:val="en-US" w:eastAsia="en-US"/>
    </w:rPr>
  </w:style>
  <w:style w:type="character" w:styleId="SubtleReference">
    <w:name w:val="Subtle Reference"/>
    <w:uiPriority w:val="31"/>
    <w:qFormat/>
    <w:rsid w:val="00911B7B"/>
    <w:rPr>
      <w:smallCaps/>
      <w:color w:val="auto"/>
      <w:u w:val="single"/>
    </w:rPr>
  </w:style>
  <w:style w:type="character" w:styleId="IntenseReference">
    <w:name w:val="Intense Reference"/>
    <w:uiPriority w:val="32"/>
    <w:qFormat/>
    <w:rsid w:val="00911B7B"/>
    <w:rPr>
      <w:b/>
      <w:bCs/>
      <w:smallCaps/>
      <w:color w:val="auto"/>
      <w:spacing w:val="5"/>
      <w:u w:val="single"/>
    </w:rPr>
  </w:style>
  <w:style w:type="paragraph" w:customStyle="1" w:styleId="2ColumnHeading">
    <w:name w:val="2Column Heading"/>
    <w:basedOn w:val="BodyText"/>
    <w:qFormat/>
    <w:rsid w:val="00911B7B"/>
    <w:pPr>
      <w:spacing w:after="60"/>
      <w:ind w:left="-2268"/>
    </w:pPr>
    <w:rPr>
      <w:b/>
    </w:rPr>
  </w:style>
  <w:style w:type="paragraph" w:customStyle="1" w:styleId="Heading1TOC">
    <w:name w:val="Heading1 TOC"/>
    <w:basedOn w:val="Normal"/>
    <w:qFormat/>
    <w:rsid w:val="00911B7B"/>
    <w:pPr>
      <w:spacing w:before="240" w:after="120"/>
    </w:pPr>
    <w:rPr>
      <w:rFonts w:ascii="Times New Roman" w:hAnsi="Times New Roman"/>
      <w:b/>
      <w:sz w:val="32"/>
    </w:rPr>
  </w:style>
  <w:style w:type="paragraph" w:customStyle="1" w:styleId="Heading2TOC">
    <w:name w:val="Heading2 TOC"/>
    <w:basedOn w:val="Normal"/>
    <w:qFormat/>
    <w:rsid w:val="00911B7B"/>
    <w:pPr>
      <w:spacing w:before="240" w:after="60"/>
    </w:pPr>
    <w:rPr>
      <w:rFonts w:ascii="Times New Roman" w:hAnsi="Times New Roman"/>
      <w:b/>
      <w:sz w:val="28"/>
    </w:rPr>
  </w:style>
  <w:style w:type="character" w:customStyle="1" w:styleId="Underline">
    <w:name w:val="Underline"/>
    <w:qFormat/>
    <w:rsid w:val="00911B7B"/>
    <w:rPr>
      <w:u w:val="single"/>
    </w:rPr>
  </w:style>
  <w:style w:type="character" w:customStyle="1" w:styleId="BoldandItalics">
    <w:name w:val="Bold and Italics"/>
    <w:qFormat/>
    <w:rsid w:val="00911B7B"/>
    <w:rPr>
      <w:b/>
      <w:i/>
      <w:u w:val="none"/>
    </w:rPr>
  </w:style>
  <w:style w:type="paragraph" w:styleId="BalloonText">
    <w:name w:val="Balloon Text"/>
    <w:basedOn w:val="Normal"/>
    <w:link w:val="BalloonTextChar"/>
    <w:rsid w:val="00911B7B"/>
    <w:rPr>
      <w:rFonts w:ascii="Tahoma" w:hAnsi="Tahoma" w:cs="Tahoma"/>
      <w:sz w:val="16"/>
      <w:szCs w:val="16"/>
    </w:rPr>
  </w:style>
  <w:style w:type="character" w:customStyle="1" w:styleId="BalloonTextChar">
    <w:name w:val="Balloon Text Char"/>
    <w:link w:val="BalloonText"/>
    <w:rsid w:val="00911B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B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1B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2549</Words>
  <Characters>15340</Characters>
  <Application>Microsoft Office Word</Application>
  <DocSecurity>0</DocSecurity>
  <Lines>742</Lines>
  <Paragraphs>293</Paragraphs>
  <ScaleCrop>false</ScaleCrop>
  <Company>Author-it Software Corporation Ltd.</Company>
  <LinksUpToDate>false</LinksUpToDate>
  <CharactersWithSpaces>17629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UEGNSG401A Maintain cathodic protection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2012-05-26T22:08:00Z</dcterms:created>
  <dcterms:modified xsi:type="dcterms:W3CDTF">2012-05-26T22:08:00Z</dcterms:modified>
</cp:coreProperties>
</file>