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70D" w:rsidP="00E5770D">
      <w:pPr>
        <w:pStyle w:val="Title"/>
      </w:pPr>
      <w:r>
        <w:fldChar w:fldCharType="begin"/>
      </w:r>
      <w:r>
        <w:instrText xml:space="preserve"> TITLE   \* MERGEFORMAT </w:instrText>
      </w:r>
      <w:r>
        <w:fldChar w:fldCharType="separate"/>
      </w:r>
      <w:r>
        <w:t>UEGNSG319A Custody transfer metering and gas quality analysis</w:t>
      </w:r>
      <w:r>
        <w:fldChar w:fldCharType="end"/>
      </w:r>
    </w:p>
    <w:p w:rsidR="00E5770D" w:rsidP="00E5770D">
      <w:pPr>
        <w:pStyle w:val="Version"/>
        <w:sectPr w:rsidSect="00B90C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CBA" w:rsidP="00B90CBA">
      <w:pPr>
        <w:pStyle w:val="SuperHeading"/>
      </w:pPr>
      <w:r w:rsidRPr="00B90CBA">
        <w:t>UEGNSG319A Custody transfer metering and gas quality analysis</w:t>
      </w:r>
    </w:p>
    <w:p w:rsidR="00000000" w:rsidRPr="00B90CBA" w:rsidP="00B90CBA">
      <w:pPr>
        <w:pStyle w:val="Heading1"/>
      </w:pPr>
      <w:bookmarkStart w:id="1" w:name="O_275126"/>
      <w:bookmarkEnd w:id="1"/>
      <w:r w:rsidRPr="00B90CBA">
        <w:t>Modification History</w:t>
      </w:r>
    </w:p>
    <w:p w:rsidR="00000000" w:rsidRPr="00B90CBA" w:rsidP="00B90CBA">
      <w:pPr>
        <w:pStyle w:val="BodyText"/>
      </w:pPr>
      <w:r w:rsidRPr="00B90CBA">
        <w:t>Not Applicable</w:t>
      </w:r>
    </w:p>
    <w:p w:rsidR="00000000" w:rsidRPr="00B90CBA" w:rsidP="00B90CBA">
      <w:pPr>
        <w:pStyle w:val="AllowPageBreak"/>
      </w:pPr>
    </w:p>
    <w:p w:rsidR="00000000" w:rsidRPr="00B90CBA" w:rsidP="00B90CBA">
      <w:pPr>
        <w:pStyle w:val="Heading1"/>
      </w:pPr>
      <w:bookmarkStart w:id="2" w:name="O_229577"/>
      <w:bookmarkEnd w:id="2"/>
      <w:r w:rsidRPr="00B90CBA">
        <w:t>Unit Descriptor</w:t>
      </w:r>
    </w:p>
    <w:tbl>
      <w:tblPr>
        <w:tblW w:w="0" w:type="auto"/>
        <w:tblLayout w:type="fixed"/>
        <w:tblCellMar>
          <w:left w:w="62" w:type="dxa"/>
          <w:right w:w="62" w:type="dxa"/>
        </w:tblCellMar>
        <w:tblLook w:val="0000"/>
      </w:tblPr>
      <w:tblGrid>
        <w:gridCol w:w="2700"/>
        <w:gridCol w:w="5760"/>
      </w:tblGrid>
      <w:tr w:rsidTr="00E577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1</w:t>
            </w:r>
            <w:r w:rsidRPr="00B90CBA">
              <w:t xml:space="preserve">) </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t>This Competency Standard Unit covers the calibration of volumetric measuring devices and gas analysers used in the measurement of gas quality.</w:t>
            </w:r>
          </w:p>
          <w:p w:rsidR="00000000" w:rsidRPr="00B90CBA" w:rsidP="00B90CBA">
            <w:pPr>
              <w:pStyle w:val="BodyText"/>
            </w:pPr>
            <w:r w:rsidRPr="00B90CBA">
              <w:t>The competency standard refers to the inspection, validation, calibration and recommissioning of custody transfer</w:t>
            </w:r>
            <w:r w:rsidRPr="00B90CBA">
              <w:t xml:space="preserve"> devices and gas quality measuring equipment in accordance with reference standards to meet contractual, organisational or statutory requirements.</w:t>
            </w:r>
          </w:p>
        </w:tc>
      </w:tr>
    </w:tbl>
    <w:p w:rsidR="00E5770D" w:rsidP="00B90CBA">
      <w:pPr>
        <w:pStyle w:val="BodyText"/>
      </w:pPr>
    </w:p>
    <w:p w:rsidR="00E5770D" w:rsidP="00B90CBA">
      <w:pPr>
        <w:pStyle w:val="BodyText"/>
      </w:pPr>
    </w:p>
    <w:p w:rsidR="00000000" w:rsidRPr="00B90CBA" w:rsidP="00B90CBA">
      <w:pPr>
        <w:pStyle w:val="Heading1"/>
      </w:pPr>
      <w:bookmarkStart w:id="3" w:name="O_229580"/>
      <w:bookmarkEnd w:id="3"/>
      <w:r w:rsidRPr="00B90CBA">
        <w:t>Application of the Unit</w:t>
      </w:r>
    </w:p>
    <w:tbl>
      <w:tblPr>
        <w:tblW w:w="0" w:type="auto"/>
        <w:tblLayout w:type="fixed"/>
        <w:tblCellMar>
          <w:left w:w="62" w:type="dxa"/>
          <w:right w:w="62" w:type="dxa"/>
        </w:tblCellMar>
        <w:tblLook w:val="0000"/>
      </w:tblPr>
      <w:tblGrid>
        <w:gridCol w:w="2700"/>
        <w:gridCol w:w="5760"/>
      </w:tblGrid>
      <w:tr w:rsidTr="00E577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3</w:t>
            </w:r>
            <w:r w:rsidRPr="00B90CBA">
              <w:t xml:space="preserve">) </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t>This competency standard shall appl</w:t>
            </w:r>
            <w:r w:rsidRPr="00B90CBA">
              <w:t>y to any basic and safe work site where Gas Industry operations occur. It could also apply, where applicable to other workplaces in the electricity supply industry (transmission and distribution and generation), the electrotechnology industry and the water</w:t>
            </w:r>
            <w:r w:rsidRPr="00B90CBA">
              <w:t xml:space="preserve"> industry, subject to all Occupational Health and Safety and duty of care requirements being met for the workplace.</w:t>
            </w:r>
          </w:p>
        </w:tc>
      </w:tr>
    </w:tbl>
    <w:p w:rsidR="00E5770D" w:rsidP="00B90CBA">
      <w:pPr>
        <w:pStyle w:val="BodyText"/>
      </w:pPr>
    </w:p>
    <w:p w:rsidR="00E5770D" w:rsidP="00B90CBA">
      <w:pPr>
        <w:pStyle w:val="BodyText"/>
      </w:pPr>
    </w:p>
    <w:p w:rsidR="00000000" w:rsidRPr="00B90CBA" w:rsidP="00B90CBA">
      <w:pPr>
        <w:pStyle w:val="Heading1"/>
      </w:pPr>
      <w:bookmarkStart w:id="4" w:name="O_229581"/>
      <w:bookmarkEnd w:id="4"/>
      <w:r w:rsidRPr="00B90CBA">
        <w:t>Licensing/Regulatory Information</w:t>
      </w:r>
    </w:p>
    <w:tbl>
      <w:tblPr>
        <w:tblW w:w="0" w:type="auto"/>
        <w:tblLayout w:type="fixed"/>
        <w:tblCellMar>
          <w:left w:w="62" w:type="dxa"/>
          <w:right w:w="62" w:type="dxa"/>
        </w:tblCellMar>
        <w:tblLook w:val="0000"/>
      </w:tblPr>
      <w:tblGrid>
        <w:gridCol w:w="2700"/>
        <w:gridCol w:w="5760"/>
      </w:tblGrid>
      <w:tr w:rsidTr="00E577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3</w:t>
            </w:r>
            <w:r w:rsidRPr="00B90CBA">
              <w:t>.</w:t>
            </w:r>
            <w:r w:rsidRPr="00B90CBA">
              <w:rPr>
                <w:rStyle w:val="SpecialBold"/>
              </w:rPr>
              <w:t>1</w:t>
            </w:r>
            <w:r w:rsidRPr="00B90CBA">
              <w:t xml:space="preserve">) </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t>The skills and knowledge describ</w:t>
            </w:r>
            <w:r w:rsidRPr="00B90CBA">
              <w:t xml:space="preserve">ed in this unit are not subject to licence regulation other than those directly related to Occupational Health and Safety, gas/electricity/water industry safety and compliance, </w:t>
            </w:r>
            <w:r w:rsidRPr="00B90CBA">
              <w:t>industrial relations, environmental protection, telecommunications, anti discri</w:t>
            </w:r>
            <w:r w:rsidRPr="00B90CBA">
              <w:t>mination and training. Commonwealth, State/Territory or Local Government legislation and regulations may exist that limits the age of persons who can operate certain equipment.</w:t>
            </w:r>
          </w:p>
        </w:tc>
      </w:tr>
    </w:tbl>
    <w:p w:rsidR="00E5770D" w:rsidP="00B90CBA">
      <w:pPr>
        <w:pStyle w:val="BodyText"/>
      </w:pPr>
    </w:p>
    <w:p w:rsidR="00E5770D" w:rsidP="00B90CBA">
      <w:pPr>
        <w:pStyle w:val="BodyText"/>
      </w:pPr>
    </w:p>
    <w:p w:rsidR="00000000" w:rsidRPr="00B90CBA" w:rsidP="00B90CBA">
      <w:pPr>
        <w:pStyle w:val="Heading1"/>
      </w:pPr>
      <w:bookmarkStart w:id="5" w:name="O_229578"/>
      <w:bookmarkEnd w:id="5"/>
      <w:r w:rsidRPr="00B90CBA">
        <w:t>Pre-Requisites</w:t>
      </w:r>
    </w:p>
    <w:tbl>
      <w:tblPr>
        <w:tblW w:w="0" w:type="auto"/>
        <w:tblLayout w:type="fixed"/>
        <w:tblCellMar>
          <w:left w:w="62" w:type="dxa"/>
          <w:right w:w="62" w:type="dxa"/>
        </w:tblCellMar>
        <w:tblLook w:val="0000"/>
      </w:tblPr>
      <w:tblGrid>
        <w:gridCol w:w="2700"/>
        <w:gridCol w:w="1800"/>
        <w:gridCol w:w="3960"/>
      </w:tblGrid>
      <w:tr w:rsidTr="00E577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Prerequisite Unit</w:t>
            </w:r>
            <w:r w:rsidRPr="00B90CBA">
              <w:t>(</w:t>
            </w:r>
            <w:r w:rsidRPr="00B90CBA">
              <w:rPr>
                <w:rStyle w:val="SpecialBold"/>
              </w:rPr>
              <w:t>s</w:t>
            </w:r>
            <w:r w:rsidRPr="00B90CBA">
              <w:t>)</w:t>
            </w:r>
          </w:p>
        </w:tc>
        <w:tc>
          <w:tcPr>
            <w:tcW w:w="5760" w:type="dxa"/>
            <w:gridSpan w:val="2"/>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2</w:t>
            </w:r>
            <w:r w:rsidRPr="00B90CBA">
              <w:t xml:space="preserve">) </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2</w:t>
            </w:r>
            <w:r w:rsidRPr="00B90CBA">
              <w:t>.</w:t>
            </w:r>
            <w:r w:rsidRPr="00B90CBA">
              <w:rPr>
                <w:rStyle w:val="SpecialBold"/>
              </w:rPr>
              <w:t>1</w:t>
            </w:r>
            <w:r w:rsidRPr="00B90CBA">
              <w:t xml:space="preserve">) </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Granting of competency in this unit shall be made only after competency in the following unit(s) has/have been confirmed:</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Nil</w:t>
            </w:r>
          </w:p>
        </w:tc>
        <w:tc>
          <w:tcPr>
            <w:tcW w:w="3960" w:type="dxa"/>
            <w:tcBorders>
              <w:top w:val="nil"/>
              <w:left w:val="nil"/>
              <w:bottom w:val="nil"/>
              <w:right w:val="nil"/>
            </w:tcBorders>
            <w:tcMar>
              <w:top w:w="0" w:type="dxa"/>
              <w:left w:w="62" w:type="dxa"/>
              <w:bottom w:w="0" w:type="dxa"/>
              <w:right w:w="62" w:type="dxa"/>
            </w:tcMar>
          </w:tcPr>
          <w:p w:rsidR="00000000" w:rsidRPr="00B90CBA" w:rsidP="00B90CBA">
            <w:pPr>
              <w:pStyle w:val="BodyText"/>
            </w:pPr>
          </w:p>
        </w:tc>
      </w:tr>
    </w:tbl>
    <w:p w:rsidR="00E5770D" w:rsidP="00B90CBA">
      <w:pPr>
        <w:pStyle w:val="BodyText"/>
      </w:pPr>
    </w:p>
    <w:p w:rsidR="00E5770D" w:rsidP="00B90CBA">
      <w:pPr>
        <w:pStyle w:val="BodyText"/>
      </w:pPr>
    </w:p>
    <w:p w:rsidR="00000000" w:rsidRPr="00B90CBA" w:rsidP="00B90CBA">
      <w:pPr>
        <w:pStyle w:val="Heading1"/>
      </w:pPr>
      <w:bookmarkStart w:id="6" w:name="O_285375"/>
      <w:bookmarkEnd w:id="6"/>
      <w:r w:rsidRPr="00B90CBA">
        <w:t>Employability Skills Information</w:t>
      </w:r>
    </w:p>
    <w:p w:rsidR="00000000" w:rsidRPr="00B90CBA" w:rsidP="00B90CBA">
      <w:pPr>
        <w:pStyle w:val="BodyText"/>
      </w:pPr>
      <w:r w:rsidRPr="00B90CBA">
        <w:t>Refer to the Evidence Guide</w:t>
      </w:r>
    </w:p>
    <w:p w:rsidR="00000000" w:rsidRPr="00B90CBA" w:rsidP="00B90CBA">
      <w:pPr>
        <w:pStyle w:val="AllowPageBreak"/>
      </w:pPr>
    </w:p>
    <w:p w:rsidR="00000000" w:rsidRPr="00B90CBA" w:rsidP="00B90CBA">
      <w:pPr>
        <w:pStyle w:val="Heading1"/>
      </w:pPr>
      <w:bookmarkStart w:id="7" w:name="O_293172"/>
      <w:bookmarkEnd w:id="7"/>
      <w:r w:rsidRPr="00B90CBA">
        <w:t>Elements and Performance Criteria Pre-Content</w:t>
      </w:r>
    </w:p>
    <w:tbl>
      <w:tblPr>
        <w:tblW w:w="0" w:type="auto"/>
        <w:tblLayout w:type="fixed"/>
        <w:tblCellMar>
          <w:left w:w="62" w:type="dxa"/>
          <w:right w:w="62" w:type="dxa"/>
        </w:tblCellMar>
        <w:tblLook w:val="0000"/>
      </w:tblPr>
      <w:tblGrid>
        <w:gridCol w:w="2700"/>
        <w:gridCol w:w="5760"/>
      </w:tblGrid>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5</w:t>
            </w:r>
            <w:r w:rsidRPr="00B90CB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t>Performance Criteria describe the required performance needed to demonstrate achievement of the element. Assessment of performance is to</w:t>
            </w:r>
            <w:r w:rsidRPr="00B90CBA">
              <w:t xml:space="preserve"> be consistent with the Evidence Guide.</w:t>
            </w:r>
          </w:p>
        </w:tc>
      </w:tr>
    </w:tbl>
    <w:p w:rsidR="00000000" w:rsidRPr="00B90CBA" w:rsidP="00B90CBA">
      <w:pPr>
        <w:pStyle w:val="BodyText"/>
      </w:pPr>
    </w:p>
    <w:p w:rsidR="00000000" w:rsidRPr="00B90CBA" w:rsidP="00B90CBA">
      <w:pPr>
        <w:pStyle w:val="AllowPageBreak"/>
      </w:pPr>
    </w:p>
    <w:p w:rsidR="00000000" w:rsidRPr="00B90CBA" w:rsidP="00B90CBA">
      <w:pPr>
        <w:pStyle w:val="Heading1"/>
      </w:pPr>
      <w:bookmarkStart w:id="8" w:name="O_239840"/>
      <w:bookmarkEnd w:id="8"/>
      <w:r w:rsidRPr="00B90CB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5770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PERFORMANCE CRITERIA</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1</w:t>
            </w:r>
          </w:p>
        </w:tc>
        <w:tc>
          <w:tcPr>
            <w:tcW w:w="2296" w:type="dxa"/>
            <w:vMerge w:val="restart"/>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Plan and prepare for the calibration of CTM or gas quality measuring equipment.</w:t>
            </w: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1.1</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Work requir</w:t>
            </w:r>
            <w:r w:rsidRPr="00B90CBA">
              <w:t>ements for calibration of measuring devices are interpreted from plans, specifications and instructions</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1.2</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Relevant requirements and established procedures for the work are communicated to appropriate persons</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1.3</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 xml:space="preserve">OHS, environmental and sustainable energy policies and procedures related to the work to be performed are obtained and confirmed and communicated </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1.4</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 xml:space="preserve">Work is prioritised and sequenced following consultation with others for completion within acceptable </w:t>
            </w:r>
            <w:r w:rsidRPr="00B90CBA">
              <w:t>timeframes and in accordance with established procedures</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1.5</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Risk control measures for identified hazards are prioritised, implemented and monitored against the work schedule</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1.6</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Relevant work permits are obtained to access, isolate/de-energise sys</w:t>
            </w:r>
            <w:r w:rsidRPr="00B90CBA">
              <w:t>tems and perform work according to requirements and established procedures</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1.7</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Resources including equipment, tools, calibration gases and personal protective equipment required to conduct the work are suitable, fit for purpose are obtained and confirme</w:t>
            </w:r>
            <w:r w:rsidRPr="00B90CBA">
              <w:t>d in working order and any test measurement equipment is NATA calibrated and within calibration tolerances</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1.8</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Liaison and communication issues with authorised persons, authorities, clients and land owners are resolved and activities coordinated to carr</w:t>
            </w:r>
            <w:r w:rsidRPr="00B90CBA">
              <w:t>y out work</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1.9</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 xml:space="preserve">Persons participating in the work, including plant operators and contractors are fully briefed and respective responsibilities confirmed where applicable in accordance with established procedures </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2</w:t>
            </w:r>
          </w:p>
        </w:tc>
        <w:tc>
          <w:tcPr>
            <w:tcW w:w="2296" w:type="dxa"/>
            <w:vMerge w:val="restart"/>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 xml:space="preserve">Inspect/Validate/Calibrate CTM or Gas </w:t>
            </w:r>
            <w:r w:rsidRPr="00B90CBA">
              <w:t>Quality measuring equipment.</w:t>
            </w: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2.1</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Information on device and equipment performance is collected and reported in accordance with organisational requirements</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2.2</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 xml:space="preserve">Dealing with customers are consistent with standard operating procedures and the special needs of customers are identified and considered in targeting client service </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2.3</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Apply Essential Knowledge and Associated Skills for the Inspection, Validation, Ca</w:t>
            </w:r>
            <w:r w:rsidRPr="00B90CBA">
              <w:t>libration of CTM's or Gas Quality measuring equipment to ensure completion in an agreed timeframes and to quality standards with a minimum of waste according to requirements</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2.4</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 xml:space="preserve">Routine inspections of system are scheduled and monitored in accordance with the work schedule and established procedures </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2.5</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Hazard warnings and safety signs are recognised and hazards and assessed OHS risks are reported to the immediate authorised pe</w:t>
            </w:r>
            <w:r w:rsidRPr="00B90CBA">
              <w:t>rsons for directions according to established procedures</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2.6</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Equipment is calibrated against appropriate standards using correct calibration devices, equipment, techniques are undertaken within the scope of established procedures</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2.7</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Deviations of results are resolved in accordance with established procedures and known solutions to a variety of problems are applied using Essential Knowledge and Associated Skills</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2.8</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 xml:space="preserve">Ongoing checks of quality of the work are undertaken in accordance </w:t>
            </w:r>
            <w:r w:rsidRPr="00B90CBA">
              <w:t>with given instructions and established procedures</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3</w:t>
            </w:r>
          </w:p>
        </w:tc>
        <w:tc>
          <w:tcPr>
            <w:tcW w:w="2296" w:type="dxa"/>
            <w:vMerge w:val="restart"/>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Return to operational service of CTM or Gas Quality measuring equipment.</w:t>
            </w: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3.1</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Equipment is returned to operational service in accordance with established procedures</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3.2</w:t>
            </w:r>
          </w:p>
        </w:tc>
        <w:tc>
          <w:tcPr>
            <w:tcW w:w="48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Anti tamper seals are replaced and tagging removed in accordance with established procedures where applicable</w:t>
            </w:r>
          </w:p>
        </w:tc>
      </w:tr>
      <w:tr w:rsidTr="00E577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3.3</w:t>
            </w:r>
          </w:p>
        </w:tc>
        <w:tc>
          <w:tcPr>
            <w:tcW w:w="486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t>Work completion records, reports and documentation are finalised and processed and appropriate persons notified</w:t>
            </w:r>
          </w:p>
        </w:tc>
      </w:tr>
    </w:tbl>
    <w:p w:rsidR="00E5770D" w:rsidP="00B90CBA">
      <w:pPr>
        <w:pStyle w:val="BodyText"/>
      </w:pPr>
    </w:p>
    <w:p w:rsidR="00E5770D" w:rsidP="00B90CBA">
      <w:pPr>
        <w:pStyle w:val="BodyText"/>
      </w:pPr>
    </w:p>
    <w:p w:rsidR="00000000" w:rsidRPr="00B90CBA" w:rsidP="00B90CBA">
      <w:pPr>
        <w:pStyle w:val="Heading1"/>
      </w:pPr>
      <w:bookmarkStart w:id="9" w:name="O_263631"/>
      <w:bookmarkEnd w:id="9"/>
      <w:r w:rsidRPr="00B90CBA">
        <w:t>Required Skills and Knowledge</w:t>
      </w:r>
    </w:p>
    <w:tbl>
      <w:tblPr>
        <w:tblW w:w="0" w:type="auto"/>
        <w:tblLayout w:type="fixed"/>
        <w:tblCellMar>
          <w:left w:w="62" w:type="dxa"/>
          <w:right w:w="62" w:type="dxa"/>
        </w:tblCellMar>
        <w:tblLook w:val="0000"/>
      </w:tblPr>
      <w:tblGrid>
        <w:gridCol w:w="2700"/>
        <w:gridCol w:w="1080"/>
        <w:gridCol w:w="4680"/>
      </w:tblGrid>
      <w:tr w:rsidTr="00E5770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REQUIRED SKILLS AND KNOWLEDGE</w:t>
            </w:r>
          </w:p>
        </w:tc>
      </w:tr>
      <w:tr w:rsidTr="00E577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6</w:t>
            </w:r>
            <w:r w:rsidRPr="00B90CBA">
              <w:t>) This describes the essential skills and knowledge and their level, required for this unit.</w:t>
            </w:r>
          </w:p>
        </w:tc>
      </w:tr>
      <w:tr w:rsidTr="00E577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Evidence shall show that knowledge has been acquired of safe work</w:t>
            </w:r>
            <w:r w:rsidRPr="00B90CBA">
              <w:t>ing practices in custody transfer metering and gas quality analysis. The extent of the essential knowledge and associated skills (EKAS) required is given in Volume 2 - Part 2.2 EKAS.  It forms an integral part of this unit.</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3.1.2</w:t>
            </w:r>
          </w:p>
        </w:tc>
        <w:tc>
          <w:tcPr>
            <w:tcW w:w="468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Consulting appropriate</w:t>
            </w:r>
            <w:r w:rsidRPr="00B90CBA">
              <w:t xml:space="preserve"> persons to coordinate work and persons on a Gas Industry workplace</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3.2.7</w:t>
            </w:r>
          </w:p>
        </w:tc>
        <w:tc>
          <w:tcPr>
            <w:tcW w:w="468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Prepare reports</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3.2.17</w:t>
            </w:r>
          </w:p>
        </w:tc>
        <w:tc>
          <w:tcPr>
            <w:tcW w:w="468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Maintain records</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3.2.19</w:t>
            </w:r>
          </w:p>
        </w:tc>
        <w:tc>
          <w:tcPr>
            <w:tcW w:w="468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Liaise and communicate with relevant parties</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3.8.1</w:t>
            </w:r>
          </w:p>
        </w:tc>
        <w:tc>
          <w:tcPr>
            <w:tcW w:w="468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Systems operations flow control</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4.1.5</w:t>
            </w:r>
          </w:p>
        </w:tc>
        <w:tc>
          <w:tcPr>
            <w:tcW w:w="468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t>Interpreting Gas Industry drawings</w:t>
            </w:r>
          </w:p>
        </w:tc>
      </w:tr>
    </w:tbl>
    <w:p w:rsidR="00E5770D" w:rsidP="00B90CBA">
      <w:pPr>
        <w:pStyle w:val="BodyText"/>
      </w:pPr>
    </w:p>
    <w:p w:rsidR="00E5770D" w:rsidP="00B90CBA">
      <w:pPr>
        <w:pStyle w:val="BodyText"/>
      </w:pPr>
    </w:p>
    <w:p w:rsidR="00000000" w:rsidRPr="00B90CBA" w:rsidP="00B90CBA">
      <w:pPr>
        <w:pStyle w:val="Heading1"/>
      </w:pPr>
      <w:bookmarkStart w:id="10" w:name="O_247823"/>
      <w:bookmarkEnd w:id="10"/>
      <w:r w:rsidRPr="00B90CBA">
        <w:t>Evidence Guide</w:t>
      </w:r>
    </w:p>
    <w:tbl>
      <w:tblPr>
        <w:tblW w:w="0" w:type="auto"/>
        <w:tblLayout w:type="fixed"/>
        <w:tblCellMar>
          <w:left w:w="62" w:type="dxa"/>
          <w:right w:w="62" w:type="dxa"/>
        </w:tblCellMar>
        <w:tblLook w:val="0000"/>
      </w:tblPr>
      <w:tblGrid>
        <w:gridCol w:w="2160"/>
        <w:gridCol w:w="540"/>
        <w:gridCol w:w="900"/>
        <w:gridCol w:w="1980"/>
        <w:gridCol w:w="2880"/>
      </w:tblGrid>
      <w:tr w:rsidTr="00E5770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EVIDENCE GUIDE</w:t>
            </w:r>
          </w:p>
        </w:tc>
      </w:tr>
      <w:tr w:rsidTr="00E5770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8</w:t>
            </w:r>
            <w:r w:rsidRPr="00B90CBA">
              <w:t xml:space="preserve">) The Evidence Guide forms an integral part of this Competency Standard Unit and shall be used in conjunction </w:t>
            </w:r>
            <w:r w:rsidRPr="00B90CBA">
              <w:t>with all components parts of this unit and performed in accordance with the Assessment Guidelines of this Training Package.</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8</w:t>
            </w:r>
            <w:r w:rsidRPr="00B90CBA">
              <w:t>.</w:t>
            </w:r>
            <w:r w:rsidRPr="00B90CBA">
              <w:rPr>
                <w:rStyle w:val="SpecialBold"/>
              </w:rPr>
              <w:t>1</w:t>
            </w:r>
            <w:r w:rsidRPr="00B90CBA">
              <w:t>)</w:t>
            </w:r>
          </w:p>
          <w:p w:rsidR="00000000" w:rsidRPr="00B90CBA" w:rsidP="00B90CBA">
            <w:pPr>
              <w:pStyle w:val="BodyText"/>
            </w:pPr>
            <w:r w:rsidRPr="00B90CBA">
              <w:t>Longitudinal competency development approaches to assessment, such as Profiling, require data to be</w:t>
            </w:r>
            <w:r w:rsidRPr="00B90CBA">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B90CBA">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B90CBA">
              <w:t>assessment in part or full can occur outside the workplace. However, it must be in accord with Industry regulatory policy in this regard.</w:t>
            </w:r>
          </w:p>
          <w:p w:rsidR="00000000" w:rsidRPr="00B90CBA" w:rsidP="00B90CBA">
            <w:pPr>
              <w:pStyle w:val="BodyText"/>
            </w:pPr>
            <w:r w:rsidRPr="00B90CBA">
              <w:t>Methods chosen for a particular assessment will be influenced by various factors. These include the extent of the asse</w:t>
            </w:r>
            <w:r w:rsidRPr="00B90CBA">
              <w:t>ssment, the most effective locations for the assessment activities to take place, access to physical resources, additional safety measures that may be required and the critical nature of the competencies being assessed.</w:t>
            </w:r>
          </w:p>
          <w:p w:rsidR="00000000" w:rsidRPr="00B90CBA" w:rsidP="00B90CBA">
            <w:pPr>
              <w:pStyle w:val="BodyText"/>
            </w:pPr>
            <w:r w:rsidRPr="00B90CBA">
              <w:t>The critical safety nature of workin</w:t>
            </w:r>
            <w:r w:rsidRPr="00B90CBA">
              <w:t>g with electricity, electrical equipment, gas or any other hazardous substance/material carries risk in deeming a person competent. Hence, sources of evidence need to be 'rich' in nature so as to minimise error in judgment.</w:t>
            </w:r>
          </w:p>
          <w:p w:rsidR="00000000" w:rsidP="00B90CBA">
            <w:pPr>
              <w:pStyle w:val="BodyText"/>
              <w:rPr>
                <w:lang w:val="en-NZ"/>
              </w:rPr>
            </w:pPr>
            <w:r w:rsidRPr="00B90CBA">
              <w:t>Activities associated with norma</w:t>
            </w:r>
            <w:r w:rsidRPr="00B90CBA">
              <w:t>l every day work have a bearing on the decision as to how much and how detailed the data gathered will contribute to its 'richness'. Some skills are more critical to safety and operational requirements while the same skills may be more or less frequently p</w:t>
            </w:r>
            <w:r w:rsidRPr="00B90CBA">
              <w:t>racticed. These points are raised for the assessors to consider when choosing an assessment method and developing assessment instruments. Sample assessment instruments are included for Assessors in the Assessment Guidelines of this Training Package.</w:t>
            </w:r>
          </w:p>
        </w:tc>
      </w:tr>
      <w:tr w:rsidTr="00E577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8</w:t>
            </w:r>
            <w:r w:rsidRPr="00B90CBA">
              <w:t>.</w:t>
            </w:r>
            <w:r w:rsidRPr="00B90CBA">
              <w:rPr>
                <w:rStyle w:val="SpecialBold"/>
              </w:rPr>
              <w:t>2</w:t>
            </w:r>
            <w:r w:rsidRPr="00B90CBA">
              <w:t>)</w:t>
            </w:r>
          </w:p>
          <w:p w:rsidR="00000000" w:rsidP="00B90CBA">
            <w:pPr>
              <w:pStyle w:val="BodyText"/>
              <w:rPr>
                <w:lang w:val="en-NZ"/>
              </w:rPr>
            </w:pPr>
            <w:r w:rsidRPr="00B90CBA">
              <w:t>Before the critical aspects of evidence are considered all prerequisites shall be met.</w:t>
            </w:r>
          </w:p>
        </w:tc>
      </w:tr>
      <w:tr w:rsidTr="00E577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t>Evidence for competence in this unit shall be considered holistically. Each elemen</w:t>
            </w:r>
            <w:r w:rsidRPr="00B90CBA">
              <w:t>t and associated Performance Criteria shall be demonstrated on at least two occasions in accordance with the 'Assessment Guidelines  UEG06'. Evidence shall also comprise:</w:t>
            </w:r>
          </w:p>
          <w:p w:rsidR="00000000" w:rsidP="00B90CBA">
            <w:pPr>
              <w:pStyle w:val="ListBullet"/>
              <w:rPr>
                <w:lang w:val="en-NZ"/>
              </w:rPr>
            </w:pPr>
            <w:r w:rsidRPr="00B90CBA">
              <w:t>A representative body of Performance Criteria demonstrated within the timeframes typ</w:t>
            </w:r>
            <w:r w:rsidRPr="00B90CBA">
              <w:t>ically expected of the discipline, work function and industrial environment. In particular this shall incorporate evidence that shows a candidate is able to:</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90CBA" w:rsidP="00B90CBA">
            <w:pPr>
              <w:pStyle w:val="ListBullet2"/>
            </w:pPr>
            <w:r w:rsidRPr="00B90CBA">
              <w:t xml:space="preserve">Implement Occupational Health and Safety workplace procedures and practices including </w:t>
            </w:r>
            <w:r w:rsidRPr="00B90CBA">
              <w:t>the use of risk control measures as specified in the Performance Criteria and range</w:t>
            </w:r>
          </w:p>
          <w:p w:rsidR="00000000" w:rsidRPr="00B90CBA" w:rsidP="00B90CBA">
            <w:pPr>
              <w:pStyle w:val="ListBullet2"/>
            </w:pPr>
            <w:r w:rsidRPr="00B90CBA">
              <w:t>Apply sustainable energy principles and practices as specified in the Performance Criteria and range</w:t>
            </w:r>
          </w:p>
          <w:p w:rsidR="00000000" w:rsidRPr="00B90CBA" w:rsidP="00B90CBA">
            <w:pPr>
              <w:pStyle w:val="ListBullet2"/>
            </w:pPr>
            <w:r w:rsidRPr="00B90CBA">
              <w:t>Demonstrate an understanding of the essential knowledge and associated skills as described in this unit to such an extent that the learner's performance outcome is reported in accordance with the preferred approach; namely a percentile graded result, where</w:t>
            </w:r>
            <w:r w:rsidRPr="00B90CBA">
              <w:t xml:space="preserve"> required by the regulated environment</w:t>
            </w:r>
          </w:p>
          <w:p w:rsidR="00000000" w:rsidRPr="00B90CBA" w:rsidP="00B90CBA">
            <w:pPr>
              <w:pStyle w:val="ListBullet2"/>
            </w:pPr>
            <w:r w:rsidRPr="00B90CBA">
              <w:t>Demonstrate an appropriate level of skills enabling employment</w:t>
            </w:r>
          </w:p>
          <w:p w:rsidR="00000000" w:rsidP="00B90CBA">
            <w:pPr>
              <w:pStyle w:val="ListBullet2"/>
              <w:rPr>
                <w:lang w:val="en-NZ"/>
              </w:rPr>
            </w:pPr>
            <w:r w:rsidRPr="00B90CBA">
              <w:t>Conduct work observing the relevant anti-discrimination legislation, regulations, polices and workplace procedures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0CBA">
            <w:pPr>
              <w:pStyle w:val="ListBullet2"/>
              <w:rPr>
                <w:lang w:val="en-NZ"/>
              </w:rPr>
            </w:pPr>
            <w:r w:rsidRPr="00B90CBA">
              <w:t xml:space="preserve">Demonstrate performance across a </w:t>
            </w:r>
            <w:r w:rsidRPr="00B90CBA">
              <w:t>representative range of contexts from the prescribed items below.</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B90CBA">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rPr>
                <w:rStyle w:val="SpecialBold"/>
              </w:rPr>
              <w:t>Range of tools</w:t>
            </w:r>
            <w:r w:rsidRPr="00B90CBA">
              <w:t>/</w:t>
            </w:r>
            <w:r w:rsidRPr="00B90CBA">
              <w:rPr>
                <w:rStyle w:val="SpecialBold"/>
              </w:rPr>
              <w:t>equipment</w:t>
            </w:r>
            <w:r w:rsidRPr="00B90CBA">
              <w:t>/</w:t>
            </w:r>
            <w:r w:rsidRPr="00B90CBA">
              <w:rPr>
                <w:rStyle w:val="SpecialBold"/>
              </w:rPr>
              <w:t>materials</w:t>
            </w:r>
            <w:r w:rsidRPr="00B90CBA">
              <w:t>/</w:t>
            </w:r>
            <w:r w:rsidRPr="00B90CBA">
              <w:rPr>
                <w:rStyle w:val="SpecialBold"/>
              </w:rPr>
              <w:t>procedures</w:t>
            </w:r>
            <w:r w:rsidRPr="00B90CBA">
              <w:t>/</w:t>
            </w:r>
            <w:r w:rsidRPr="00B90CBA">
              <w:br/>
            </w:r>
            <w:r w:rsidRPr="00B90CBA">
              <w:rPr>
                <w:rStyle w:val="SpecialBold"/>
              </w:rPr>
              <w:t>workplaces</w:t>
            </w:r>
            <w:r w:rsidRPr="00B90CBA">
              <w:t>/</w:t>
            </w:r>
            <w:r w:rsidRPr="00B90CBA">
              <w:rPr>
                <w:rStyle w:val="SpecialBold"/>
              </w:rPr>
              <w:t>other variables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B90CBA">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rPr>
                <w:rStyle w:val="SpecialBold"/>
              </w:rPr>
              <w:t>Item List</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Interpret technical drawings and symbols</w:t>
            </w:r>
          </w:p>
          <w:p w:rsidR="00000000" w:rsidRPr="00B90CBA" w:rsidP="00B90CBA">
            <w:pPr>
              <w:pStyle w:val="BodyText"/>
            </w:pPr>
            <w:r w:rsidRPr="00B90CBA">
              <w:t>Selection of appropriate tools and equipment</w:t>
            </w:r>
          </w:p>
          <w:p w:rsidR="00000000" w:rsidRPr="00B90CBA" w:rsidP="00B90CBA">
            <w:pPr>
              <w:pStyle w:val="BodyText"/>
            </w:pPr>
            <w:r w:rsidRPr="00B90CBA">
              <w:t>System knowledge of TP, HP, MP, LP</w:t>
            </w:r>
          </w:p>
          <w:p w:rsidR="00000000" w:rsidP="00B90CBA">
            <w:pPr>
              <w:pStyle w:val="BodyText"/>
              <w:rPr>
                <w:lang w:val="en-NZ"/>
              </w:rPr>
            </w:pPr>
            <w:r w:rsidRPr="00B90CBA">
              <w:t xml:space="preserve">Relevant knowledge of AS3885 Part 3 </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Auxiliary control systems knowledge and understanding</w:t>
            </w:r>
          </w:p>
          <w:p w:rsidR="00000000" w:rsidRPr="00B90CBA" w:rsidP="00B90CBA">
            <w:pPr>
              <w:pStyle w:val="BodyText"/>
            </w:pPr>
            <w:r w:rsidRPr="00B90CBA">
              <w:t>Wide open monitor operation</w:t>
            </w:r>
          </w:p>
          <w:p w:rsidR="00000000" w:rsidP="00B90CBA">
            <w:pPr>
              <w:pStyle w:val="BodyText"/>
              <w:rPr>
                <w:lang w:val="en-NZ"/>
              </w:rPr>
            </w:pPr>
            <w:r w:rsidRPr="00B90CBA">
              <w:t>Two sta</w:t>
            </w:r>
            <w:r w:rsidRPr="00B90CBA">
              <w:t>ge pressure reduction with monitor override</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C</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RTU control of regulators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D</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At least 2</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Pressure Controllers, operation, maintenance and understanding</w:t>
            </w:r>
          </w:p>
          <w:p w:rsidR="00000000" w:rsidRPr="00B90CBA" w:rsidP="00B90CBA">
            <w:pPr>
              <w:pStyle w:val="BodyText"/>
            </w:pPr>
            <w:r w:rsidRPr="00B90CBA">
              <w:t>Commissioning/Setting</w:t>
            </w:r>
          </w:p>
          <w:p w:rsidR="00000000" w:rsidRPr="00B90CBA" w:rsidP="00B90CBA">
            <w:pPr>
              <w:pStyle w:val="BodyText"/>
            </w:pPr>
            <w:r w:rsidRPr="00B90CBA">
              <w:t>Troubleshooting</w:t>
            </w:r>
          </w:p>
          <w:p w:rsidR="00000000" w:rsidRPr="00B90CBA" w:rsidP="00B90CBA">
            <w:pPr>
              <w:pStyle w:val="BodyText"/>
            </w:pPr>
            <w:r w:rsidRPr="00B90CBA">
              <w:t>Pressure Boosters minor repairs</w:t>
            </w:r>
          </w:p>
          <w:p w:rsidR="00000000" w:rsidP="00B90CBA">
            <w:pPr>
              <w:pStyle w:val="BodyText"/>
              <w:rPr>
                <w:lang w:val="en-NZ"/>
              </w:rPr>
            </w:pPr>
            <w:r w:rsidRPr="00B90CBA">
              <w:t>Knowledge of types/models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At least 2</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Basic regulator knowledge and understanding</w:t>
            </w:r>
          </w:p>
          <w:p w:rsidR="00000000" w:rsidRPr="00B90CBA" w:rsidP="00B90CBA">
            <w:pPr>
              <w:pStyle w:val="BodyText"/>
            </w:pPr>
            <w:r w:rsidRPr="00B90CBA">
              <w:t>Sleeve types</w:t>
            </w:r>
          </w:p>
          <w:p w:rsidR="00000000" w:rsidRPr="00B90CBA" w:rsidP="00B90CBA">
            <w:pPr>
              <w:pStyle w:val="BodyText"/>
            </w:pPr>
            <w:r w:rsidRPr="00B90CBA">
              <w:t>Control valves</w:t>
            </w:r>
          </w:p>
          <w:p w:rsidR="00000000" w:rsidRPr="00B90CBA" w:rsidP="00B90CBA">
            <w:pPr>
              <w:pStyle w:val="BodyText"/>
            </w:pPr>
            <w:r w:rsidRPr="00B90CBA">
              <w:t>Diaphragm types</w:t>
            </w:r>
          </w:p>
          <w:p w:rsidR="00000000" w:rsidP="00B90CBA">
            <w:pPr>
              <w:pStyle w:val="BodyText"/>
              <w:rPr>
                <w:lang w:val="en-NZ"/>
              </w:rPr>
            </w:pPr>
            <w:r w:rsidRPr="00B90CBA">
              <w:t>Hydraulic Plug types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F</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Valve maintenance and operation</w:t>
            </w:r>
          </w:p>
          <w:p w:rsidR="00000000" w:rsidP="00B90CBA">
            <w:pPr>
              <w:pStyle w:val="BodyText"/>
              <w:rPr>
                <w:lang w:val="en-NZ"/>
              </w:rPr>
            </w:pPr>
            <w:r w:rsidRPr="00B90CBA">
              <w:t>Working knowledge of Ball, Plug, Gate Instrument and Butterfly valves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Working knowledge of:</w:t>
            </w:r>
          </w:p>
          <w:p w:rsidR="00000000" w:rsidRPr="00B90CBA" w:rsidP="00B90CBA">
            <w:pPr>
              <w:pStyle w:val="BodyText"/>
            </w:pPr>
            <w:r w:rsidRPr="00B90CBA">
              <w:t>Diaphragm meters</w:t>
            </w:r>
          </w:p>
          <w:p w:rsidR="00000000" w:rsidRPr="00B90CBA" w:rsidP="00B90CBA">
            <w:pPr>
              <w:pStyle w:val="BodyText"/>
            </w:pPr>
            <w:r w:rsidRPr="00B90CBA">
              <w:t>Rotary meters</w:t>
            </w:r>
          </w:p>
          <w:p w:rsidR="00000000" w:rsidRPr="00B90CBA" w:rsidP="00B90CBA">
            <w:pPr>
              <w:pStyle w:val="BodyText"/>
            </w:pPr>
            <w:r w:rsidRPr="00B90CBA">
              <w:t>Turbine meters</w:t>
            </w:r>
          </w:p>
          <w:p w:rsidR="00000000" w:rsidRPr="00B90CBA" w:rsidP="00B90CBA">
            <w:pPr>
              <w:pStyle w:val="BodyText"/>
            </w:pPr>
            <w:r w:rsidRPr="00B90CBA">
              <w:t>Ultrasonic</w:t>
            </w:r>
          </w:p>
          <w:p w:rsidR="00000000" w:rsidRPr="00B90CBA" w:rsidP="00B90CBA">
            <w:pPr>
              <w:pStyle w:val="BodyText"/>
            </w:pPr>
            <w:r w:rsidRPr="00B90CBA">
              <w:t>Orifice plates</w:t>
            </w:r>
          </w:p>
          <w:p w:rsidR="00000000" w:rsidRPr="00B90CBA" w:rsidP="00B90CBA">
            <w:pPr>
              <w:pStyle w:val="BodyText"/>
            </w:pPr>
            <w:r w:rsidRPr="00B90CBA">
              <w:t>Coriolis</w:t>
            </w:r>
          </w:p>
          <w:p w:rsidR="00000000" w:rsidP="00B90CBA">
            <w:pPr>
              <w:pStyle w:val="BodyText"/>
              <w:rPr>
                <w:lang w:val="en-NZ"/>
              </w:rPr>
            </w:pPr>
            <w:r w:rsidRPr="00B90CBA">
              <w:t>Oil changing</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H</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Operational checks</w:t>
            </w:r>
          </w:p>
          <w:p w:rsidR="00000000" w:rsidRPr="00B90CBA" w:rsidP="00B90CBA">
            <w:pPr>
              <w:pStyle w:val="BodyText"/>
            </w:pPr>
            <w:r w:rsidRPr="00B90CBA">
              <w:t>Single run units</w:t>
            </w:r>
          </w:p>
          <w:p w:rsidR="00000000" w:rsidRPr="00B90CBA" w:rsidP="00B90CBA">
            <w:pPr>
              <w:pStyle w:val="BodyText"/>
            </w:pPr>
            <w:r w:rsidRPr="00B90CBA">
              <w:t>Dual run units</w:t>
            </w:r>
          </w:p>
          <w:p w:rsidR="00000000" w:rsidRPr="00B90CBA" w:rsidP="00B90CBA">
            <w:pPr>
              <w:pStyle w:val="BodyText"/>
            </w:pPr>
            <w:r w:rsidRPr="00B90CBA">
              <w:t>City gates</w:t>
            </w:r>
          </w:p>
          <w:p w:rsidR="00000000" w:rsidRPr="00B90CBA" w:rsidP="00B90CBA">
            <w:pPr>
              <w:pStyle w:val="BodyText"/>
            </w:pPr>
            <w:r w:rsidRPr="00B90CBA">
              <w:t>District regulators</w:t>
            </w:r>
          </w:p>
          <w:p w:rsidR="00000000" w:rsidP="00B90CBA">
            <w:pPr>
              <w:pStyle w:val="BodyText"/>
              <w:rPr>
                <w:lang w:val="en-NZ"/>
              </w:rPr>
            </w:pPr>
            <w:r w:rsidRPr="00B90CBA">
              <w:t>Field regulators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I</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Full Maintenance Activities</w:t>
            </w:r>
          </w:p>
          <w:p w:rsidR="00000000" w:rsidRPr="00B90CBA" w:rsidP="00B90CBA">
            <w:pPr>
              <w:pStyle w:val="BodyText"/>
            </w:pPr>
            <w:r w:rsidRPr="00B90CBA">
              <w:t>Single run units</w:t>
            </w:r>
          </w:p>
          <w:p w:rsidR="00000000" w:rsidRPr="00B90CBA" w:rsidP="00B90CBA">
            <w:pPr>
              <w:pStyle w:val="BodyText"/>
            </w:pPr>
            <w:r w:rsidRPr="00B90CBA">
              <w:t>Dual run units</w:t>
            </w:r>
          </w:p>
          <w:p w:rsidR="00000000" w:rsidRPr="00B90CBA" w:rsidP="00B90CBA">
            <w:pPr>
              <w:pStyle w:val="BodyText"/>
            </w:pPr>
            <w:r w:rsidRPr="00B90CBA">
              <w:t>City gates</w:t>
            </w:r>
          </w:p>
          <w:p w:rsidR="00000000" w:rsidRPr="00B90CBA" w:rsidP="00B90CBA">
            <w:pPr>
              <w:pStyle w:val="BodyText"/>
            </w:pPr>
            <w:r w:rsidRPr="00B90CBA">
              <w:t>District Regulators</w:t>
            </w:r>
          </w:p>
          <w:p w:rsidR="00000000" w:rsidRPr="00B90CBA" w:rsidP="00B90CBA">
            <w:pPr>
              <w:pStyle w:val="BodyText"/>
            </w:pPr>
            <w:r w:rsidRPr="00B90CBA">
              <w:t>Field Regulators</w:t>
            </w:r>
          </w:p>
        </w:tc>
      </w:tr>
    </w:tbl>
    <w:p w:rsidR="00000000" w:rsidRPr="00B90CBA" w:rsidP="00B90CBA">
      <w:pPr>
        <w:pStyle w:val="BodyText"/>
      </w:pPr>
    </w:p>
    <w:tbl>
      <w:tblPr>
        <w:tblW w:w="0" w:type="auto"/>
        <w:tblLayout w:type="fixed"/>
        <w:tblCellMar>
          <w:left w:w="62" w:type="dxa"/>
          <w:right w:w="62" w:type="dxa"/>
        </w:tblCellMar>
        <w:tblLook w:val="0000"/>
      </w:tblPr>
      <w:tblGrid>
        <w:gridCol w:w="2160"/>
        <w:gridCol w:w="540"/>
        <w:gridCol w:w="900"/>
        <w:gridCol w:w="360"/>
        <w:gridCol w:w="1620"/>
        <w:gridCol w:w="1317"/>
        <w:gridCol w:w="1563"/>
      </w:tblGrid>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J</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At least 3</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Pressure alterations</w:t>
            </w:r>
          </w:p>
          <w:p w:rsidR="00000000" w:rsidRPr="00B90CBA" w:rsidP="00B90CBA">
            <w:pPr>
              <w:pStyle w:val="BodyText"/>
            </w:pPr>
            <w:r w:rsidRPr="00B90CBA">
              <w:t>Industrial units</w:t>
            </w:r>
          </w:p>
          <w:p w:rsidR="00000000" w:rsidRPr="00B90CBA" w:rsidP="00B90CBA">
            <w:pPr>
              <w:pStyle w:val="BodyText"/>
            </w:pPr>
            <w:r w:rsidRPr="00B90CBA">
              <w:t>City gates</w:t>
            </w:r>
          </w:p>
          <w:p w:rsidR="00000000" w:rsidRPr="00B90CBA" w:rsidP="00B90CBA">
            <w:pPr>
              <w:pStyle w:val="BodyText"/>
            </w:pPr>
            <w:r w:rsidRPr="00B90CBA">
              <w:t>Regulator Stations</w:t>
            </w:r>
          </w:p>
          <w:p w:rsidR="00000000" w:rsidP="00B90CBA">
            <w:pPr>
              <w:pStyle w:val="BodyText"/>
              <w:rPr>
                <w:lang w:val="en-NZ"/>
              </w:rPr>
            </w:pPr>
            <w:r w:rsidRPr="00B90CBA">
              <w:t>Distribution mains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K</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At least 3</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Flaring and Purging</w:t>
            </w:r>
          </w:p>
          <w:p w:rsidR="00000000" w:rsidRPr="00B90CBA" w:rsidP="00B90CBA">
            <w:pPr>
              <w:pStyle w:val="BodyText"/>
            </w:pPr>
            <w:r w:rsidRPr="00B90CBA">
              <w:t>Industrial units</w:t>
            </w:r>
          </w:p>
          <w:p w:rsidR="00000000" w:rsidRPr="00B90CBA" w:rsidP="00B90CBA">
            <w:pPr>
              <w:pStyle w:val="BodyText"/>
            </w:pPr>
            <w:r w:rsidRPr="00B90CBA">
              <w:t>City gates</w:t>
            </w:r>
          </w:p>
          <w:p w:rsidR="00000000" w:rsidRPr="00B90CBA" w:rsidP="00B90CBA">
            <w:pPr>
              <w:pStyle w:val="BodyText"/>
            </w:pPr>
            <w:r w:rsidRPr="00B90CBA">
              <w:t>Regulator Stations</w:t>
            </w:r>
          </w:p>
          <w:p w:rsidR="00000000" w:rsidP="00B90CBA">
            <w:pPr>
              <w:pStyle w:val="BodyText"/>
              <w:rPr>
                <w:lang w:val="en-NZ"/>
              </w:rPr>
            </w:pPr>
            <w:r w:rsidRPr="00B90CBA">
              <w:t>Distribution mains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L</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At least 3</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Overpressure Protection Systems function and operation.</w:t>
            </w:r>
          </w:p>
          <w:p w:rsidR="00000000" w:rsidRPr="00B90CBA" w:rsidP="00B90CBA">
            <w:pPr>
              <w:pStyle w:val="BodyText"/>
            </w:pPr>
            <w:r w:rsidRPr="00B90CBA">
              <w:t>OPSO</w:t>
            </w:r>
          </w:p>
          <w:p w:rsidR="00000000" w:rsidRPr="00B90CBA" w:rsidP="00B90CBA">
            <w:pPr>
              <w:pStyle w:val="BodyText"/>
            </w:pPr>
            <w:r w:rsidRPr="00B90CBA">
              <w:t>Internal pressure relief systems</w:t>
            </w:r>
          </w:p>
          <w:p w:rsidR="00000000" w:rsidRPr="00B90CBA" w:rsidP="00B90CBA">
            <w:pPr>
              <w:pStyle w:val="BodyText"/>
            </w:pPr>
            <w:r w:rsidRPr="00B90CBA">
              <w:t>Pressure relief valves</w:t>
            </w:r>
          </w:p>
          <w:p w:rsidR="00000000" w:rsidRPr="00B90CBA" w:rsidP="00B90CBA">
            <w:pPr>
              <w:pStyle w:val="BodyText"/>
            </w:pPr>
            <w:r w:rsidRPr="00B90CBA">
              <w:t>Slam Shut systems</w:t>
            </w:r>
          </w:p>
          <w:p w:rsidR="00000000" w:rsidP="00B90CBA">
            <w:pPr>
              <w:pStyle w:val="BodyText"/>
              <w:rPr>
                <w:lang w:val="en-NZ"/>
              </w:rPr>
            </w:pPr>
            <w:r w:rsidRPr="00B90CBA">
              <w:t>Valve Actuator and control systems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M</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Paperwork:</w:t>
            </w:r>
          </w:p>
          <w:p w:rsidR="00000000" w:rsidRPr="00B90CBA" w:rsidP="00B90CBA">
            <w:pPr>
              <w:pStyle w:val="BodyText"/>
            </w:pPr>
            <w:r w:rsidRPr="00B90CBA">
              <w:t>Risk assessments</w:t>
            </w:r>
          </w:p>
          <w:p w:rsidR="00000000" w:rsidRPr="00B90CBA" w:rsidP="00B90CBA">
            <w:pPr>
              <w:pStyle w:val="BodyText"/>
            </w:pPr>
            <w:r w:rsidRPr="00B90CBA">
              <w:t>Time sheets</w:t>
            </w:r>
          </w:p>
          <w:p w:rsidR="00000000" w:rsidRPr="00B90CBA" w:rsidP="00B90CBA">
            <w:pPr>
              <w:pStyle w:val="BodyText"/>
            </w:pPr>
            <w:r w:rsidRPr="00B90CBA">
              <w:t>Completing work sheets</w:t>
            </w:r>
          </w:p>
          <w:p w:rsidR="00000000" w:rsidRPr="00B90CBA" w:rsidP="00B90CBA">
            <w:pPr>
              <w:pStyle w:val="BodyText"/>
            </w:pPr>
            <w:r w:rsidRPr="00B90CBA">
              <w:t>Notifications and work permits</w:t>
            </w:r>
          </w:p>
          <w:p w:rsidR="00000000" w:rsidRPr="00B90CBA" w:rsidP="00B90CBA">
            <w:pPr>
              <w:pStyle w:val="BodyText"/>
            </w:pPr>
            <w:r w:rsidRPr="00B90CBA">
              <w:t>Equipment check lists</w:t>
            </w:r>
          </w:p>
          <w:p w:rsidR="00000000" w:rsidRPr="00B90CBA" w:rsidP="00B90CBA">
            <w:pPr>
              <w:pStyle w:val="BodyText"/>
            </w:pPr>
            <w:r w:rsidRPr="00B90CBA">
              <w:t>Meter Bypass forms</w:t>
            </w:r>
          </w:p>
          <w:p w:rsidR="00000000" w:rsidRPr="00B90CBA" w:rsidP="00B90CBA">
            <w:pPr>
              <w:pStyle w:val="BodyText"/>
            </w:pPr>
            <w:r w:rsidRPr="00B90CBA">
              <w:t>Service orders</w:t>
            </w:r>
          </w:p>
          <w:p w:rsidR="00000000" w:rsidP="00B90CBA">
            <w:pPr>
              <w:pStyle w:val="BodyText"/>
              <w:rPr>
                <w:lang w:val="en-NZ"/>
              </w:rPr>
            </w:pPr>
            <w:r w:rsidRPr="00B90CBA">
              <w:t>Pressure recording charts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N</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At least one occasion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 xml:space="preserve">Deal with an unplanned event by drawing on essential knowledge and associated skills to provide appropriate solutions incorporated in the holistic assessment with the above listed items </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8</w:t>
            </w:r>
            <w:r w:rsidRPr="00B90CBA">
              <w:t>.</w:t>
            </w:r>
            <w:r w:rsidRPr="00B90CBA">
              <w:rPr>
                <w:rStyle w:val="SpecialBold"/>
              </w:rPr>
              <w:t>3</w:t>
            </w:r>
            <w:r w:rsidRPr="00B90CBA">
              <w:t>) This unit sho</w:t>
            </w:r>
            <w:r w:rsidRPr="00B90CBA">
              <w:t>uld be assessed as it relates to normal work practice using procedures, information and resources typical of a workplace. This should include:</w:t>
            </w:r>
          </w:p>
          <w:p w:rsidR="00000000" w:rsidRPr="00B90CBA" w:rsidP="00B90CBA">
            <w:pPr>
              <w:pStyle w:val="ListBullet"/>
            </w:pPr>
            <w:r w:rsidRPr="00B90CBA">
              <w:t>OHS policy and work procedures and instructions.</w:t>
            </w:r>
          </w:p>
          <w:p w:rsidR="00000000" w:rsidRPr="00B90CBA" w:rsidP="00B90CBA">
            <w:pPr>
              <w:pStyle w:val="ListBullet"/>
            </w:pPr>
            <w:r w:rsidRPr="00B90CBA">
              <w:t>Suitable work environment, facilities, equipment and materials to undertake actual work as prescribed by this Competency Standard Unit.</w:t>
            </w:r>
          </w:p>
          <w:p w:rsidR="00000000" w:rsidRPr="00B90CBA" w:rsidP="00B90CBA">
            <w:pPr>
              <w:pStyle w:val="ListBullet"/>
            </w:pPr>
            <w:r w:rsidRPr="00B90CBA">
              <w:t>Appropriate environmental regulation and work practices.</w:t>
            </w:r>
          </w:p>
          <w:p w:rsidR="00000000" w:rsidP="00B90CBA">
            <w:pPr>
              <w:pStyle w:val="ListBullet"/>
              <w:rPr>
                <w:lang w:val="en-NZ"/>
              </w:rPr>
            </w:pPr>
            <w:r w:rsidRPr="00B90CBA">
              <w:t>Appropriate organisational requirements.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 xml:space="preserve">In addition to </w:t>
            </w:r>
            <w:r w:rsidRPr="00B90CBA">
              <w:t>the resources listed above, in Context of and specific resources for assessment, evidence should show demonstrated competency of custody transfer metering and gas quality analysis.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Assessment of this competency must also be undertaken in either an actual workplace or under a simulated work environment. Assessment must also integrate the Key Competencies .</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8</w:t>
            </w:r>
            <w:r w:rsidRPr="00B90CBA">
              <w:t>.</w:t>
            </w:r>
            <w:r w:rsidRPr="00B90CBA">
              <w:rPr>
                <w:rStyle w:val="SpecialBold"/>
              </w:rPr>
              <w:t>4</w:t>
            </w:r>
            <w:r w:rsidRPr="00B90CBA">
              <w:t>)</w:t>
            </w:r>
          </w:p>
          <w:p w:rsidR="00000000" w:rsidRPr="00B90CBA" w:rsidP="00B90CBA">
            <w:pPr>
              <w:pStyle w:val="BodyText"/>
            </w:pPr>
            <w:r w:rsidRPr="00B90CBA">
              <w:t>This Competency Standard Unit shall be assessed</w:t>
            </w:r>
            <w:r w:rsidRPr="00B90CBA">
              <w:t xml:space="preserve"> by methods given in Volume 1, Part 3 'Assessment Guidelines'.</w:t>
            </w:r>
          </w:p>
          <w:p w:rsidR="00000000" w:rsidP="00B90CBA">
            <w:pPr>
              <w:pStyle w:val="BodyText"/>
              <w:rPr>
                <w:lang w:val="en-NZ"/>
              </w:rPr>
            </w:pPr>
            <w:r w:rsidRPr="00B90CBA">
              <w:t>Note:</w:t>
            </w:r>
            <w:r w:rsidRPr="00B90CBA">
              <w:br/>
              <w:t>Competent performance with inherent safe working practices is expected in the Industry to which this Competency Standard Unit applies. This requires that the specified Essential Knowledge</w:t>
            </w:r>
            <w:r w:rsidRPr="00B90CBA">
              <w:t xml:space="preserve"> and Associated Skills are assessed in a structured environment which is primarily intended for learning/assessment and incorporates all necessary equipment and facilities for learners to develop and demonstrate the essential knowledge and associated skill</w:t>
            </w:r>
            <w:r w:rsidRPr="00B90CBA">
              <w:t>s described in this unit.</w:t>
            </w:r>
          </w:p>
        </w:tc>
      </w:tr>
      <w:tr w:rsidTr="00E577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8</w:t>
            </w:r>
            <w:r w:rsidRPr="00B90CBA">
              <w:t>.</w:t>
            </w:r>
            <w:r w:rsidRPr="00B90CBA">
              <w:rPr>
                <w:rStyle w:val="SpecialBold"/>
              </w:rPr>
              <w:t>5</w:t>
            </w:r>
            <w:r w:rsidRPr="00B90CBA">
              <w:t>)</w:t>
            </w:r>
          </w:p>
        </w:tc>
      </w:tr>
      <w:tr w:rsidTr="00E577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 xml:space="preserve">There are no recommended concurrent assessments with this unit, however in some cases efficiencies may be gained in terms of learning and assessment </w:t>
            </w:r>
            <w:r w:rsidRPr="00B90CBA">
              <w:t>effort being concurrently managed with allied Competency Standard Units where listed.</w:t>
            </w:r>
          </w:p>
        </w:tc>
      </w:tr>
      <w:tr w:rsidTr="00E577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BSBFLM405A</w:t>
            </w:r>
          </w:p>
        </w:tc>
        <w:tc>
          <w:tcPr>
            <w:tcW w:w="4500" w:type="dxa"/>
            <w:gridSpan w:val="3"/>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Implement operational plans</w:t>
            </w:r>
          </w:p>
        </w:tc>
      </w:tr>
      <w:tr w:rsidTr="00E577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BSBCMN411A</w:t>
            </w:r>
          </w:p>
        </w:tc>
        <w:tc>
          <w:tcPr>
            <w:tcW w:w="4500" w:type="dxa"/>
            <w:gridSpan w:val="3"/>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Monitor a safe workplace</w:t>
            </w:r>
          </w:p>
        </w:tc>
      </w:tr>
      <w:tr w:rsidTr="00E5770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B90CBA" w:rsidP="00B90CBA">
            <w:pPr>
              <w:pStyle w:val="BodyText"/>
            </w:pPr>
            <w:r w:rsidRPr="00B90CBA">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8</w:t>
            </w:r>
            <w:r w:rsidRPr="00B90CBA">
              <w:t>.</w:t>
            </w:r>
            <w:r w:rsidRPr="00B90CBA">
              <w:rPr>
                <w:rStyle w:val="SpecialBold"/>
              </w:rPr>
              <w:t>6</w:t>
            </w:r>
            <w:r w:rsidRPr="00B90CBA">
              <w:t>)</w:t>
            </w:r>
          </w:p>
          <w:p w:rsidR="00000000" w:rsidP="00B90CBA">
            <w:pPr>
              <w:pStyle w:val="BodyText"/>
              <w:rPr>
                <w:lang w:val="en-NZ"/>
              </w:rPr>
            </w:pPr>
            <w:r w:rsidRPr="00B90CBA">
              <w:t>Evidence that particular Key Competencies have been achieved within this Competency Standard Unit is in the context of the following Performance Criteria of evidence. See Volume 2, Part 4 for an explanation of Key Competencies and levels of this Training P</w:t>
            </w:r>
            <w:r w:rsidRPr="00B90CBA">
              <w:t>ackage.</w:t>
            </w:r>
          </w:p>
        </w:tc>
      </w:tr>
      <w:tr w:rsidTr="00E5770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rPr>
                <w:rStyle w:val="SpecialBold"/>
              </w:rPr>
              <w:t>Performance Level</w:t>
            </w:r>
          </w:p>
        </w:tc>
      </w:tr>
      <w:tr w:rsidTr="00E577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p>
          <w:p w:rsidR="00000000" w:rsidP="00B90CBA">
            <w:pPr>
              <w:pStyle w:val="BodyText"/>
              <w:rPr>
                <w:lang w:val="en-NZ"/>
              </w:rPr>
            </w:pPr>
            <w:r w:rsidRPr="00B90CBA">
              <w:t>3</w:t>
            </w:r>
          </w:p>
        </w:tc>
      </w:tr>
      <w:tr w:rsidTr="00E577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1.8; 2.2;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p>
        </w:tc>
      </w:tr>
      <w:tr w:rsidTr="00E577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p>
          <w:p w:rsidR="00000000" w:rsidP="00B90CBA">
            <w:pPr>
              <w:pStyle w:val="BodyText"/>
              <w:rPr>
                <w:lang w:val="en-NZ"/>
              </w:rPr>
            </w:pPr>
            <w:r w:rsidRPr="00B90CBA">
              <w:t>2</w:t>
            </w:r>
          </w:p>
        </w:tc>
      </w:tr>
      <w:tr w:rsidTr="00E577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p>
        </w:tc>
      </w:tr>
      <w:tr w:rsidTr="00E577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p>
          <w:p w:rsidR="00000000" w:rsidP="00B90CBA">
            <w:pPr>
              <w:pStyle w:val="BodyText"/>
              <w:rPr>
                <w:lang w:val="en-NZ"/>
              </w:rPr>
            </w:pPr>
            <w:r w:rsidRPr="00B90CBA">
              <w:t>2</w:t>
            </w:r>
          </w:p>
        </w:tc>
      </w:tr>
      <w:tr w:rsidTr="00E577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1.4; 1.7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p>
        </w:tc>
      </w:tr>
      <w:tr w:rsidTr="00E577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p>
          <w:p w:rsidR="00000000" w:rsidP="00B90CBA">
            <w:pPr>
              <w:pStyle w:val="BodyText"/>
              <w:rPr>
                <w:lang w:val="en-NZ"/>
              </w:rPr>
            </w:pPr>
            <w:r w:rsidRPr="00B90CBA">
              <w:t>2</w:t>
            </w:r>
          </w:p>
        </w:tc>
      </w:tr>
      <w:tr w:rsidTr="00E577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3.1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p>
        </w:tc>
      </w:tr>
      <w:tr w:rsidTr="00E577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p>
          <w:p w:rsidR="00000000" w:rsidP="00B90CBA">
            <w:pPr>
              <w:pStyle w:val="BodyText"/>
              <w:rPr>
                <w:lang w:val="en-NZ"/>
              </w:rPr>
            </w:pPr>
            <w:r w:rsidRPr="00B90CBA">
              <w:t>N/A</w:t>
            </w:r>
          </w:p>
        </w:tc>
      </w:tr>
      <w:tr w:rsidTr="00E577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p>
        </w:tc>
      </w:tr>
      <w:tr w:rsidTr="00E577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p>
          <w:p w:rsidR="00000000" w:rsidP="00B90CBA">
            <w:pPr>
              <w:pStyle w:val="BodyText"/>
              <w:rPr>
                <w:lang w:val="en-NZ"/>
              </w:rPr>
            </w:pPr>
            <w:r w:rsidRPr="00B90CBA">
              <w:t>2</w:t>
            </w:r>
          </w:p>
        </w:tc>
      </w:tr>
      <w:tr w:rsidTr="00E577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3.3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p>
        </w:tc>
      </w:tr>
      <w:tr w:rsidTr="00E577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p>
          <w:p w:rsidR="00000000" w:rsidP="00B90CBA">
            <w:pPr>
              <w:pStyle w:val="BodyText"/>
              <w:rPr>
                <w:lang w:val="en-NZ"/>
              </w:rPr>
            </w:pPr>
            <w:r w:rsidRPr="00B90CBA">
              <w:t>N/A</w:t>
            </w:r>
          </w:p>
        </w:tc>
      </w:tr>
      <w:tr w:rsidTr="00E577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p>
        </w:tc>
      </w:tr>
    </w:tbl>
    <w:p w:rsidR="00000000" w:rsidRPr="00B90CBA" w:rsidP="00B90CBA">
      <w:pPr>
        <w:pStyle w:val="BodyText"/>
      </w:pPr>
    </w:p>
    <w:tbl>
      <w:tblPr>
        <w:tblW w:w="0" w:type="auto"/>
        <w:tblLayout w:type="fixed"/>
        <w:tblCellMar>
          <w:left w:w="62" w:type="dxa"/>
          <w:right w:w="62" w:type="dxa"/>
        </w:tblCellMar>
        <w:tblLook w:val="0000"/>
      </w:tblPr>
      <w:tblGrid>
        <w:gridCol w:w="326"/>
        <w:gridCol w:w="1834"/>
        <w:gridCol w:w="6300"/>
      </w:tblGrid>
      <w:tr w:rsidTr="00E5770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90CBA" w:rsidP="00B90CBA">
            <w:pPr>
              <w:pStyle w:val="BodyText"/>
            </w:pPr>
            <w:r w:rsidRPr="00B90CB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B90CBA" w:rsidP="00B90CBA">
            <w:pPr>
              <w:pStyle w:val="BodyText"/>
            </w:pPr>
            <w:r w:rsidRPr="00B90CBA">
              <w:rPr>
                <w:rStyle w:val="SpecialBold"/>
              </w:rPr>
              <w:t>8</w:t>
            </w:r>
            <w:r w:rsidRPr="00B90CBA">
              <w:t>.</w:t>
            </w:r>
            <w:r w:rsidRPr="00B90CBA">
              <w:rPr>
                <w:rStyle w:val="SpecialBold"/>
              </w:rPr>
              <w:t>7</w:t>
            </w:r>
            <w:r w:rsidRPr="00B90CBA">
              <w:t>)</w:t>
            </w:r>
          </w:p>
          <w:p w:rsidR="00000000" w:rsidP="00B90CBA">
            <w:pPr>
              <w:pStyle w:val="BodyText"/>
              <w:rPr>
                <w:lang w:val="en-NZ"/>
              </w:rPr>
            </w:pPr>
            <w:r w:rsidRPr="00B90CBA">
              <w:t>Evidence that competency in this u</w:t>
            </w:r>
            <w:r w:rsidRPr="00B90CBA">
              <w:t xml:space="preserve">nit incorporates skills enabling employment is in the context of the following performance. See Volume 2, Part 5 for definitions and an explanation of skills enabling employment. </w:t>
            </w:r>
          </w:p>
        </w:tc>
      </w:tr>
      <w:tr w:rsidTr="00E5770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rPr>
                <w:rStyle w:val="SpecialBold"/>
              </w:rPr>
              <w:t>Example of Application</w:t>
            </w:r>
          </w:p>
        </w:tc>
      </w:tr>
      <w:tr w:rsidTr="00E577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Developing and using skills within a real workplace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of application:</w:t>
            </w:r>
          </w:p>
        </w:tc>
      </w:tr>
      <w:tr w:rsidTr="00E577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All</w:t>
            </w:r>
          </w:p>
        </w:tc>
      </w:tr>
      <w:tr w:rsidTr="00E577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of application:</w:t>
            </w:r>
          </w:p>
        </w:tc>
      </w:tr>
      <w:tr w:rsidTr="00E577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2.6; 2.7</w:t>
            </w:r>
          </w:p>
        </w:tc>
      </w:tr>
      <w:tr w:rsidTr="00E577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of application:</w:t>
            </w:r>
          </w:p>
        </w:tc>
      </w:tr>
      <w:tr w:rsidTr="00E577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3.3</w:t>
            </w:r>
          </w:p>
        </w:tc>
      </w:tr>
      <w:tr w:rsidTr="00E577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w:t>
            </w:r>
            <w:r w:rsidRPr="00B90CBA">
              <w:t>f application:</w:t>
            </w:r>
          </w:p>
        </w:tc>
      </w:tr>
      <w:tr w:rsidTr="00E577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1.4; 1.8</w:t>
            </w:r>
          </w:p>
        </w:tc>
      </w:tr>
      <w:tr w:rsidTr="00E577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of application:</w:t>
            </w:r>
          </w:p>
        </w:tc>
      </w:tr>
      <w:tr w:rsidTr="00E577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1.4; 1.5; 1.7; 1.8</w:t>
            </w:r>
          </w:p>
        </w:tc>
      </w:tr>
      <w:tr w:rsidTr="00E577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BA">
            <w:pPr>
              <w:pStyle w:val="BodyText"/>
              <w:rPr>
                <w:lang w:val="en-NZ"/>
              </w:rPr>
            </w:pPr>
            <w:r w:rsidRPr="00B90CB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BA">
            <w:pPr>
              <w:pStyle w:val="BodyText"/>
              <w:rPr>
                <w:lang w:val="en-NZ"/>
              </w:rPr>
            </w:pPr>
            <w:r w:rsidRPr="00B90CBA">
              <w:t>Refer to the following Performance Criteria for examples of application:</w:t>
            </w:r>
          </w:p>
        </w:tc>
      </w:tr>
      <w:tr w:rsidTr="00E577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90CBA" w:rsidP="00B90CBA">
            <w:pPr>
              <w:pStyle w:val="BodyText"/>
            </w:pPr>
            <w:r w:rsidRPr="00B90CBA">
              <w:t>2.6</w:t>
            </w:r>
          </w:p>
        </w:tc>
      </w:tr>
    </w:tbl>
    <w:p w:rsidR="00E5770D" w:rsidP="00B90CBA">
      <w:pPr>
        <w:pStyle w:val="BodyText"/>
      </w:pPr>
    </w:p>
    <w:p w:rsidR="00E5770D" w:rsidP="00B90CBA">
      <w:pPr>
        <w:pStyle w:val="BodyText"/>
      </w:pPr>
    </w:p>
    <w:p w:rsidR="00000000" w:rsidRPr="00B90CBA" w:rsidP="00B90CBA">
      <w:pPr>
        <w:pStyle w:val="Heading1"/>
      </w:pPr>
      <w:bookmarkStart w:id="11" w:name="O_255807"/>
      <w:bookmarkEnd w:id="11"/>
      <w:r w:rsidRPr="00B90CBA">
        <w:t>Range Statement</w:t>
      </w:r>
    </w:p>
    <w:tbl>
      <w:tblPr>
        <w:tblW w:w="0" w:type="auto"/>
        <w:tblLayout w:type="fixed"/>
        <w:tblCellMar>
          <w:left w:w="62" w:type="dxa"/>
          <w:right w:w="62" w:type="dxa"/>
        </w:tblCellMar>
        <w:tblLook w:val="0000"/>
      </w:tblPr>
      <w:tblGrid>
        <w:gridCol w:w="8460"/>
      </w:tblGrid>
      <w:tr w:rsidTr="00E577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RANGE STATEMENT</w:t>
            </w:r>
          </w:p>
        </w:tc>
      </w:tr>
      <w:tr w:rsidTr="00E577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7</w:t>
            </w:r>
            <w:r w:rsidRPr="00B90CBA">
              <w:t xml:space="preserve">) This relates to the competency standard unit as a whole providing the range of contexts and conditions </w:t>
            </w:r>
            <w:r w:rsidRPr="00B90CBA">
              <w:t>to which the Performance Criteria apply. It allows for different work environments and situations that will affect performance.</w:t>
            </w:r>
          </w:p>
        </w:tc>
      </w:tr>
      <w:tr w:rsidTr="00E577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t>This Competency Standard Unit shall/may be demonstrated in relation to the inspection, validation, calibration, and recommissio</w:t>
            </w:r>
            <w:r w:rsidRPr="00B90CBA">
              <w:t>ning of custody transfer devices and gas quality measuring equipment.</w:t>
            </w:r>
          </w:p>
          <w:p w:rsidR="00000000" w:rsidRPr="00B90CBA" w:rsidP="00B90CBA">
            <w:pPr>
              <w:pStyle w:val="BodyText"/>
            </w:pPr>
            <w:r w:rsidRPr="00B90CBA">
              <w:t>The following constants and variables included in the element/Performance Criteria in this unit are fully described in the Definitions Section of this volume and form an integral part of</w:t>
            </w:r>
            <w:r w:rsidRPr="00B90CBA">
              <w:t xml:space="preserve"> the Range Statement of this unit:</w:t>
            </w:r>
          </w:p>
          <w:p w:rsidR="00000000" w:rsidRPr="00B90CBA" w:rsidP="00B90CBA">
            <w:pPr>
              <w:pStyle w:val="BodyText"/>
            </w:pPr>
            <w:r w:rsidRPr="00B90CBA">
              <w:t>Calibration skills used in the setting, adjustment, calibration validation or verification of instrumentation sensors</w:t>
            </w:r>
          </w:p>
          <w:p w:rsidR="00000000" w:rsidRPr="00B90CBA" w:rsidP="00B90CBA">
            <w:pPr>
              <w:pStyle w:val="BodyText"/>
            </w:pPr>
            <w:r w:rsidRPr="00B90CBA">
              <w:t>Measurement principles</w:t>
            </w:r>
          </w:p>
          <w:p w:rsidR="00000000" w:rsidRPr="00B90CBA" w:rsidP="00B90CBA">
            <w:pPr>
              <w:pStyle w:val="BodyText"/>
            </w:pPr>
            <w:r w:rsidRPr="00B90CBA">
              <w:t>Gas chromatography</w:t>
            </w:r>
          </w:p>
          <w:p w:rsidR="00000000" w:rsidRPr="00B90CBA" w:rsidP="00B90CBA">
            <w:pPr>
              <w:pStyle w:val="BodyText"/>
            </w:pPr>
            <w:r w:rsidRPr="00B90CBA">
              <w:t>Recording and reporting</w:t>
            </w:r>
          </w:p>
          <w:p w:rsidR="00000000" w:rsidRPr="00B90CBA" w:rsidP="00B90CBA">
            <w:pPr>
              <w:pStyle w:val="BodyText"/>
            </w:pPr>
            <w:r w:rsidRPr="00B90CBA">
              <w:t>Equipment</w:t>
            </w:r>
          </w:p>
          <w:p w:rsidR="00000000" w:rsidRPr="00B90CBA" w:rsidP="00B90CBA">
            <w:pPr>
              <w:pStyle w:val="BodyText"/>
            </w:pPr>
            <w:r w:rsidRPr="00B90CBA">
              <w:t>Organisational and statutor</w:t>
            </w:r>
            <w:r w:rsidRPr="00B90CBA">
              <w:t>y requirements</w:t>
            </w:r>
          </w:p>
        </w:tc>
      </w:tr>
    </w:tbl>
    <w:p w:rsidR="00E5770D" w:rsidP="00B90CBA">
      <w:pPr>
        <w:pStyle w:val="BodyText"/>
      </w:pPr>
    </w:p>
    <w:p w:rsidR="00E5770D" w:rsidP="00B90CBA">
      <w:pPr>
        <w:pStyle w:val="BodyText"/>
      </w:pPr>
    </w:p>
    <w:p w:rsidR="00000000" w:rsidRPr="00B90CBA" w:rsidP="00B90CBA">
      <w:pPr>
        <w:pStyle w:val="Heading1"/>
      </w:pPr>
      <w:bookmarkStart w:id="12" w:name="O_296820"/>
      <w:bookmarkEnd w:id="12"/>
      <w:r w:rsidRPr="00B90CBA">
        <w:t>Unit Sector(s)</w:t>
      </w:r>
    </w:p>
    <w:p w:rsidR="00000000" w:rsidRPr="00B90CBA" w:rsidP="00B90CBA">
      <w:pPr>
        <w:pStyle w:val="BodyText"/>
      </w:pPr>
      <w:r w:rsidRPr="00B90CBA">
        <w:t>Not Applicable</w:t>
      </w:r>
    </w:p>
    <w:p w:rsidR="00000000" w:rsidRPr="00B90CBA" w:rsidP="00B90CBA">
      <w:pPr>
        <w:pStyle w:val="AllowPageBreak"/>
      </w:pPr>
    </w:p>
    <w:p w:rsidR="00000000" w:rsidRPr="00B90CBA" w:rsidP="00B90CBA">
      <w:pPr>
        <w:pStyle w:val="Heading1"/>
      </w:pPr>
      <w:bookmarkStart w:id="13" w:name="O_229579"/>
      <w:bookmarkEnd w:id="13"/>
      <w:r w:rsidRPr="00B90CB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577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2</w:t>
            </w:r>
            <w:r w:rsidRPr="00B90CBA">
              <w:t>.</w:t>
            </w:r>
            <w:r w:rsidRPr="00B90CBA">
              <w:rPr>
                <w:rStyle w:val="SpecialBold"/>
              </w:rPr>
              <w:t>2</w:t>
            </w:r>
            <w:r w:rsidRPr="00B90CBA">
              <w:t xml:space="preserve">) </w:t>
            </w:r>
          </w:p>
          <w:p w:rsidR="00000000" w:rsidP="00B90CBA">
            <w:pPr>
              <w:pStyle w:val="BodyText"/>
              <w:rPr>
                <w:lang w:val="en-NZ"/>
              </w:rPr>
            </w:pPr>
            <w:r w:rsidRPr="00B90CBA">
              <w:t>Participants are best equipped to achieve this unit if they have reading, writing and numeracy skills indicated by the following scales. Description of each scale is given in Volume 2, Part 3 'Literacy and Numeracy'</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Reading</w:t>
            </w:r>
          </w:p>
        </w:tc>
        <w:tc>
          <w:tcPr>
            <w:tcW w:w="805"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4</w:t>
            </w:r>
          </w:p>
        </w:tc>
        <w:tc>
          <w:tcPr>
            <w:tcW w:w="1184"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Writing</w:t>
            </w:r>
          </w:p>
        </w:tc>
        <w:tc>
          <w:tcPr>
            <w:tcW w:w="805"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4</w:t>
            </w:r>
          </w:p>
        </w:tc>
        <w:tc>
          <w:tcPr>
            <w:tcW w:w="1172"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t>Numeracy</w:t>
            </w:r>
          </w:p>
        </w:tc>
        <w:tc>
          <w:tcPr>
            <w:tcW w:w="805"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t>4</w:t>
            </w:r>
          </w:p>
        </w:tc>
      </w:tr>
    </w:tbl>
    <w:p w:rsidR="00E5770D" w:rsidP="00B90CBA">
      <w:pPr>
        <w:pStyle w:val="BodyText"/>
      </w:pPr>
    </w:p>
    <w:p w:rsidR="00E5770D" w:rsidP="00B90CBA">
      <w:pPr>
        <w:pStyle w:val="BodyText"/>
      </w:pPr>
    </w:p>
    <w:p w:rsidR="00000000" w:rsidRPr="00B90CBA" w:rsidP="00B90CBA">
      <w:pPr>
        <w:pStyle w:val="Heading1"/>
      </w:pPr>
      <w:bookmarkStart w:id="14" w:name="O_229582"/>
      <w:bookmarkEnd w:id="14"/>
      <w:r w:rsidRPr="00B90CBA">
        <w:t>Competency Field</w:t>
      </w:r>
    </w:p>
    <w:tbl>
      <w:tblPr>
        <w:tblW w:w="0" w:type="auto"/>
        <w:tblLayout w:type="fixed"/>
        <w:tblCellMar>
          <w:left w:w="62" w:type="dxa"/>
          <w:right w:w="62" w:type="dxa"/>
        </w:tblCellMar>
        <w:tblLook w:val="0000"/>
      </w:tblPr>
      <w:tblGrid>
        <w:gridCol w:w="2700"/>
        <w:gridCol w:w="5760"/>
      </w:tblGrid>
      <w:tr w:rsidTr="00E577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0CBA">
            <w:pPr>
              <w:pStyle w:val="BodyText"/>
              <w:rPr>
                <w:lang w:val="en-NZ"/>
              </w:rPr>
            </w:pPr>
            <w:r w:rsidRPr="00B90CBA">
              <w:rPr>
                <w:rStyle w:val="SpecialBold"/>
              </w:rPr>
              <w:t>4</w:t>
            </w:r>
            <w:r w:rsidRPr="00B90CBA">
              <w:t xml:space="preserve">) </w:t>
            </w:r>
          </w:p>
        </w:tc>
      </w:tr>
      <w:tr w:rsidTr="00E577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0CBA" w:rsidP="00B90CBA">
            <w:pPr>
              <w:pStyle w:val="BodyText"/>
            </w:pPr>
            <w:r w:rsidRPr="00B90CBA">
              <w:t>Transmission.</w:t>
            </w:r>
          </w:p>
        </w:tc>
      </w:tr>
    </w:tbl>
    <w:p w:rsidR="00E5770D" w:rsidP="00B90CBA">
      <w:pPr>
        <w:pStyle w:val="BodyText"/>
      </w:pPr>
    </w:p>
    <w:p w:rsidR="00E5770D" w:rsidP="00B90CBA">
      <w:pPr>
        <w:pStyle w:val="BodyText"/>
      </w:pPr>
    </w:p>
    <w:p w:rsidR="00000000" w:rsidRPr="00B90CBA" w:rsidP="00B90CBA"/>
    <w:sectPr w:rsidSect="00B90C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70D" w:rsidP="00E57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0D" w:rsidP="00B90C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5770D" w:rsidP="00B90C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5770D" w:rsidP="00B90C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70D" w:rsidP="00E577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0D" w:rsidP="00B90CBA">
    <w:pPr>
      <w:pStyle w:val="Header"/>
      <w:framePr w:wrap="around"/>
    </w:pPr>
    <w:r>
      <w:fldChar w:fldCharType="begin"/>
    </w:r>
    <w:r>
      <w:instrText xml:space="preserve"> TITLE   \* MERGEFORMAT </w:instrText>
    </w:r>
    <w:r>
      <w:fldChar w:fldCharType="separate"/>
    </w:r>
    <w:r>
      <w:t>UEGNSG319A Custody transfer metering and gas quality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770D" w:rsidP="00B90C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FCC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1E4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A65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0CBA"/>
    <w:pPr>
      <w:spacing w:before="360" w:after="60"/>
      <w:outlineLvl w:val="0"/>
    </w:pPr>
    <w:rPr>
      <w:sz w:val="32"/>
    </w:rPr>
  </w:style>
  <w:style w:type="paragraph" w:styleId="Heading2">
    <w:name w:val="heading 2"/>
    <w:basedOn w:val="HeadingBase"/>
    <w:next w:val="BodyText"/>
    <w:link w:val="Heading2Char"/>
    <w:qFormat/>
    <w:rsid w:val="00B90CBA"/>
    <w:pPr>
      <w:keepLines/>
      <w:spacing w:before="240" w:after="120"/>
      <w:outlineLvl w:val="1"/>
    </w:pPr>
    <w:rPr>
      <w:sz w:val="28"/>
      <w:szCs w:val="40"/>
    </w:rPr>
  </w:style>
  <w:style w:type="paragraph" w:styleId="Heading3">
    <w:name w:val="heading 3"/>
    <w:basedOn w:val="HeadingBase"/>
    <w:next w:val="BodyText"/>
    <w:link w:val="Heading3Char"/>
    <w:qFormat/>
    <w:rsid w:val="00B90CBA"/>
    <w:pPr>
      <w:spacing w:before="180" w:after="120"/>
      <w:outlineLvl w:val="2"/>
    </w:pPr>
    <w:rPr>
      <w:spacing w:val="-10"/>
      <w:kern w:val="32"/>
    </w:rPr>
  </w:style>
  <w:style w:type="paragraph" w:styleId="Heading4">
    <w:name w:val="heading 4"/>
    <w:basedOn w:val="HeadingBase"/>
    <w:next w:val="BodyText"/>
    <w:link w:val="Heading4Char"/>
    <w:qFormat/>
    <w:rsid w:val="00B90CBA"/>
    <w:pPr>
      <w:spacing w:before="160" w:after="120"/>
      <w:outlineLvl w:val="3"/>
    </w:pPr>
    <w:rPr>
      <w:sz w:val="22"/>
    </w:rPr>
  </w:style>
  <w:style w:type="paragraph" w:styleId="Heading5">
    <w:name w:val="heading 5"/>
    <w:basedOn w:val="HeadingBase"/>
    <w:next w:val="Normal"/>
    <w:link w:val="Heading5Char"/>
    <w:qFormat/>
    <w:rsid w:val="00B90CBA"/>
    <w:pPr>
      <w:spacing w:before="80"/>
      <w:outlineLvl w:val="4"/>
    </w:pPr>
    <w:rPr>
      <w:color w:val="918585"/>
      <w:sz w:val="20"/>
    </w:rPr>
  </w:style>
  <w:style w:type="paragraph" w:styleId="Heading6">
    <w:name w:val="heading 6"/>
    <w:basedOn w:val="HeadingBase"/>
    <w:next w:val="Normal"/>
    <w:link w:val="Heading6Char"/>
    <w:qFormat/>
    <w:rsid w:val="00B90CBA"/>
    <w:pPr>
      <w:spacing w:before="60"/>
      <w:outlineLvl w:val="5"/>
    </w:pPr>
    <w:rPr>
      <w:color w:val="918585"/>
      <w:sz w:val="20"/>
    </w:rPr>
  </w:style>
  <w:style w:type="paragraph" w:styleId="Heading7">
    <w:name w:val="heading 7"/>
    <w:basedOn w:val="Normal"/>
    <w:next w:val="Normal"/>
    <w:link w:val="Heading7Char"/>
    <w:qFormat/>
    <w:rsid w:val="00B90CBA"/>
    <w:pPr>
      <w:ind w:left="720"/>
      <w:outlineLvl w:val="6"/>
    </w:pPr>
    <w:rPr>
      <w:i/>
    </w:rPr>
  </w:style>
  <w:style w:type="paragraph" w:styleId="Heading8">
    <w:name w:val="heading 8"/>
    <w:basedOn w:val="Normal"/>
    <w:next w:val="Normal"/>
    <w:link w:val="Heading8Char"/>
    <w:qFormat/>
    <w:rsid w:val="00B90CBA"/>
    <w:pPr>
      <w:ind w:left="720"/>
      <w:outlineLvl w:val="7"/>
    </w:pPr>
    <w:rPr>
      <w:i/>
    </w:rPr>
  </w:style>
  <w:style w:type="paragraph" w:styleId="Heading9">
    <w:name w:val="heading 9"/>
    <w:basedOn w:val="Normal"/>
    <w:next w:val="Normal"/>
    <w:link w:val="Heading9Char"/>
    <w:qFormat/>
    <w:rsid w:val="00B90CBA"/>
    <w:pPr>
      <w:ind w:left="720"/>
      <w:outlineLvl w:val="8"/>
    </w:pPr>
    <w:rPr>
      <w:i/>
    </w:rPr>
  </w:style>
  <w:style w:type="character" w:default="1" w:styleId="DefaultParagraphFont">
    <w:name w:val="Default Paragraph Font"/>
    <w:uiPriority w:val="1"/>
    <w:unhideWhenUsed/>
    <w:rsid w:val="00B90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CBA"/>
  </w:style>
  <w:style w:type="character" w:customStyle="1" w:styleId="Heading1Char">
    <w:name w:val="Heading 1 Char"/>
    <w:link w:val="Heading1"/>
    <w:rsid w:val="00B90CBA"/>
    <w:rPr>
      <w:rFonts w:ascii="Times New Roman" w:eastAsia="Times New Roman" w:hAnsi="Times New Roman" w:cs="Times New Roman"/>
      <w:b/>
      <w:sz w:val="32"/>
      <w:szCs w:val="20"/>
      <w:lang w:eastAsia="en-US"/>
    </w:rPr>
  </w:style>
  <w:style w:type="paragraph" w:styleId="BodyText">
    <w:name w:val="Body Text"/>
    <w:basedOn w:val="Normal"/>
    <w:link w:val="BodyTextChar"/>
    <w:rsid w:val="00B90CBA"/>
    <w:pPr>
      <w:spacing w:before="120" w:after="120"/>
      <w:contextualSpacing/>
    </w:pPr>
    <w:rPr>
      <w:rFonts w:ascii="Times New Roman" w:hAnsi="Times New Roman"/>
      <w:sz w:val="24"/>
      <w:szCs w:val="22"/>
    </w:rPr>
  </w:style>
  <w:style w:type="character" w:customStyle="1" w:styleId="BodyTextChar">
    <w:name w:val="Body Text Char"/>
    <w:link w:val="BodyText"/>
    <w:rsid w:val="00B90CBA"/>
    <w:rPr>
      <w:rFonts w:ascii="Times New Roman" w:eastAsia="Times New Roman" w:hAnsi="Times New Roman" w:cs="Times New Roman"/>
      <w:sz w:val="24"/>
      <w:lang w:val="en-US" w:eastAsia="en-US"/>
    </w:rPr>
  </w:style>
  <w:style w:type="paragraph" w:styleId="Footer">
    <w:name w:val="footer"/>
    <w:basedOn w:val="Normal"/>
    <w:link w:val="FooterChar"/>
    <w:rsid w:val="00B90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0CBA"/>
    <w:rPr>
      <w:rFonts w:ascii="Times New Roman" w:eastAsia="Times New Roman" w:hAnsi="Times New Roman" w:cs="Times New Roman"/>
      <w:sz w:val="16"/>
      <w:lang w:val="en-US" w:eastAsia="en-US"/>
    </w:rPr>
  </w:style>
  <w:style w:type="paragraph" w:styleId="ListBullet">
    <w:name w:val="List Bullet"/>
    <w:basedOn w:val="List"/>
    <w:rsid w:val="00B90CBA"/>
    <w:pPr>
      <w:numPr>
        <w:numId w:val="13"/>
      </w:numPr>
      <w:tabs>
        <w:tab w:val="clear" w:pos="340"/>
      </w:tabs>
      <w:spacing w:before="40" w:after="40"/>
    </w:pPr>
  </w:style>
  <w:style w:type="character" w:customStyle="1" w:styleId="SpecialBold">
    <w:name w:val="Special Bold"/>
    <w:rsid w:val="00B90CBA"/>
    <w:rPr>
      <w:b/>
      <w:spacing w:val="0"/>
    </w:rPr>
  </w:style>
  <w:style w:type="paragraph" w:styleId="ListBullet2">
    <w:name w:val="List Bullet 2"/>
    <w:basedOn w:val="List2"/>
    <w:rsid w:val="00B90CBA"/>
    <w:pPr>
      <w:numPr>
        <w:numId w:val="14"/>
      </w:numPr>
      <w:tabs>
        <w:tab w:val="clear" w:pos="680"/>
      </w:tabs>
    </w:pPr>
  </w:style>
  <w:style w:type="paragraph" w:styleId="Header">
    <w:name w:val="header"/>
    <w:basedOn w:val="Normal"/>
    <w:link w:val="HeaderChar"/>
    <w:rsid w:val="00B90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0C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0CBA"/>
    <w:pPr>
      <w:spacing w:before="240" w:after="120"/>
      <w:outlineLvl w:val="0"/>
    </w:pPr>
    <w:rPr>
      <w:rFonts w:ascii="Times New Roman" w:hAnsi="Times New Roman"/>
      <w:b/>
      <w:sz w:val="28"/>
    </w:rPr>
  </w:style>
  <w:style w:type="paragraph" w:customStyle="1" w:styleId="AllowPageBreak">
    <w:name w:val="AllowPageBreak"/>
    <w:rsid w:val="00B90C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90CBA"/>
    <w:rPr>
      <w:rFonts w:ascii="Times New Roman" w:eastAsia="Times New Roman" w:hAnsi="Times New Roman" w:cs="Times New Roman"/>
      <w:b/>
      <w:sz w:val="28"/>
      <w:szCs w:val="40"/>
      <w:lang w:eastAsia="en-US"/>
    </w:rPr>
  </w:style>
  <w:style w:type="character" w:customStyle="1" w:styleId="Heading3Char">
    <w:name w:val="Heading 3 Char"/>
    <w:link w:val="Heading3"/>
    <w:rsid w:val="00B90CB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0CBA"/>
    <w:rPr>
      <w:rFonts w:ascii="Times New Roman" w:eastAsia="Times New Roman" w:hAnsi="Times New Roman" w:cs="Times New Roman"/>
      <w:b/>
      <w:szCs w:val="20"/>
      <w:lang w:eastAsia="en-US"/>
    </w:rPr>
  </w:style>
  <w:style w:type="character" w:customStyle="1" w:styleId="Heading5Char">
    <w:name w:val="Heading 5 Char"/>
    <w:link w:val="Heading5"/>
    <w:rsid w:val="00B90CB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0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C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0C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0CBA"/>
    <w:rPr>
      <w:rFonts w:ascii="Courier New" w:eastAsia="Times New Roman" w:hAnsi="Courier New" w:cs="Times New Roman"/>
      <w:i/>
      <w:szCs w:val="20"/>
      <w:lang w:val="en-US" w:eastAsia="en-US"/>
    </w:rPr>
  </w:style>
  <w:style w:type="paragraph" w:customStyle="1" w:styleId="HeadingBase">
    <w:name w:val="Heading Base"/>
    <w:rsid w:val="00B90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CBA"/>
    <w:pPr>
      <w:tabs>
        <w:tab w:val="right" w:leader="dot" w:pos="9072"/>
      </w:tabs>
      <w:ind w:left="567"/>
    </w:pPr>
    <w:rPr>
      <w:szCs w:val="22"/>
    </w:rPr>
  </w:style>
  <w:style w:type="paragraph" w:customStyle="1" w:styleId="TOCBase">
    <w:name w:val="TOC Base"/>
    <w:rsid w:val="00B90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CBA"/>
    <w:pPr>
      <w:tabs>
        <w:tab w:val="right" w:leader="dot" w:pos="9072"/>
      </w:tabs>
      <w:spacing w:before="40" w:after="40"/>
      <w:ind w:left="284"/>
    </w:pPr>
    <w:rPr>
      <w:rFonts w:ascii="Times New Roman" w:hAnsi="Times New Roman"/>
    </w:rPr>
  </w:style>
  <w:style w:type="paragraph" w:styleId="TOC1">
    <w:name w:val="toc 1"/>
    <w:basedOn w:val="TOCBase"/>
    <w:next w:val="Normal"/>
    <w:rsid w:val="00B90C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0CBA"/>
    <w:pPr>
      <w:spacing w:before="5040"/>
      <w:jc w:val="center"/>
    </w:pPr>
    <w:rPr>
      <w:sz w:val="48"/>
      <w:szCs w:val="72"/>
      <w:lang w:val="en-US"/>
    </w:rPr>
  </w:style>
  <w:style w:type="character" w:customStyle="1" w:styleId="TitleChar">
    <w:name w:val="Title Char"/>
    <w:link w:val="Title"/>
    <w:rsid w:val="00B90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CBA"/>
    <w:pPr>
      <w:tabs>
        <w:tab w:val="left" w:pos="3600"/>
        <w:tab w:val="left" w:pos="3958"/>
      </w:tabs>
    </w:pPr>
  </w:style>
  <w:style w:type="paragraph" w:styleId="List">
    <w:name w:val="List"/>
    <w:basedOn w:val="BodyText"/>
    <w:next w:val="BodyText"/>
    <w:rsid w:val="00B90CBA"/>
    <w:pPr>
      <w:tabs>
        <w:tab w:val="left" w:pos="340"/>
      </w:tabs>
      <w:spacing w:before="60" w:after="60"/>
      <w:ind w:left="340" w:hanging="340"/>
    </w:pPr>
  </w:style>
  <w:style w:type="paragraph" w:customStyle="1" w:styleId="Note">
    <w:name w:val="Note"/>
    <w:basedOn w:val="BodyText"/>
    <w:rsid w:val="00B90C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CBA"/>
    <w:pPr>
      <w:framePr w:wrap="auto" w:hAnchor="text" w:y="6049"/>
    </w:pPr>
    <w:rPr>
      <w:color w:val="000000"/>
      <w:sz w:val="40"/>
    </w:rPr>
  </w:style>
  <w:style w:type="paragraph" w:customStyle="1" w:styleId="TOCTitle">
    <w:name w:val="TOCTitle"/>
    <w:basedOn w:val="Heading1"/>
    <w:rsid w:val="00B90CBA"/>
    <w:pPr>
      <w:spacing w:after="240"/>
      <w:jc w:val="center"/>
      <w:outlineLvl w:val="9"/>
    </w:pPr>
    <w:rPr>
      <w:caps/>
    </w:rPr>
  </w:style>
  <w:style w:type="paragraph" w:customStyle="1" w:styleId="Version">
    <w:name w:val="Version"/>
    <w:rsid w:val="00B90C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CBA"/>
    <w:pPr>
      <w:keepNext w:val="0"/>
      <w:tabs>
        <w:tab w:val="right" w:pos="4176"/>
      </w:tabs>
      <w:ind w:left="198" w:hanging="198"/>
    </w:pPr>
    <w:rPr>
      <w:rFonts w:ascii="Garamond" w:hAnsi="Garamond"/>
    </w:rPr>
  </w:style>
  <w:style w:type="paragraph" w:styleId="IndexHeading">
    <w:name w:val="index heading"/>
    <w:basedOn w:val="Normal"/>
    <w:next w:val="Index1"/>
    <w:semiHidden/>
    <w:rsid w:val="00B90CBA"/>
    <w:pPr>
      <w:spacing w:before="120" w:after="120"/>
    </w:pPr>
    <w:rPr>
      <w:rFonts w:ascii="Arial" w:hAnsi="Arial"/>
      <w:b/>
      <w:color w:val="918585"/>
      <w:sz w:val="24"/>
    </w:rPr>
  </w:style>
  <w:style w:type="paragraph" w:customStyle="1" w:styleId="Chapter">
    <w:name w:val="Chapter"/>
    <w:basedOn w:val="Normal"/>
    <w:rsid w:val="00B90CBA"/>
    <w:pPr>
      <w:spacing w:before="240"/>
    </w:pPr>
    <w:rPr>
      <w:rFonts w:ascii="Times New Roman" w:hAnsi="Times New Roman"/>
      <w:smallCaps/>
      <w:spacing w:val="80"/>
      <w:sz w:val="28"/>
    </w:rPr>
  </w:style>
  <w:style w:type="paragraph" w:customStyle="1" w:styleId="InChapter">
    <w:name w:val="InChapter"/>
    <w:basedOn w:val="Heading3"/>
    <w:rsid w:val="00B90CBA"/>
    <w:pPr>
      <w:spacing w:after="240"/>
      <w:outlineLvl w:val="9"/>
    </w:pPr>
    <w:rPr>
      <w:noProof/>
    </w:rPr>
  </w:style>
  <w:style w:type="paragraph" w:styleId="Index2">
    <w:name w:val="index 2"/>
    <w:basedOn w:val="Normal"/>
    <w:next w:val="Normal"/>
    <w:semiHidden/>
    <w:rsid w:val="00B90CBA"/>
    <w:pPr>
      <w:tabs>
        <w:tab w:val="right" w:pos="4176"/>
      </w:tabs>
      <w:ind w:left="568" w:hanging="284"/>
    </w:pPr>
    <w:rPr>
      <w:rFonts w:ascii="Garamond" w:hAnsi="Garamond"/>
    </w:rPr>
  </w:style>
  <w:style w:type="paragraph" w:customStyle="1" w:styleId="Byline">
    <w:name w:val="Byline"/>
    <w:rsid w:val="00B90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CBA"/>
    <w:pPr>
      <w:tabs>
        <w:tab w:val="clear" w:pos="3600"/>
        <w:tab w:val="clear" w:pos="3958"/>
      </w:tabs>
      <w:jc w:val="right"/>
    </w:pPr>
  </w:style>
  <w:style w:type="character" w:styleId="Emphasis">
    <w:name w:val="Emphasis"/>
    <w:qFormat/>
    <w:rsid w:val="00B90CBA"/>
    <w:rPr>
      <w:i/>
    </w:rPr>
  </w:style>
  <w:style w:type="paragraph" w:styleId="Caption">
    <w:name w:val="caption"/>
    <w:basedOn w:val="BodyText"/>
    <w:next w:val="Normal"/>
    <w:qFormat/>
    <w:rsid w:val="00B90CBA"/>
    <w:pPr>
      <w:framePr w:w="2268" w:hSpace="181" w:vSpace="181" w:wrap="around" w:vAnchor="text" w:hAnchor="page" w:x="1135" w:y="285" w:anchorLock="1"/>
    </w:pPr>
    <w:rPr>
      <w:i/>
    </w:rPr>
  </w:style>
  <w:style w:type="paragraph" w:customStyle="1" w:styleId="MiniTOCTitle">
    <w:name w:val="MiniTOCTitle"/>
    <w:basedOn w:val="Heading4"/>
    <w:rsid w:val="00B90CBA"/>
    <w:pPr>
      <w:spacing w:before="240"/>
      <w:outlineLvl w:val="9"/>
    </w:pPr>
    <w:rPr>
      <w:noProof/>
      <w:sz w:val="24"/>
    </w:rPr>
  </w:style>
  <w:style w:type="paragraph" w:customStyle="1" w:styleId="MiniTOCItem">
    <w:name w:val="MiniTOCItem"/>
    <w:basedOn w:val="ListBullet"/>
    <w:rsid w:val="00B90CBA"/>
    <w:pPr>
      <w:numPr>
        <w:numId w:val="0"/>
      </w:numPr>
      <w:tabs>
        <w:tab w:val="right" w:leader="dot" w:pos="6521"/>
      </w:tabs>
      <w:spacing w:before="0" w:after="0"/>
    </w:pPr>
  </w:style>
  <w:style w:type="paragraph" w:customStyle="1" w:styleId="TOFTitle">
    <w:name w:val="TOFTitle"/>
    <w:basedOn w:val="TOCTitle"/>
    <w:rsid w:val="00B90CBA"/>
  </w:style>
  <w:style w:type="paragraph" w:styleId="TableofFigures">
    <w:name w:val="table of figures"/>
    <w:basedOn w:val="Normal"/>
    <w:next w:val="Normal"/>
    <w:semiHidden/>
    <w:rsid w:val="00B90CBA"/>
    <w:pPr>
      <w:tabs>
        <w:tab w:val="right" w:leader="dot" w:pos="9072"/>
      </w:tabs>
      <w:ind w:left="970" w:hanging="403"/>
    </w:pPr>
    <w:rPr>
      <w:rFonts w:ascii="Times New Roman" w:hAnsi="Times New Roman"/>
      <w:b/>
    </w:rPr>
  </w:style>
  <w:style w:type="paragraph" w:styleId="ListNumber">
    <w:name w:val="List Number"/>
    <w:basedOn w:val="List"/>
    <w:rsid w:val="00B90CBA"/>
    <w:pPr>
      <w:numPr>
        <w:numId w:val="11"/>
      </w:numPr>
    </w:pPr>
  </w:style>
  <w:style w:type="character" w:customStyle="1" w:styleId="WingdingSymbols">
    <w:name w:val="Wingding Symbols"/>
    <w:rsid w:val="00B90CBA"/>
    <w:rPr>
      <w:rFonts w:ascii="Wingdings" w:hAnsi="Wingdings"/>
    </w:rPr>
  </w:style>
  <w:style w:type="paragraph" w:customStyle="1" w:styleId="TableHeading">
    <w:name w:val="Table Heading"/>
    <w:basedOn w:val="HeadingBase"/>
    <w:rsid w:val="00B90CBA"/>
    <w:pPr>
      <w:keepLines/>
      <w:pBdr>
        <w:bottom w:val="single" w:sz="6" w:space="1" w:color="918585"/>
      </w:pBdr>
      <w:spacing w:before="240"/>
    </w:pPr>
  </w:style>
  <w:style w:type="character" w:customStyle="1" w:styleId="HotSpot">
    <w:name w:val="HotSpot"/>
    <w:rsid w:val="00B90CBA"/>
    <w:rPr>
      <w:color w:val="0033CC"/>
      <w:u w:val="none"/>
    </w:rPr>
  </w:style>
  <w:style w:type="paragraph" w:customStyle="1" w:styleId="BodyTextRight">
    <w:name w:val="Body Text Right"/>
    <w:basedOn w:val="BodyText"/>
    <w:rsid w:val="00B90CBA"/>
    <w:pPr>
      <w:spacing w:before="0" w:after="0"/>
      <w:jc w:val="right"/>
    </w:pPr>
  </w:style>
  <w:style w:type="paragraph" w:styleId="Index3">
    <w:name w:val="index 3"/>
    <w:basedOn w:val="ListNumber2"/>
    <w:next w:val="Normal"/>
    <w:semiHidden/>
    <w:rsid w:val="00B90CBA"/>
    <w:pPr>
      <w:numPr>
        <w:numId w:val="0"/>
      </w:numPr>
      <w:tabs>
        <w:tab w:val="right" w:leader="dot" w:pos="4176"/>
      </w:tabs>
    </w:pPr>
  </w:style>
  <w:style w:type="paragraph" w:styleId="ListNumber2">
    <w:name w:val="List Number 2"/>
    <w:basedOn w:val="List2"/>
    <w:rsid w:val="00B90CBA"/>
    <w:pPr>
      <w:numPr>
        <w:numId w:val="10"/>
      </w:numPr>
      <w:tabs>
        <w:tab w:val="clear" w:pos="1060"/>
      </w:tabs>
    </w:pPr>
  </w:style>
  <w:style w:type="paragraph" w:customStyle="1" w:styleId="MarginNote">
    <w:name w:val="Margin Note"/>
    <w:basedOn w:val="BodyText"/>
    <w:rsid w:val="00B90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0C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0CBA"/>
    <w:rPr>
      <w:sz w:val="32"/>
    </w:rPr>
  </w:style>
  <w:style w:type="paragraph" w:customStyle="1" w:styleId="HeadingProcedure">
    <w:name w:val="Heading Procedure"/>
    <w:basedOn w:val="HeadingBase"/>
    <w:next w:val="Normal"/>
    <w:rsid w:val="00B90CBA"/>
    <w:pPr>
      <w:tabs>
        <w:tab w:val="left" w:pos="0"/>
      </w:tabs>
      <w:spacing w:before="120" w:after="60"/>
    </w:pPr>
    <w:rPr>
      <w:i/>
      <w:color w:val="918585"/>
      <w:sz w:val="22"/>
    </w:rPr>
  </w:style>
  <w:style w:type="paragraph" w:customStyle="1" w:styleId="TableBodyText">
    <w:name w:val="Table Body Text"/>
    <w:basedOn w:val="BodyText"/>
    <w:rsid w:val="00B90CBA"/>
    <w:pPr>
      <w:spacing w:before="60" w:after="60"/>
    </w:pPr>
  </w:style>
  <w:style w:type="paragraph" w:styleId="ListContinue">
    <w:name w:val="List Continue"/>
    <w:basedOn w:val="List"/>
    <w:rsid w:val="00B90CBA"/>
    <w:pPr>
      <w:ind w:firstLine="0"/>
    </w:pPr>
  </w:style>
  <w:style w:type="paragraph" w:customStyle="1" w:styleId="ListNote">
    <w:name w:val="List Note"/>
    <w:basedOn w:val="List"/>
    <w:rsid w:val="00B90CBA"/>
    <w:pPr>
      <w:pBdr>
        <w:top w:val="single" w:sz="6" w:space="2" w:color="918585"/>
        <w:bottom w:val="single" w:sz="6" w:space="2" w:color="918585"/>
      </w:pBdr>
      <w:tabs>
        <w:tab w:val="left" w:pos="1021"/>
      </w:tabs>
      <w:ind w:firstLine="0"/>
    </w:pPr>
  </w:style>
  <w:style w:type="paragraph" w:customStyle="1" w:styleId="Warning">
    <w:name w:val="Warning"/>
    <w:basedOn w:val="BodyText"/>
    <w:rsid w:val="00B90CBA"/>
    <w:pPr>
      <w:shd w:val="clear" w:color="auto" w:fill="D9D9D9"/>
      <w:tabs>
        <w:tab w:val="left" w:pos="992"/>
      </w:tabs>
      <w:ind w:left="119" w:right="119"/>
    </w:pPr>
    <w:rPr>
      <w:sz w:val="20"/>
    </w:rPr>
  </w:style>
  <w:style w:type="paragraph" w:customStyle="1" w:styleId="MarginIcons">
    <w:name w:val="Margin Icons"/>
    <w:basedOn w:val="BodyText"/>
    <w:rsid w:val="00B90CB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0CBA"/>
    <w:rPr>
      <w:rFonts w:ascii="Courier New" w:hAnsi="Courier New"/>
    </w:rPr>
  </w:style>
  <w:style w:type="paragraph" w:customStyle="1" w:styleId="NoteBullet">
    <w:name w:val="Note Bullet"/>
    <w:basedOn w:val="Note"/>
    <w:rsid w:val="00B90CBA"/>
    <w:pPr>
      <w:tabs>
        <w:tab w:val="clear" w:pos="680"/>
      </w:tabs>
      <w:spacing w:before="60" w:after="60"/>
    </w:pPr>
  </w:style>
  <w:style w:type="paragraph" w:customStyle="1" w:styleId="SubHeading2">
    <w:name w:val="SubHeading2"/>
    <w:basedOn w:val="HeadingBase"/>
    <w:rsid w:val="00B90CBA"/>
    <w:pPr>
      <w:spacing w:before="240" w:after="60"/>
    </w:pPr>
    <w:rPr>
      <w:sz w:val="20"/>
    </w:rPr>
  </w:style>
  <w:style w:type="paragraph" w:customStyle="1" w:styleId="SubHeading1">
    <w:name w:val="SubHeading1"/>
    <w:basedOn w:val="HeadingBase"/>
    <w:rsid w:val="00B90CBA"/>
    <w:pPr>
      <w:spacing w:before="240" w:after="60"/>
    </w:pPr>
    <w:rPr>
      <w:color w:val="918585"/>
      <w:sz w:val="22"/>
    </w:rPr>
  </w:style>
  <w:style w:type="paragraph" w:customStyle="1" w:styleId="SideHeading">
    <w:name w:val="Side Heading"/>
    <w:basedOn w:val="HeadingBase"/>
    <w:rsid w:val="00B90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CBA"/>
    <w:pPr>
      <w:numPr>
        <w:numId w:val="12"/>
      </w:numPr>
    </w:pPr>
  </w:style>
  <w:style w:type="paragraph" w:styleId="PlainText">
    <w:name w:val="Plain Text"/>
    <w:basedOn w:val="Normal"/>
    <w:link w:val="PlainTextChar"/>
    <w:rsid w:val="00B90CBA"/>
    <w:rPr>
      <w:sz w:val="20"/>
    </w:rPr>
  </w:style>
  <w:style w:type="character" w:customStyle="1" w:styleId="PlainTextChar">
    <w:name w:val="Plain Text Char"/>
    <w:basedOn w:val="DefaultParagraphFont"/>
    <w:link w:val="PlainText"/>
    <w:rsid w:val="00B90CBA"/>
    <w:rPr>
      <w:rFonts w:ascii="Courier New" w:eastAsia="Times New Roman" w:hAnsi="Courier New" w:cs="Times New Roman"/>
      <w:sz w:val="20"/>
      <w:szCs w:val="20"/>
      <w:lang w:val="en-US" w:eastAsia="en-US"/>
    </w:rPr>
  </w:style>
  <w:style w:type="character" w:customStyle="1" w:styleId="MenuOption">
    <w:name w:val="Menu Option"/>
    <w:rsid w:val="00B90CBA"/>
    <w:rPr>
      <w:b/>
      <w:smallCaps/>
    </w:rPr>
  </w:style>
  <w:style w:type="paragraph" w:customStyle="1" w:styleId="TableListNumber">
    <w:name w:val="Table List Number"/>
    <w:basedOn w:val="ListNumber"/>
    <w:rsid w:val="00B90CBA"/>
    <w:pPr>
      <w:numPr>
        <w:numId w:val="0"/>
      </w:numPr>
    </w:pPr>
  </w:style>
  <w:style w:type="paragraph" w:styleId="TOC4">
    <w:name w:val="toc 4"/>
    <w:basedOn w:val="TOCBase"/>
    <w:next w:val="Normal"/>
    <w:semiHidden/>
    <w:rsid w:val="00B90CBA"/>
    <w:pPr>
      <w:tabs>
        <w:tab w:val="right" w:leader="dot" w:pos="9071"/>
      </w:tabs>
      <w:ind w:left="1701"/>
    </w:pPr>
  </w:style>
  <w:style w:type="paragraph" w:customStyle="1" w:styleId="ListAlpha">
    <w:name w:val="List Alpha"/>
    <w:basedOn w:val="List"/>
    <w:rsid w:val="00B90CBA"/>
    <w:pPr>
      <w:numPr>
        <w:numId w:val="9"/>
      </w:numPr>
    </w:pPr>
  </w:style>
  <w:style w:type="paragraph" w:customStyle="1" w:styleId="ListAlpha2">
    <w:name w:val="List Alpha 2"/>
    <w:basedOn w:val="List2"/>
    <w:rsid w:val="00B90CBA"/>
    <w:pPr>
      <w:numPr>
        <w:numId w:val="8"/>
      </w:numPr>
    </w:pPr>
  </w:style>
  <w:style w:type="paragraph" w:styleId="List2">
    <w:name w:val="List 2"/>
    <w:basedOn w:val="BodyText"/>
    <w:rsid w:val="00B90CBA"/>
    <w:pPr>
      <w:tabs>
        <w:tab w:val="left" w:pos="680"/>
      </w:tabs>
      <w:spacing w:before="60" w:after="60"/>
      <w:ind w:left="680" w:hanging="340"/>
    </w:pPr>
  </w:style>
  <w:style w:type="paragraph" w:styleId="List3">
    <w:name w:val="List 3"/>
    <w:basedOn w:val="BodyText"/>
    <w:rsid w:val="00B90CBA"/>
    <w:pPr>
      <w:tabs>
        <w:tab w:val="left" w:pos="1021"/>
      </w:tabs>
      <w:spacing w:before="60" w:after="60"/>
      <w:ind w:left="1020" w:hanging="340"/>
    </w:pPr>
  </w:style>
  <w:style w:type="paragraph" w:styleId="List4">
    <w:name w:val="List 4"/>
    <w:basedOn w:val="BodyText"/>
    <w:rsid w:val="00B90CBA"/>
    <w:pPr>
      <w:tabs>
        <w:tab w:val="left" w:pos="1361"/>
      </w:tabs>
      <w:spacing w:before="60" w:after="60"/>
      <w:ind w:left="1361" w:hanging="340"/>
    </w:pPr>
  </w:style>
  <w:style w:type="paragraph" w:styleId="List5">
    <w:name w:val="List 5"/>
    <w:basedOn w:val="BodyText"/>
    <w:rsid w:val="00B90CBA"/>
    <w:pPr>
      <w:tabs>
        <w:tab w:val="left" w:pos="1701"/>
      </w:tabs>
      <w:spacing w:before="60" w:after="60"/>
      <w:ind w:left="1701" w:hanging="340"/>
    </w:pPr>
  </w:style>
  <w:style w:type="paragraph" w:styleId="ListBullet3">
    <w:name w:val="List Bullet 3"/>
    <w:basedOn w:val="List3"/>
    <w:rsid w:val="00B90CBA"/>
    <w:pPr>
      <w:numPr>
        <w:numId w:val="15"/>
      </w:numPr>
      <w:tabs>
        <w:tab w:val="clear" w:pos="1021"/>
      </w:tabs>
      <w:ind w:left="1037" w:hanging="357"/>
    </w:pPr>
  </w:style>
  <w:style w:type="paragraph" w:styleId="ListBullet4">
    <w:name w:val="List Bullet 4"/>
    <w:basedOn w:val="List4"/>
    <w:rsid w:val="00B90CBA"/>
    <w:pPr>
      <w:numPr>
        <w:numId w:val="3"/>
      </w:numPr>
    </w:pPr>
  </w:style>
  <w:style w:type="paragraph" w:styleId="ListBullet5">
    <w:name w:val="List Bullet 5"/>
    <w:basedOn w:val="List5"/>
    <w:rsid w:val="00B90CBA"/>
    <w:pPr>
      <w:numPr>
        <w:numId w:val="4"/>
      </w:numPr>
    </w:pPr>
  </w:style>
  <w:style w:type="paragraph" w:styleId="ListContinue2">
    <w:name w:val="List Continue 2"/>
    <w:basedOn w:val="List2"/>
    <w:rsid w:val="00B90CBA"/>
    <w:pPr>
      <w:ind w:firstLine="0"/>
    </w:pPr>
  </w:style>
  <w:style w:type="paragraph" w:styleId="ListContinue3">
    <w:name w:val="List Continue 3"/>
    <w:basedOn w:val="List3"/>
    <w:rsid w:val="00B90CBA"/>
    <w:pPr>
      <w:ind w:left="1021" w:firstLine="0"/>
    </w:pPr>
  </w:style>
  <w:style w:type="paragraph" w:styleId="ListContinue4">
    <w:name w:val="List Continue 4"/>
    <w:basedOn w:val="List4"/>
    <w:rsid w:val="00B90CBA"/>
    <w:pPr>
      <w:ind w:firstLine="0"/>
    </w:pPr>
  </w:style>
  <w:style w:type="paragraph" w:styleId="ListContinue5">
    <w:name w:val="List Continue 5"/>
    <w:basedOn w:val="List5"/>
    <w:rsid w:val="00B90CBA"/>
    <w:pPr>
      <w:ind w:firstLine="0"/>
    </w:pPr>
  </w:style>
  <w:style w:type="paragraph" w:styleId="ListNumber3">
    <w:name w:val="List Number 3"/>
    <w:basedOn w:val="List3"/>
    <w:rsid w:val="00B90CBA"/>
    <w:pPr>
      <w:numPr>
        <w:numId w:val="5"/>
      </w:numPr>
    </w:pPr>
  </w:style>
  <w:style w:type="paragraph" w:styleId="ListNumber4">
    <w:name w:val="List Number 4"/>
    <w:basedOn w:val="List4"/>
    <w:rsid w:val="00B90CBA"/>
    <w:pPr>
      <w:numPr>
        <w:numId w:val="6"/>
      </w:numPr>
    </w:pPr>
  </w:style>
  <w:style w:type="paragraph" w:styleId="ListNumber5">
    <w:name w:val="List Number 5"/>
    <w:basedOn w:val="List5"/>
    <w:rsid w:val="00B90CBA"/>
    <w:pPr>
      <w:numPr>
        <w:numId w:val="7"/>
      </w:numPr>
    </w:pPr>
  </w:style>
  <w:style w:type="paragraph" w:styleId="BlockText">
    <w:name w:val="Block Text"/>
    <w:basedOn w:val="Normal"/>
    <w:rsid w:val="00B90CBA"/>
    <w:pPr>
      <w:spacing w:after="120"/>
      <w:ind w:left="1440" w:right="1440"/>
    </w:pPr>
  </w:style>
  <w:style w:type="character" w:customStyle="1" w:styleId="Subscript">
    <w:name w:val="Subscript"/>
    <w:rsid w:val="00B90CBA"/>
    <w:rPr>
      <w:sz w:val="16"/>
      <w:vertAlign w:val="subscript"/>
    </w:rPr>
  </w:style>
  <w:style w:type="character" w:customStyle="1" w:styleId="Superscript">
    <w:name w:val="Superscript"/>
    <w:rsid w:val="00B90CBA"/>
    <w:rPr>
      <w:sz w:val="16"/>
      <w:vertAlign w:val="superscript"/>
    </w:rPr>
  </w:style>
  <w:style w:type="character" w:customStyle="1" w:styleId="Symbols">
    <w:name w:val="Symbols"/>
    <w:rsid w:val="00B90CBA"/>
    <w:rPr>
      <w:rFonts w:ascii="Symbol" w:hAnsi="Symbol"/>
    </w:rPr>
  </w:style>
  <w:style w:type="character" w:customStyle="1" w:styleId="MenuOptions">
    <w:name w:val="Menu Options"/>
    <w:rsid w:val="00B90CBA"/>
    <w:rPr>
      <w:rFonts w:ascii="Arial Narrow" w:hAnsi="Arial Narrow"/>
      <w:smallCaps/>
    </w:rPr>
  </w:style>
  <w:style w:type="character" w:customStyle="1" w:styleId="Buttons">
    <w:name w:val="Buttons"/>
    <w:rsid w:val="00B90CBA"/>
    <w:rPr>
      <w:b/>
    </w:rPr>
  </w:style>
  <w:style w:type="character" w:customStyle="1" w:styleId="Underlined">
    <w:name w:val="Underlined"/>
    <w:rsid w:val="00B90CBA"/>
    <w:rPr>
      <w:u w:val="single"/>
    </w:rPr>
  </w:style>
  <w:style w:type="paragraph" w:customStyle="1" w:styleId="TableBodyTextRight">
    <w:name w:val="Table Body Text Right"/>
    <w:basedOn w:val="TableBodyText"/>
    <w:rsid w:val="00B90CBA"/>
    <w:pPr>
      <w:widowControl w:val="0"/>
      <w:autoSpaceDE w:val="0"/>
      <w:autoSpaceDN w:val="0"/>
      <w:adjustRightInd w:val="0"/>
      <w:jc w:val="right"/>
    </w:pPr>
    <w:rPr>
      <w:rFonts w:cs="Arial"/>
      <w:szCs w:val="18"/>
    </w:rPr>
  </w:style>
  <w:style w:type="paragraph" w:customStyle="1" w:styleId="CopyrightText">
    <w:name w:val="Copyright Text"/>
    <w:basedOn w:val="BodyText"/>
    <w:rsid w:val="00B90CBA"/>
    <w:rPr>
      <w:sz w:val="18"/>
    </w:rPr>
  </w:style>
  <w:style w:type="paragraph" w:customStyle="1" w:styleId="BodySmallRight">
    <w:name w:val="Body Small Right"/>
    <w:basedOn w:val="BodyTextRight"/>
    <w:rsid w:val="00B90CBA"/>
    <w:rPr>
      <w:sz w:val="18"/>
      <w:szCs w:val="18"/>
    </w:rPr>
  </w:style>
  <w:style w:type="paragraph" w:customStyle="1" w:styleId="MarginEdition">
    <w:name w:val="Margin Edition"/>
    <w:basedOn w:val="MarginNote"/>
    <w:rsid w:val="00B90CBA"/>
    <w:pPr>
      <w:spacing w:before="0" w:after="0"/>
    </w:pPr>
    <w:rPr>
      <w:rFonts w:ascii="Times New Roman" w:hAnsi="Times New Roman"/>
      <w:color w:val="999999"/>
    </w:rPr>
  </w:style>
  <w:style w:type="paragraph" w:customStyle="1" w:styleId="Spacer">
    <w:name w:val="Spacer"/>
    <w:basedOn w:val="Normal"/>
    <w:rsid w:val="00B90CBA"/>
    <w:rPr>
      <w:sz w:val="2"/>
      <w:szCs w:val="2"/>
    </w:rPr>
  </w:style>
  <w:style w:type="character" w:customStyle="1" w:styleId="Small">
    <w:name w:val="Small"/>
    <w:rsid w:val="00B90CBA"/>
    <w:rPr>
      <w:sz w:val="16"/>
    </w:rPr>
  </w:style>
  <w:style w:type="paragraph" w:customStyle="1" w:styleId="WideTable">
    <w:name w:val="Wide Table"/>
    <w:basedOn w:val="Normal"/>
    <w:rsid w:val="00B90CBA"/>
    <w:pPr>
      <w:ind w:left="-1418"/>
    </w:pPr>
    <w:rPr>
      <w:sz w:val="2"/>
      <w:szCs w:val="2"/>
    </w:rPr>
  </w:style>
  <w:style w:type="character" w:styleId="PageNumber">
    <w:name w:val="page number"/>
    <w:rsid w:val="00B90CBA"/>
  </w:style>
  <w:style w:type="paragraph" w:styleId="Quote">
    <w:name w:val="Quote"/>
    <w:basedOn w:val="Heading1"/>
    <w:link w:val="QuoteChar"/>
    <w:qFormat/>
    <w:rsid w:val="00B90CBA"/>
    <w:rPr>
      <w:b w:val="0"/>
      <w:sz w:val="72"/>
      <w:szCs w:val="72"/>
      <w:lang w:val="en-NZ"/>
    </w:rPr>
  </w:style>
  <w:style w:type="character" w:customStyle="1" w:styleId="QuoteChar">
    <w:name w:val="Quote Char"/>
    <w:link w:val="Quote"/>
    <w:rsid w:val="00B90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CBA"/>
    <w:pPr>
      <w:pageBreakBefore/>
    </w:pPr>
  </w:style>
  <w:style w:type="paragraph" w:customStyle="1" w:styleId="Border">
    <w:name w:val="Border"/>
    <w:basedOn w:val="Normal"/>
    <w:qFormat/>
    <w:rsid w:val="00B90CBA"/>
    <w:pPr>
      <w:pBdr>
        <w:top w:val="single" w:sz="18" w:space="1" w:color="auto"/>
      </w:pBdr>
    </w:pPr>
    <w:rPr>
      <w:rFonts w:ascii="Times New Roman" w:hAnsi="Times New Roman"/>
      <w:color w:val="FFFFFF"/>
      <w:sz w:val="2"/>
    </w:rPr>
  </w:style>
  <w:style w:type="character" w:styleId="IntenseEmphasis">
    <w:name w:val="Intense Emphasis"/>
    <w:uiPriority w:val="21"/>
    <w:qFormat/>
    <w:rsid w:val="00B90CBA"/>
    <w:rPr>
      <w:b/>
      <w:bCs/>
      <w:i/>
      <w:iCs/>
      <w:color w:val="auto"/>
    </w:rPr>
  </w:style>
  <w:style w:type="paragraph" w:styleId="IntenseQuote">
    <w:name w:val="Intense Quote"/>
    <w:basedOn w:val="Normal"/>
    <w:next w:val="Normal"/>
    <w:link w:val="IntenseQuoteChar"/>
    <w:uiPriority w:val="30"/>
    <w:qFormat/>
    <w:rsid w:val="00B90CB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0CBA"/>
    <w:rPr>
      <w:rFonts w:ascii="Courier New" w:eastAsia="Times New Roman" w:hAnsi="Courier New" w:cs="Times New Roman"/>
      <w:b/>
      <w:bCs/>
      <w:i/>
      <w:iCs/>
      <w:szCs w:val="20"/>
      <w:lang w:val="en-US" w:eastAsia="en-US"/>
    </w:rPr>
  </w:style>
  <w:style w:type="character" w:styleId="SubtleReference">
    <w:name w:val="Subtle Reference"/>
    <w:uiPriority w:val="31"/>
    <w:qFormat/>
    <w:rsid w:val="00B90CBA"/>
    <w:rPr>
      <w:smallCaps/>
      <w:color w:val="auto"/>
      <w:u w:val="single"/>
    </w:rPr>
  </w:style>
  <w:style w:type="character" w:styleId="IntenseReference">
    <w:name w:val="Intense Reference"/>
    <w:uiPriority w:val="32"/>
    <w:qFormat/>
    <w:rsid w:val="00B90CBA"/>
    <w:rPr>
      <w:b/>
      <w:bCs/>
      <w:smallCaps/>
      <w:color w:val="auto"/>
      <w:spacing w:val="5"/>
      <w:u w:val="single"/>
    </w:rPr>
  </w:style>
  <w:style w:type="paragraph" w:customStyle="1" w:styleId="2ColumnHeading">
    <w:name w:val="2Column Heading"/>
    <w:basedOn w:val="BodyText"/>
    <w:qFormat/>
    <w:rsid w:val="00B90CBA"/>
    <w:pPr>
      <w:spacing w:after="60"/>
      <w:ind w:left="-2268"/>
    </w:pPr>
    <w:rPr>
      <w:b/>
    </w:rPr>
  </w:style>
  <w:style w:type="paragraph" w:customStyle="1" w:styleId="Heading1TOC">
    <w:name w:val="Heading1 TOC"/>
    <w:basedOn w:val="Normal"/>
    <w:qFormat/>
    <w:rsid w:val="00B90CBA"/>
    <w:pPr>
      <w:spacing w:before="240" w:after="120"/>
    </w:pPr>
    <w:rPr>
      <w:rFonts w:ascii="Times New Roman" w:hAnsi="Times New Roman"/>
      <w:b/>
      <w:sz w:val="32"/>
    </w:rPr>
  </w:style>
  <w:style w:type="paragraph" w:customStyle="1" w:styleId="Heading2TOC">
    <w:name w:val="Heading2 TOC"/>
    <w:basedOn w:val="Normal"/>
    <w:qFormat/>
    <w:rsid w:val="00B90CBA"/>
    <w:pPr>
      <w:spacing w:before="240" w:after="60"/>
    </w:pPr>
    <w:rPr>
      <w:rFonts w:ascii="Times New Roman" w:hAnsi="Times New Roman"/>
      <w:b/>
      <w:sz w:val="28"/>
    </w:rPr>
  </w:style>
  <w:style w:type="character" w:customStyle="1" w:styleId="Underline">
    <w:name w:val="Underline"/>
    <w:qFormat/>
    <w:rsid w:val="00B90CBA"/>
    <w:rPr>
      <w:u w:val="single"/>
    </w:rPr>
  </w:style>
  <w:style w:type="character" w:customStyle="1" w:styleId="BoldandItalics">
    <w:name w:val="Bold and Italics"/>
    <w:qFormat/>
    <w:rsid w:val="00B90CBA"/>
    <w:rPr>
      <w:b/>
      <w:i/>
      <w:u w:val="none"/>
    </w:rPr>
  </w:style>
  <w:style w:type="paragraph" w:styleId="BalloonText">
    <w:name w:val="Balloon Text"/>
    <w:basedOn w:val="Normal"/>
    <w:link w:val="BalloonTextChar"/>
    <w:rsid w:val="00B90CBA"/>
    <w:rPr>
      <w:rFonts w:ascii="Tahoma" w:hAnsi="Tahoma" w:cs="Tahoma"/>
      <w:sz w:val="16"/>
      <w:szCs w:val="16"/>
    </w:rPr>
  </w:style>
  <w:style w:type="character" w:customStyle="1" w:styleId="BalloonTextChar">
    <w:name w:val="Balloon Text Char"/>
    <w:link w:val="BalloonText"/>
    <w:rsid w:val="00B90C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0CB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0CB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2493</Words>
  <Characters>14994</Characters>
  <Application>Microsoft Office Word</Application>
  <DocSecurity>0</DocSecurity>
  <Lines>758</Lines>
  <Paragraphs>320</Paragraphs>
  <ScaleCrop>false</ScaleCrop>
  <Company>Author-it Software Corporation Ltd.</Company>
  <LinksUpToDate>false</LinksUpToDate>
  <CharactersWithSpaces>17193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UEGNSG319A Custody transfer metering and gas quality analysis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2012-05-26T22:07:00Z</dcterms:created>
  <dcterms:modified xsi:type="dcterms:W3CDTF">2012-05-26T22:08:00Z</dcterms:modified>
</cp:coreProperties>
</file>