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0F77" w:rsidP="00490F77">
      <w:pPr>
        <w:pStyle w:val="Title"/>
      </w:pPr>
      <w:bookmarkStart w:id="0" w:name="_GoBack"/>
      <w:bookmarkEnd w:id="0"/>
      <w:r>
        <w:fldChar w:fldCharType="begin"/>
      </w:r>
      <w:r>
        <w:instrText xml:space="preserve"> TITLE   \* MERGEFORMAT </w:instrText>
      </w:r>
      <w:r>
        <w:fldChar w:fldCharType="separate"/>
      </w:r>
      <w:r>
        <w:t>UEGNSG316A Site control of excavations in the vicinity of a transmission pipeline</w:t>
      </w:r>
      <w:r>
        <w:fldChar w:fldCharType="end"/>
      </w:r>
    </w:p>
    <w:p w:rsidR="00490F77" w:rsidP="00490F77">
      <w:pPr>
        <w:pStyle w:val="Version"/>
        <w:sectPr w:rsidSect="00FC51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5128" w:rsidP="00FC5128">
      <w:pPr>
        <w:pStyle w:val="SuperHeading"/>
      </w:pPr>
      <w:r w:rsidRPr="00FC5128">
        <w:t>UEGNSG316A Site control of excavations in the vicinity of a transmission pipeline</w:t>
      </w:r>
    </w:p>
    <w:p w:rsidR="00000000" w:rsidRPr="00FC5128" w:rsidP="00FC5128">
      <w:pPr>
        <w:pStyle w:val="Heading1"/>
      </w:pPr>
      <w:bookmarkStart w:id="1" w:name="O_275123"/>
      <w:bookmarkEnd w:id="1"/>
      <w:r w:rsidRPr="00FC5128">
        <w:t>Modification History</w:t>
      </w:r>
    </w:p>
    <w:p w:rsidR="00000000" w:rsidRPr="00FC5128" w:rsidP="00FC5128">
      <w:pPr>
        <w:pStyle w:val="BodyText"/>
      </w:pPr>
      <w:r w:rsidRPr="00FC5128">
        <w:t>Not Applicable</w:t>
      </w:r>
    </w:p>
    <w:p w:rsidR="00000000" w:rsidRPr="00FC5128" w:rsidP="00FC5128">
      <w:pPr>
        <w:pStyle w:val="AllowPageBreak"/>
      </w:pPr>
    </w:p>
    <w:p w:rsidR="00000000" w:rsidRPr="00FC5128" w:rsidP="00FC5128">
      <w:pPr>
        <w:pStyle w:val="Heading1"/>
      </w:pPr>
      <w:bookmarkStart w:id="2" w:name="O_229559"/>
      <w:bookmarkEnd w:id="2"/>
      <w:r w:rsidRPr="00FC5128">
        <w:t>Unit Descriptor</w:t>
      </w:r>
    </w:p>
    <w:tbl>
      <w:tblPr>
        <w:tblW w:w="0" w:type="auto"/>
        <w:tblLayout w:type="fixed"/>
        <w:tblCellMar>
          <w:left w:w="62" w:type="dxa"/>
          <w:right w:w="62" w:type="dxa"/>
        </w:tblCellMar>
        <w:tblLook w:val="0000"/>
      </w:tblPr>
      <w:tblGrid>
        <w:gridCol w:w="2700"/>
        <w:gridCol w:w="5760"/>
      </w:tblGrid>
      <w:tr w:rsidTr="00490F7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5128" w:rsidP="00FC5128">
            <w:pPr>
              <w:pStyle w:val="BodyText"/>
            </w:pPr>
            <w:r w:rsidRPr="00FC512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rPr>
                <w:rStyle w:val="SpecialBold"/>
              </w:rPr>
              <w:t>1</w:t>
            </w:r>
            <w:r w:rsidRPr="00FC5128">
              <w:t xml:space="preserve">) </w:t>
            </w:r>
          </w:p>
        </w:tc>
      </w:tr>
      <w:tr w:rsidTr="00490F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5128" w:rsidP="00FC5128">
            <w:pPr>
              <w:pStyle w:val="BodyText"/>
            </w:pPr>
            <w:r w:rsidRPr="00FC5128">
              <w:t>This competency standard covers the control of all excavations in the vicinity of a transmission pipeline to ensure the integrity of the pipeline is not compromised. The competency standard is applied against the procedures found under the latest version o</w:t>
            </w:r>
            <w:r w:rsidRPr="00FC5128">
              <w:t>f AS 2885.3 Australian and New Zealand Standard.</w:t>
            </w:r>
          </w:p>
        </w:tc>
      </w:tr>
    </w:tbl>
    <w:p w:rsidR="00490F77" w:rsidP="00FC5128">
      <w:pPr>
        <w:pStyle w:val="BodyText"/>
      </w:pPr>
    </w:p>
    <w:p w:rsidR="00490F77" w:rsidP="00FC5128">
      <w:pPr>
        <w:pStyle w:val="BodyText"/>
      </w:pPr>
    </w:p>
    <w:p w:rsidR="00000000" w:rsidRPr="00FC5128" w:rsidP="00FC5128">
      <w:pPr>
        <w:pStyle w:val="Heading1"/>
      </w:pPr>
      <w:bookmarkStart w:id="3" w:name="O_229562"/>
      <w:bookmarkEnd w:id="3"/>
      <w:r w:rsidRPr="00FC5128">
        <w:t>Application of the Unit</w:t>
      </w:r>
    </w:p>
    <w:tbl>
      <w:tblPr>
        <w:tblW w:w="0" w:type="auto"/>
        <w:tblLayout w:type="fixed"/>
        <w:tblCellMar>
          <w:left w:w="62" w:type="dxa"/>
          <w:right w:w="62" w:type="dxa"/>
        </w:tblCellMar>
        <w:tblLook w:val="0000"/>
      </w:tblPr>
      <w:tblGrid>
        <w:gridCol w:w="2700"/>
        <w:gridCol w:w="5760"/>
      </w:tblGrid>
      <w:tr w:rsidTr="00490F7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5128" w:rsidP="00FC5128">
            <w:pPr>
              <w:pStyle w:val="BodyText"/>
            </w:pPr>
            <w:r w:rsidRPr="00FC512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rPr>
                <w:rStyle w:val="SpecialBold"/>
              </w:rPr>
              <w:t>3</w:t>
            </w:r>
            <w:r w:rsidRPr="00FC5128">
              <w:t xml:space="preserve">) </w:t>
            </w:r>
          </w:p>
        </w:tc>
      </w:tr>
      <w:tr w:rsidTr="00490F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5128" w:rsidP="00FC5128">
            <w:pPr>
              <w:pStyle w:val="BodyText"/>
            </w:pPr>
            <w:r w:rsidRPr="00FC5128">
              <w:t>This competency standard shall apply to any basic and safe work site where gas and petrochemical liquids industry operations occur.</w:t>
            </w:r>
          </w:p>
        </w:tc>
      </w:tr>
    </w:tbl>
    <w:p w:rsidR="00490F77" w:rsidP="00FC5128">
      <w:pPr>
        <w:pStyle w:val="BodyText"/>
      </w:pPr>
    </w:p>
    <w:p w:rsidR="00490F77" w:rsidP="00FC5128">
      <w:pPr>
        <w:pStyle w:val="BodyText"/>
      </w:pPr>
    </w:p>
    <w:p w:rsidR="00000000" w:rsidRPr="00FC5128" w:rsidP="00FC5128">
      <w:pPr>
        <w:pStyle w:val="Heading1"/>
      </w:pPr>
      <w:bookmarkStart w:id="4" w:name="O_229563"/>
      <w:bookmarkEnd w:id="4"/>
      <w:r w:rsidRPr="00FC5128">
        <w:t>Licensing/Regulatory Information</w:t>
      </w:r>
    </w:p>
    <w:tbl>
      <w:tblPr>
        <w:tblW w:w="0" w:type="auto"/>
        <w:tblLayout w:type="fixed"/>
        <w:tblCellMar>
          <w:left w:w="62" w:type="dxa"/>
          <w:right w:w="62" w:type="dxa"/>
        </w:tblCellMar>
        <w:tblLook w:val="0000"/>
      </w:tblPr>
      <w:tblGrid>
        <w:gridCol w:w="2700"/>
        <w:gridCol w:w="5760"/>
      </w:tblGrid>
      <w:tr w:rsidTr="00490F7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5128" w:rsidP="00FC5128">
            <w:pPr>
              <w:pStyle w:val="BodyText"/>
            </w:pPr>
            <w:r w:rsidRPr="00FC512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rPr>
                <w:rStyle w:val="SpecialBold"/>
              </w:rPr>
              <w:t>3</w:t>
            </w:r>
            <w:r w:rsidRPr="00FC5128">
              <w:t>.</w:t>
            </w:r>
            <w:r w:rsidRPr="00FC5128">
              <w:rPr>
                <w:rStyle w:val="SpecialBold"/>
              </w:rPr>
              <w:t>1</w:t>
            </w:r>
            <w:r w:rsidRPr="00FC5128">
              <w:t xml:space="preserve">) </w:t>
            </w:r>
          </w:p>
        </w:tc>
      </w:tr>
      <w:tr w:rsidTr="00490F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5128" w:rsidP="00FC5128">
            <w:pPr>
              <w:pStyle w:val="BodyText"/>
            </w:pPr>
            <w:r w:rsidRPr="00FC5128">
              <w:t xml:space="preserve">The skills and knowledge described in this unit are not subject to licence regulation other than those directly related to Occupational Health </w:t>
            </w:r>
            <w:r w:rsidRPr="00FC5128">
              <w:t xml:space="preserve">and Safety, gas/electricity/water industry safety and compliance, industrial relations, environmental protection, telecommunications, anti discrimination and training. Commonwealth, State/Territory or Local Government legislation and regulations may exist </w:t>
            </w:r>
            <w:r w:rsidRPr="00FC5128">
              <w:t>that limits the age of persons who can operate certain equipment.</w:t>
            </w:r>
          </w:p>
        </w:tc>
      </w:tr>
    </w:tbl>
    <w:p w:rsidR="00490F77" w:rsidP="00FC5128">
      <w:pPr>
        <w:pStyle w:val="BodyText"/>
      </w:pPr>
    </w:p>
    <w:p w:rsidR="00490F77" w:rsidP="00FC5128">
      <w:pPr>
        <w:pStyle w:val="BodyText"/>
      </w:pPr>
    </w:p>
    <w:p w:rsidR="00000000" w:rsidRPr="00FC5128" w:rsidP="00FC5128">
      <w:pPr>
        <w:pStyle w:val="Heading1"/>
      </w:pPr>
      <w:bookmarkStart w:id="5" w:name="O_229560"/>
      <w:bookmarkEnd w:id="5"/>
      <w:r w:rsidRPr="00FC5128">
        <w:t>Pre-Requisites</w:t>
      </w:r>
    </w:p>
    <w:tbl>
      <w:tblPr>
        <w:tblW w:w="0" w:type="auto"/>
        <w:tblLayout w:type="fixed"/>
        <w:tblCellMar>
          <w:left w:w="62" w:type="dxa"/>
          <w:right w:w="62" w:type="dxa"/>
        </w:tblCellMar>
        <w:tblLook w:val="0000"/>
      </w:tblPr>
      <w:tblGrid>
        <w:gridCol w:w="2700"/>
        <w:gridCol w:w="1800"/>
        <w:gridCol w:w="3960"/>
      </w:tblGrid>
      <w:tr w:rsidTr="00490F7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5128" w:rsidP="00FC5128">
            <w:pPr>
              <w:pStyle w:val="BodyText"/>
            </w:pPr>
            <w:r w:rsidRPr="00FC5128">
              <w:rPr>
                <w:rStyle w:val="SpecialBold"/>
              </w:rPr>
              <w:t>Prerequisite Unit</w:t>
            </w:r>
            <w:r w:rsidRPr="00FC5128">
              <w:t>(</w:t>
            </w:r>
            <w:r w:rsidRPr="00FC5128">
              <w:rPr>
                <w:rStyle w:val="SpecialBold"/>
              </w:rPr>
              <w:t>s</w:t>
            </w:r>
            <w:r w:rsidRPr="00FC5128">
              <w:t>)</w:t>
            </w:r>
          </w:p>
        </w:tc>
        <w:tc>
          <w:tcPr>
            <w:tcW w:w="5760" w:type="dxa"/>
            <w:gridSpan w:val="2"/>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rPr>
                <w:rStyle w:val="SpecialBold"/>
              </w:rPr>
              <w:t>2</w:t>
            </w:r>
            <w:r w:rsidRPr="00FC5128">
              <w:t xml:space="preserve">) </w:t>
            </w:r>
          </w:p>
        </w:tc>
      </w:tr>
      <w:tr w:rsidTr="00490F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C5128" w:rsidP="00FC5128">
            <w:pPr>
              <w:pStyle w:val="BodyText"/>
            </w:pPr>
            <w:r w:rsidRPr="00FC512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rPr>
                <w:rStyle w:val="SpecialBold"/>
              </w:rPr>
              <w:t>2</w:t>
            </w:r>
            <w:r w:rsidRPr="00FC5128">
              <w:t>.</w:t>
            </w:r>
            <w:r w:rsidRPr="00FC5128">
              <w:rPr>
                <w:rStyle w:val="SpecialBold"/>
              </w:rPr>
              <w:t>1</w:t>
            </w:r>
            <w:r w:rsidRPr="00FC5128">
              <w:t xml:space="preserve">) </w:t>
            </w:r>
          </w:p>
        </w:tc>
      </w:tr>
      <w:tr w:rsidTr="00490F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Granting of competency in this unit shall be made only after competency in the following unit(s) has/have been confirmed:</w:t>
            </w:r>
          </w:p>
        </w:tc>
      </w:tr>
      <w:tr w:rsidTr="00490F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Nil</w:t>
            </w:r>
          </w:p>
        </w:tc>
        <w:tc>
          <w:tcPr>
            <w:tcW w:w="3960" w:type="dxa"/>
            <w:tcBorders>
              <w:top w:val="nil"/>
              <w:left w:val="nil"/>
              <w:bottom w:val="nil"/>
              <w:right w:val="nil"/>
            </w:tcBorders>
            <w:tcMar>
              <w:top w:w="0" w:type="dxa"/>
              <w:left w:w="62" w:type="dxa"/>
              <w:bottom w:w="0" w:type="dxa"/>
              <w:right w:w="62" w:type="dxa"/>
            </w:tcMar>
          </w:tcPr>
          <w:p w:rsidR="00000000" w:rsidRPr="00FC5128" w:rsidP="00FC5128">
            <w:pPr>
              <w:pStyle w:val="BodyText"/>
            </w:pPr>
          </w:p>
        </w:tc>
      </w:tr>
    </w:tbl>
    <w:p w:rsidR="00490F77" w:rsidP="00FC5128">
      <w:pPr>
        <w:pStyle w:val="BodyText"/>
      </w:pPr>
    </w:p>
    <w:p w:rsidR="00490F77" w:rsidP="00FC5128">
      <w:pPr>
        <w:pStyle w:val="BodyText"/>
      </w:pPr>
    </w:p>
    <w:p w:rsidR="00000000" w:rsidRPr="00FC5128" w:rsidP="00FC5128">
      <w:pPr>
        <w:pStyle w:val="Heading1"/>
      </w:pPr>
      <w:bookmarkStart w:id="6" w:name="O_285372"/>
      <w:bookmarkEnd w:id="6"/>
      <w:r w:rsidRPr="00FC5128">
        <w:t>Employability Skills Information</w:t>
      </w:r>
    </w:p>
    <w:p w:rsidR="00000000" w:rsidRPr="00FC5128" w:rsidP="00FC5128">
      <w:pPr>
        <w:pStyle w:val="BodyText"/>
      </w:pPr>
      <w:r w:rsidRPr="00FC5128">
        <w:t>Refer to the Evidence Guide</w:t>
      </w:r>
    </w:p>
    <w:p w:rsidR="00000000" w:rsidRPr="00FC5128" w:rsidP="00FC5128">
      <w:pPr>
        <w:pStyle w:val="AllowPageBreak"/>
      </w:pPr>
    </w:p>
    <w:p w:rsidR="00000000" w:rsidRPr="00FC5128" w:rsidP="00FC5128">
      <w:pPr>
        <w:pStyle w:val="Heading1"/>
      </w:pPr>
      <w:bookmarkStart w:id="7" w:name="O_293169"/>
      <w:bookmarkEnd w:id="7"/>
      <w:r w:rsidRPr="00FC5128">
        <w:t>Elements and Performance Criteria Pre-Content</w:t>
      </w:r>
    </w:p>
    <w:tbl>
      <w:tblPr>
        <w:tblW w:w="0" w:type="auto"/>
        <w:tblLayout w:type="fixed"/>
        <w:tblCellMar>
          <w:left w:w="62" w:type="dxa"/>
          <w:right w:w="62" w:type="dxa"/>
        </w:tblCellMar>
        <w:tblLook w:val="0000"/>
      </w:tblPr>
      <w:tblGrid>
        <w:gridCol w:w="2700"/>
        <w:gridCol w:w="5760"/>
      </w:tblGrid>
      <w:tr w:rsidTr="00490F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rPr>
                <w:rStyle w:val="SpecialBold"/>
              </w:rPr>
              <w:t>5</w:t>
            </w:r>
            <w:r w:rsidRPr="00FC5128">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C5128" w:rsidP="00FC5128">
            <w:pPr>
              <w:pStyle w:val="BodyText"/>
            </w:pPr>
            <w:r w:rsidRPr="00FC5128">
              <w:t>Performance Criteria describe the required performance needed to demonstrate achievement of the element. Assessment of performance is to</w:t>
            </w:r>
            <w:r w:rsidRPr="00FC5128">
              <w:t xml:space="preserve"> be consistent with the Evidence Guide.</w:t>
            </w:r>
          </w:p>
        </w:tc>
      </w:tr>
    </w:tbl>
    <w:p w:rsidR="00000000" w:rsidRPr="00FC5128" w:rsidP="00FC5128">
      <w:pPr>
        <w:pStyle w:val="BodyText"/>
      </w:pPr>
    </w:p>
    <w:p w:rsidR="00000000" w:rsidRPr="00FC5128" w:rsidP="00FC5128">
      <w:pPr>
        <w:pStyle w:val="AllowPageBreak"/>
      </w:pPr>
    </w:p>
    <w:p w:rsidR="00000000" w:rsidRPr="00FC5128" w:rsidP="00FC5128">
      <w:pPr>
        <w:pStyle w:val="Heading1"/>
      </w:pPr>
      <w:bookmarkStart w:id="8" w:name="O_239837"/>
      <w:bookmarkEnd w:id="8"/>
      <w:r w:rsidRPr="00FC512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90F7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C5128" w:rsidP="00FC5128">
            <w:pPr>
              <w:pStyle w:val="BodyText"/>
            </w:pPr>
            <w:r w:rsidRPr="00FC512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rPr>
                <w:rStyle w:val="SpecialBold"/>
              </w:rPr>
              <w:t>PERFORMANCE CRITERIA</w:t>
            </w:r>
          </w:p>
        </w:tc>
      </w:tr>
      <w:tr w:rsidTr="00490F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1</w:t>
            </w:r>
          </w:p>
        </w:tc>
        <w:tc>
          <w:tcPr>
            <w:tcW w:w="2296" w:type="dxa"/>
            <w:vMerge w:val="restart"/>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Plan to undertake site control of excavations in the vicinity of a gas transmission pipeline</w:t>
            </w:r>
          </w:p>
        </w:tc>
        <w:tc>
          <w:tcPr>
            <w:tcW w:w="90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1.1</w:t>
            </w:r>
          </w:p>
        </w:tc>
        <w:tc>
          <w:tcPr>
            <w:tcW w:w="486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Site is checked for specific hazards. Works schedule(s), specific requirements, drawings, plans, requirements, established procedures and material and equipment are examined. The extent of preparation for the work is assessed</w:t>
            </w:r>
          </w:p>
        </w:tc>
      </w:tr>
      <w:tr w:rsidTr="00490F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1.2</w:t>
            </w:r>
          </w:p>
        </w:tc>
        <w:tc>
          <w:tcPr>
            <w:tcW w:w="486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Work is prioritised and</w:t>
            </w:r>
            <w:r w:rsidRPr="00FC5128">
              <w:t xml:space="preserve"> sequenced for the most efficient and effective outcome following consultation with others for completion within acceptable timeframes to a quality standard and in accordance with established procedures </w:t>
            </w:r>
          </w:p>
        </w:tc>
      </w:tr>
      <w:tr w:rsidTr="00490F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1.3</w:t>
            </w:r>
          </w:p>
        </w:tc>
        <w:tc>
          <w:tcPr>
            <w:tcW w:w="486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Other utility assets are identified by Dial Before You Dig or other means</w:t>
            </w:r>
          </w:p>
        </w:tc>
      </w:tr>
      <w:tr w:rsidTr="00490F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1.4</w:t>
            </w:r>
          </w:p>
        </w:tc>
        <w:tc>
          <w:tcPr>
            <w:tcW w:w="486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Risk control measures are identified, prioritised and evaluated against the work schedule</w:t>
            </w:r>
          </w:p>
        </w:tc>
      </w:tr>
      <w:tr w:rsidTr="00490F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1.5</w:t>
            </w:r>
          </w:p>
        </w:tc>
        <w:tc>
          <w:tcPr>
            <w:tcW w:w="486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Relevant requirements and established procedures for the work are communicated</w:t>
            </w:r>
            <w:r w:rsidRPr="00FC5128">
              <w:t xml:space="preserve"> to all persons and identified for all work sites</w:t>
            </w:r>
          </w:p>
        </w:tc>
      </w:tr>
      <w:tr w:rsidTr="00490F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1.6</w:t>
            </w:r>
          </w:p>
        </w:tc>
        <w:tc>
          <w:tcPr>
            <w:tcW w:w="486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OHS, environmental and sustainable energy policies and procedures related to the work are identified to ensure safe systems of work are followed</w:t>
            </w:r>
          </w:p>
        </w:tc>
      </w:tr>
      <w:tr w:rsidTr="00490F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1.6</w:t>
            </w:r>
          </w:p>
        </w:tc>
        <w:tc>
          <w:tcPr>
            <w:tcW w:w="486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 xml:space="preserve">Relevant work permits are secured to coordinate the performance of work according to requirements and established procedures </w:t>
            </w:r>
          </w:p>
        </w:tc>
      </w:tr>
      <w:tr w:rsidTr="00490F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1.8</w:t>
            </w:r>
          </w:p>
        </w:tc>
        <w:tc>
          <w:tcPr>
            <w:tcW w:w="486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Resources including persons, equipment, tools and personal protective equipment required for the job are identified, schedu</w:t>
            </w:r>
            <w:r w:rsidRPr="00FC5128">
              <w:t>led, coordinated and confirmed in a safe and technical working order</w:t>
            </w:r>
          </w:p>
        </w:tc>
      </w:tr>
      <w:tr w:rsidTr="00490F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1.9</w:t>
            </w:r>
          </w:p>
        </w:tc>
        <w:tc>
          <w:tcPr>
            <w:tcW w:w="486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Clients are provided with possible solutions and options within the scope, acceptable cost and requirements</w:t>
            </w:r>
          </w:p>
        </w:tc>
      </w:tr>
      <w:tr w:rsidTr="00490F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1.10</w:t>
            </w:r>
          </w:p>
        </w:tc>
        <w:tc>
          <w:tcPr>
            <w:tcW w:w="486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Liaison and communication issues with authorised persons, authorities, clients and land owners are resolved and activities coordinated to carry out work</w:t>
            </w:r>
          </w:p>
        </w:tc>
      </w:tr>
      <w:tr w:rsidTr="00490F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1.11</w:t>
            </w:r>
          </w:p>
        </w:tc>
        <w:tc>
          <w:tcPr>
            <w:tcW w:w="486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Persons participating in the work are fully briefed, inducted and respective responsibilities c</w:t>
            </w:r>
            <w:r w:rsidRPr="00FC5128">
              <w:t>oordinated and authorised where applicable in accordance with establish procedures</w:t>
            </w:r>
          </w:p>
        </w:tc>
      </w:tr>
      <w:tr w:rsidTr="00490F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2</w:t>
            </w:r>
          </w:p>
        </w:tc>
        <w:tc>
          <w:tcPr>
            <w:tcW w:w="2296" w:type="dxa"/>
            <w:vMerge w:val="restart"/>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Carry out site control of excavations in the vicinity of a transmission gas transmission pipeline</w:t>
            </w:r>
          </w:p>
        </w:tc>
        <w:tc>
          <w:tcPr>
            <w:tcW w:w="90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2.1</w:t>
            </w:r>
          </w:p>
        </w:tc>
        <w:tc>
          <w:tcPr>
            <w:tcW w:w="486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OHS policies and procedures and safe work practices are followed to eliminate or minimise incidents and hazards</w:t>
            </w:r>
          </w:p>
        </w:tc>
      </w:tr>
      <w:tr w:rsidTr="00490F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2.1</w:t>
            </w:r>
          </w:p>
        </w:tc>
        <w:tc>
          <w:tcPr>
            <w:tcW w:w="486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Analysis of information to identify key issues is undertaken as required and information is evaluated for relevance and validity to the r</w:t>
            </w:r>
            <w:r w:rsidRPr="00FC5128">
              <w:t>equirements</w:t>
            </w:r>
          </w:p>
        </w:tc>
      </w:tr>
      <w:tr w:rsidTr="00490F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2.2</w:t>
            </w:r>
          </w:p>
        </w:tc>
        <w:tc>
          <w:tcPr>
            <w:tcW w:w="486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 xml:space="preserve">First Aid and other related work procedures are performed according to requirements and established procedures </w:t>
            </w:r>
          </w:p>
        </w:tc>
      </w:tr>
      <w:tr w:rsidTr="00490F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2.3</w:t>
            </w:r>
          </w:p>
        </w:tc>
        <w:tc>
          <w:tcPr>
            <w:tcW w:w="486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Lifting, climbing, working in confined spaces and aloft, techniques and practices ar</w:t>
            </w:r>
            <w:r w:rsidRPr="00FC5128">
              <w:t xml:space="preserve">e safely exercised according to requirements </w:t>
            </w:r>
          </w:p>
        </w:tc>
      </w:tr>
      <w:tr w:rsidTr="00490F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2.4</w:t>
            </w:r>
          </w:p>
        </w:tc>
        <w:tc>
          <w:tcPr>
            <w:tcW w:w="486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Equipment faults are identified through inspection and testing of operational equipment in accordance with a work schedule and to requirements</w:t>
            </w:r>
          </w:p>
        </w:tc>
      </w:tr>
      <w:tr w:rsidTr="00490F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2.5</w:t>
            </w:r>
          </w:p>
        </w:tc>
        <w:tc>
          <w:tcPr>
            <w:tcW w:w="486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Hazard warnings and safety signs are recognised and hazards are assessed and OHS risks are reported to the immediate authorised persons for directions according to established procedures</w:t>
            </w:r>
          </w:p>
        </w:tc>
      </w:tr>
      <w:tr w:rsidTr="00490F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2.6</w:t>
            </w:r>
          </w:p>
        </w:tc>
        <w:tc>
          <w:tcPr>
            <w:tcW w:w="486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 xml:space="preserve">Operating conditions of equipment are monitored. </w:t>
            </w:r>
          </w:p>
        </w:tc>
      </w:tr>
      <w:tr w:rsidTr="00490F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2.7</w:t>
            </w:r>
          </w:p>
        </w:tc>
        <w:tc>
          <w:tcPr>
            <w:tcW w:w="486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Excavation is benched or shoring used in accordance with relevant legislation</w:t>
            </w:r>
          </w:p>
        </w:tc>
      </w:tr>
      <w:tr w:rsidTr="00490F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2.8</w:t>
            </w:r>
          </w:p>
        </w:tc>
        <w:tc>
          <w:tcPr>
            <w:tcW w:w="486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Other utility assets are located and confirmed</w:t>
            </w:r>
          </w:p>
        </w:tc>
      </w:tr>
      <w:tr w:rsidTr="00490F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2.9</w:t>
            </w:r>
          </w:p>
        </w:tc>
        <w:tc>
          <w:tcPr>
            <w:tcW w:w="486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Fault finding and troubleshooting techniques are applied to identify any repairs or maintenance that are required acc</w:t>
            </w:r>
            <w:r w:rsidRPr="00FC5128">
              <w:t>ording to requirements and established procedures</w:t>
            </w:r>
          </w:p>
        </w:tc>
      </w:tr>
      <w:tr w:rsidTr="00490F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2.10</w:t>
            </w:r>
          </w:p>
        </w:tc>
        <w:tc>
          <w:tcPr>
            <w:tcW w:w="486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Essential Knowledge and Associated Skills are applied to ensure completion in an agreed timeframe and to quality standards with a minimum of waste according to requirements</w:t>
            </w:r>
          </w:p>
        </w:tc>
      </w:tr>
      <w:tr w:rsidTr="00490F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2.11</w:t>
            </w:r>
          </w:p>
        </w:tc>
        <w:tc>
          <w:tcPr>
            <w:tcW w:w="486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Solutions to non-routine problems are identified and actioned using Essential Knowledge and Associated Skills according to requirements</w:t>
            </w:r>
          </w:p>
        </w:tc>
      </w:tr>
      <w:tr w:rsidTr="00490F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2.12</w:t>
            </w:r>
          </w:p>
        </w:tc>
        <w:tc>
          <w:tcPr>
            <w:tcW w:w="486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 xml:space="preserve">Ongoing checks of quality of the work are undertaken in accordance with requirements and established procedures </w:t>
            </w:r>
            <w:r w:rsidRPr="00FC5128">
              <w:t xml:space="preserve">to ensure a quality outcome is achieved to a community and industry standard </w:t>
            </w:r>
          </w:p>
        </w:tc>
      </w:tr>
      <w:tr w:rsidTr="00490F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3</w:t>
            </w:r>
          </w:p>
        </w:tc>
        <w:tc>
          <w:tcPr>
            <w:tcW w:w="2296"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Complete site control of excavations in the vicinity of a gas transmission pipeline</w:t>
            </w:r>
          </w:p>
        </w:tc>
        <w:tc>
          <w:tcPr>
            <w:tcW w:w="90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3.1</w:t>
            </w:r>
          </w:p>
        </w:tc>
        <w:tc>
          <w:tcPr>
            <w:tcW w:w="486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Work undertaken is checked against work schedules for conformance with requirements, an</w:t>
            </w:r>
            <w:r w:rsidRPr="00FC5128">
              <w:t>omalies are reported and solutions identified in accordance with established procedures</w:t>
            </w:r>
          </w:p>
        </w:tc>
      </w:tr>
      <w:tr w:rsidTr="00490F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3.2</w:t>
            </w:r>
          </w:p>
        </w:tc>
        <w:tc>
          <w:tcPr>
            <w:tcW w:w="486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 xml:space="preserve">Accidents and injuries are reported and followed up in accordance with requirements and established procedures </w:t>
            </w:r>
          </w:p>
        </w:tc>
      </w:tr>
      <w:tr w:rsidTr="00490F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3.3</w:t>
            </w:r>
          </w:p>
        </w:tc>
        <w:tc>
          <w:tcPr>
            <w:tcW w:w="486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 xml:space="preserve">Work site is rehabilitated/cleaned up and </w:t>
            </w:r>
            <w:r w:rsidRPr="00FC5128">
              <w:t xml:space="preserve">confirmed safe and in accordance with established procedures </w:t>
            </w:r>
          </w:p>
        </w:tc>
      </w:tr>
      <w:tr w:rsidTr="00490F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3.4</w:t>
            </w:r>
          </w:p>
        </w:tc>
        <w:tc>
          <w:tcPr>
            <w:tcW w:w="486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 xml:space="preserve">Tools, equipment and any surplus resources and materials are where appropriate, cleaned, checked and returned to storage in accordance with established procedures </w:t>
            </w:r>
          </w:p>
        </w:tc>
      </w:tr>
      <w:tr w:rsidTr="00490F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3.5</w:t>
            </w:r>
          </w:p>
        </w:tc>
        <w:tc>
          <w:tcPr>
            <w:tcW w:w="486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Relevant work permit(s) are signed off accordance with requirements</w:t>
            </w:r>
          </w:p>
        </w:tc>
      </w:tr>
      <w:tr w:rsidTr="00490F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3.6</w:t>
            </w:r>
          </w:p>
        </w:tc>
        <w:tc>
          <w:tcPr>
            <w:tcW w:w="4860" w:type="dxa"/>
            <w:tcBorders>
              <w:top w:val="nil"/>
              <w:left w:val="nil"/>
              <w:bottom w:val="nil"/>
              <w:right w:val="nil"/>
            </w:tcBorders>
            <w:tcMar>
              <w:top w:w="0" w:type="dxa"/>
              <w:left w:w="62" w:type="dxa"/>
              <w:bottom w:w="0" w:type="dxa"/>
              <w:right w:w="62" w:type="dxa"/>
            </w:tcMar>
          </w:tcPr>
          <w:p w:rsidR="00000000" w:rsidRPr="00FC5128" w:rsidP="00FC5128">
            <w:pPr>
              <w:pStyle w:val="BodyText"/>
            </w:pPr>
            <w:r w:rsidRPr="00FC5128">
              <w:t xml:space="preserve">Work completion records, reports as installed/modified drawing(s) and documentation and information is confirmed, processed and the appropriate persons notified </w:t>
            </w:r>
          </w:p>
        </w:tc>
      </w:tr>
    </w:tbl>
    <w:p w:rsidR="00490F77" w:rsidP="00FC5128">
      <w:pPr>
        <w:pStyle w:val="BodyText"/>
      </w:pPr>
    </w:p>
    <w:p w:rsidR="00490F77" w:rsidP="00FC5128">
      <w:pPr>
        <w:pStyle w:val="BodyText"/>
      </w:pPr>
    </w:p>
    <w:p w:rsidR="00000000" w:rsidRPr="00FC5128" w:rsidP="00FC5128">
      <w:pPr>
        <w:pStyle w:val="Heading1"/>
      </w:pPr>
      <w:bookmarkStart w:id="9" w:name="O_263628"/>
      <w:bookmarkEnd w:id="9"/>
      <w:r w:rsidRPr="00FC5128">
        <w:t>Required Skills and Knowledge</w:t>
      </w:r>
    </w:p>
    <w:tbl>
      <w:tblPr>
        <w:tblW w:w="0" w:type="auto"/>
        <w:tblLayout w:type="fixed"/>
        <w:tblCellMar>
          <w:left w:w="62" w:type="dxa"/>
          <w:right w:w="62" w:type="dxa"/>
        </w:tblCellMar>
        <w:tblLook w:val="0000"/>
      </w:tblPr>
      <w:tblGrid>
        <w:gridCol w:w="2700"/>
        <w:gridCol w:w="1080"/>
        <w:gridCol w:w="4680"/>
      </w:tblGrid>
      <w:tr w:rsidTr="00490F77">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rPr>
                <w:rStyle w:val="SpecialBold"/>
              </w:rPr>
              <w:t>REQUIRED SKILLS AND KNOWLEDGE</w:t>
            </w:r>
          </w:p>
        </w:tc>
      </w:tr>
      <w:tr w:rsidTr="00490F7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rPr>
                <w:rStyle w:val="SpecialBold"/>
              </w:rPr>
              <w:t>6</w:t>
            </w:r>
            <w:r w:rsidRPr="00FC5128">
              <w:t>) This describes the essential skills and knowledge and their level, required for this unit.</w:t>
            </w:r>
          </w:p>
        </w:tc>
      </w:tr>
      <w:tr w:rsidTr="00490F7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Evidence shall show that knowledge has been acquired of safe working practices for site control of third party works in the vicinity of a transmission pipeline. The essential knowledge and associated skills required is given Volume 2 Part 2, Section 2 Clau</w:t>
            </w:r>
            <w:r w:rsidRPr="00FC5128">
              <w:t>ses:</w:t>
            </w:r>
          </w:p>
        </w:tc>
      </w:tr>
      <w:tr w:rsidTr="00490F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w:t>
            </w:r>
          </w:p>
        </w:tc>
        <w:tc>
          <w:tcPr>
            <w:tcW w:w="10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G 2.1.1</w:t>
            </w:r>
          </w:p>
        </w:tc>
        <w:tc>
          <w:tcPr>
            <w:tcW w:w="46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Working in the gas sector</w:t>
            </w:r>
          </w:p>
        </w:tc>
      </w:tr>
      <w:tr w:rsidTr="00490F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G 2.1.4</w:t>
            </w:r>
          </w:p>
        </w:tc>
        <w:tc>
          <w:tcPr>
            <w:tcW w:w="46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Apply relevant OHS regulations, policies and procedures</w:t>
            </w:r>
          </w:p>
        </w:tc>
      </w:tr>
      <w:tr w:rsidTr="00490F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G 2.1.5</w:t>
            </w:r>
          </w:p>
        </w:tc>
        <w:tc>
          <w:tcPr>
            <w:tcW w:w="46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Maintain a safe, clean and healthy workplace</w:t>
            </w:r>
          </w:p>
        </w:tc>
      </w:tr>
      <w:tr w:rsidTr="00490F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G 2.1.6</w:t>
            </w:r>
          </w:p>
        </w:tc>
        <w:tc>
          <w:tcPr>
            <w:tcW w:w="46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Work safely with hazardous materials and equipment</w:t>
            </w:r>
          </w:p>
        </w:tc>
      </w:tr>
      <w:tr w:rsidTr="00490F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G 2.1.7</w:t>
            </w:r>
          </w:p>
        </w:tc>
        <w:tc>
          <w:tcPr>
            <w:tcW w:w="46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Apply safe manual handling techniques in the workplace</w:t>
            </w:r>
          </w:p>
        </w:tc>
      </w:tr>
      <w:tr w:rsidTr="00490F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G 2.1.9</w:t>
            </w:r>
          </w:p>
        </w:tc>
        <w:tc>
          <w:tcPr>
            <w:tcW w:w="46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Respond to emergency and accident situations</w:t>
            </w:r>
          </w:p>
        </w:tc>
      </w:tr>
      <w:tr w:rsidTr="00490F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G 2.1.10</w:t>
            </w:r>
          </w:p>
        </w:tc>
        <w:tc>
          <w:tcPr>
            <w:tcW w:w="46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 xml:space="preserve">Apply relevant environmental legislation, regulations and codes of practice </w:t>
            </w:r>
          </w:p>
        </w:tc>
      </w:tr>
      <w:tr w:rsidTr="00490F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G 2.1.11</w:t>
            </w:r>
          </w:p>
        </w:tc>
        <w:tc>
          <w:tcPr>
            <w:tcW w:w="46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Protect and maintain the environment</w:t>
            </w:r>
          </w:p>
        </w:tc>
      </w:tr>
      <w:tr w:rsidTr="00490F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G 2.1.12</w:t>
            </w:r>
          </w:p>
        </w:tc>
        <w:tc>
          <w:tcPr>
            <w:tcW w:w="46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Communicate in the workplace</w:t>
            </w:r>
          </w:p>
        </w:tc>
      </w:tr>
      <w:tr w:rsidTr="00490F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G 2.1.13</w:t>
            </w:r>
          </w:p>
        </w:tc>
        <w:tc>
          <w:tcPr>
            <w:tcW w:w="46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Communicate effectively in a team</w:t>
            </w:r>
          </w:p>
        </w:tc>
      </w:tr>
      <w:tr w:rsidTr="00490F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G 2.1.14</w:t>
            </w:r>
          </w:p>
        </w:tc>
        <w:tc>
          <w:tcPr>
            <w:tcW w:w="46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Read and interpret workplace documents</w:t>
            </w:r>
          </w:p>
        </w:tc>
      </w:tr>
      <w:tr w:rsidTr="00490F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G 2.1.15</w:t>
            </w:r>
          </w:p>
        </w:tc>
        <w:tc>
          <w:tcPr>
            <w:tcW w:w="46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Complete routine workplace forms, memos and reports</w:t>
            </w:r>
          </w:p>
        </w:tc>
      </w:tr>
      <w:tr w:rsidTr="00490F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G 2.1.16</w:t>
            </w:r>
          </w:p>
        </w:tc>
        <w:tc>
          <w:tcPr>
            <w:tcW w:w="46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Identify requirements of work activity</w:t>
            </w:r>
          </w:p>
        </w:tc>
      </w:tr>
      <w:tr w:rsidTr="00490F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G 2.1.17</w:t>
            </w:r>
          </w:p>
        </w:tc>
        <w:tc>
          <w:tcPr>
            <w:tcW w:w="46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 xml:space="preserve">Apply basic planning skills </w:t>
            </w:r>
          </w:p>
        </w:tc>
      </w:tr>
      <w:tr w:rsidTr="00490F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G 2.2.18</w:t>
            </w:r>
          </w:p>
        </w:tc>
        <w:tc>
          <w:tcPr>
            <w:tcW w:w="46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Conduct tasks to complete work activity</w:t>
            </w:r>
          </w:p>
        </w:tc>
      </w:tr>
      <w:tr w:rsidTr="00490F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G 2.1.21</w:t>
            </w:r>
          </w:p>
        </w:tc>
        <w:tc>
          <w:tcPr>
            <w:tcW w:w="46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Problem solving</w:t>
            </w:r>
          </w:p>
        </w:tc>
      </w:tr>
      <w:tr w:rsidTr="00490F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G 2.1.22</w:t>
            </w:r>
          </w:p>
        </w:tc>
        <w:tc>
          <w:tcPr>
            <w:tcW w:w="46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Confined spaces</w:t>
            </w:r>
          </w:p>
        </w:tc>
      </w:tr>
      <w:tr w:rsidTr="00490F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G 2.1.24</w:t>
            </w:r>
          </w:p>
        </w:tc>
        <w:tc>
          <w:tcPr>
            <w:tcW w:w="46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Work site environmental impact</w:t>
            </w:r>
          </w:p>
        </w:tc>
      </w:tr>
      <w:tr w:rsidTr="00490F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G 2.2.32</w:t>
            </w:r>
          </w:p>
        </w:tc>
        <w:tc>
          <w:tcPr>
            <w:tcW w:w="46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Apply regulatory requirem</w:t>
            </w:r>
            <w:r w:rsidRPr="00FC5128">
              <w:t>ents for preparing and excavating trenches and reinstating site</w:t>
            </w:r>
          </w:p>
        </w:tc>
      </w:tr>
      <w:tr w:rsidTr="00490F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G 2.2.33</w:t>
            </w:r>
          </w:p>
        </w:tc>
        <w:tc>
          <w:tcPr>
            <w:tcW w:w="46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Locate other utilities and services</w:t>
            </w:r>
          </w:p>
        </w:tc>
      </w:tr>
      <w:tr w:rsidTr="00490F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G 2.2.34</w:t>
            </w:r>
          </w:p>
        </w:tc>
        <w:tc>
          <w:tcPr>
            <w:tcW w:w="46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Use tools, materials and equipment</w:t>
            </w:r>
          </w:p>
        </w:tc>
      </w:tr>
      <w:tr w:rsidTr="00490F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G 2.2.35</w:t>
            </w:r>
          </w:p>
        </w:tc>
        <w:tc>
          <w:tcPr>
            <w:tcW w:w="46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Prepare the site</w:t>
            </w:r>
          </w:p>
        </w:tc>
      </w:tr>
      <w:tr w:rsidTr="00490F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G 2.2.36</w:t>
            </w:r>
          </w:p>
        </w:tc>
        <w:tc>
          <w:tcPr>
            <w:tcW w:w="46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Set out trenches</w:t>
            </w:r>
          </w:p>
        </w:tc>
      </w:tr>
      <w:tr w:rsidTr="00490F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G 2.2.37</w:t>
            </w:r>
          </w:p>
        </w:tc>
        <w:tc>
          <w:tcPr>
            <w:tcW w:w="46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Excavate trenches</w:t>
            </w:r>
          </w:p>
        </w:tc>
      </w:tr>
      <w:tr w:rsidTr="00490F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G 3.1.2</w:t>
            </w:r>
          </w:p>
        </w:tc>
        <w:tc>
          <w:tcPr>
            <w:tcW w:w="46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Work independently in a Gas Industry environment</w:t>
            </w:r>
          </w:p>
        </w:tc>
      </w:tr>
      <w:tr w:rsidTr="00490F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G 3.4.5</w:t>
            </w:r>
          </w:p>
        </w:tc>
        <w:tc>
          <w:tcPr>
            <w:tcW w:w="46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Interpreting topographical maps and information</w:t>
            </w:r>
          </w:p>
        </w:tc>
      </w:tr>
      <w:tr w:rsidTr="00490F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G 4.1.2</w:t>
            </w:r>
          </w:p>
        </w:tc>
        <w:tc>
          <w:tcPr>
            <w:tcW w:w="46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Understand the effective operation of Gas Industry plant and equipment and materials</w:t>
            </w:r>
          </w:p>
        </w:tc>
      </w:tr>
      <w:tr w:rsidTr="00490F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G 4.1.3</w:t>
            </w:r>
          </w:p>
        </w:tc>
        <w:tc>
          <w:tcPr>
            <w:tcW w:w="46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Communicating in the Gas Industry at a super</w:t>
            </w:r>
            <w:r w:rsidRPr="00FC5128">
              <w:t>visory level</w:t>
            </w:r>
          </w:p>
        </w:tc>
      </w:tr>
      <w:tr w:rsidTr="00490F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G 4.1.4</w:t>
            </w:r>
          </w:p>
        </w:tc>
        <w:tc>
          <w:tcPr>
            <w:tcW w:w="46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Gas Industry products and services</w:t>
            </w:r>
          </w:p>
        </w:tc>
      </w:tr>
      <w:tr w:rsidTr="00490F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G 4.1.5</w:t>
            </w:r>
          </w:p>
        </w:tc>
        <w:tc>
          <w:tcPr>
            <w:tcW w:w="46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Interpreting Gas Industry drawings</w:t>
            </w:r>
          </w:p>
        </w:tc>
      </w:tr>
      <w:tr w:rsidTr="00490F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G 4.1.6</w:t>
            </w:r>
          </w:p>
        </w:tc>
        <w:tc>
          <w:tcPr>
            <w:tcW w:w="46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OHS and First Aid for Gas Industry supervisors</w:t>
            </w:r>
          </w:p>
        </w:tc>
      </w:tr>
      <w:tr w:rsidTr="00490F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G 4.1.7</w:t>
            </w:r>
          </w:p>
        </w:tc>
        <w:tc>
          <w:tcPr>
            <w:tcW w:w="46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 xml:space="preserve">Complete Gas Industry reports and documentation </w:t>
            </w:r>
          </w:p>
        </w:tc>
      </w:tr>
      <w:tr w:rsidTr="00490F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G 4.1.8</w:t>
            </w:r>
          </w:p>
        </w:tc>
        <w:tc>
          <w:tcPr>
            <w:tcW w:w="46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Use a personal computer</w:t>
            </w:r>
          </w:p>
        </w:tc>
      </w:tr>
      <w:tr w:rsidTr="00490F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G 4.1.15</w:t>
            </w:r>
          </w:p>
        </w:tc>
        <w:tc>
          <w:tcPr>
            <w:tcW w:w="46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Drive Gas Industry vehicles</w:t>
            </w:r>
          </w:p>
        </w:tc>
      </w:tr>
      <w:tr w:rsidTr="00490F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G 5.1.2</w:t>
            </w:r>
          </w:p>
        </w:tc>
        <w:tc>
          <w:tcPr>
            <w:tcW w:w="4680" w:type="dxa"/>
            <w:tcBorders>
              <w:top w:val="nil"/>
              <w:left w:val="nil"/>
              <w:bottom w:val="nil"/>
              <w:right w:val="nil"/>
            </w:tcBorders>
            <w:tcMar>
              <w:top w:w="0" w:type="dxa"/>
              <w:left w:w="62" w:type="dxa"/>
              <w:bottom w:w="0" w:type="dxa"/>
              <w:right w:w="62" w:type="dxa"/>
            </w:tcMar>
          </w:tcPr>
          <w:p w:rsidR="00000000" w:rsidRPr="00FC5128" w:rsidP="00FC5128">
            <w:pPr>
              <w:pStyle w:val="BodyText"/>
            </w:pPr>
            <w:r w:rsidRPr="00FC5128">
              <w:t xml:space="preserve">Problem solving, decision making and conflict resolution </w:t>
            </w:r>
          </w:p>
        </w:tc>
      </w:tr>
    </w:tbl>
    <w:p w:rsidR="00490F77" w:rsidP="00FC5128">
      <w:pPr>
        <w:pStyle w:val="BodyText"/>
      </w:pPr>
    </w:p>
    <w:p w:rsidR="00490F77" w:rsidP="00FC5128">
      <w:pPr>
        <w:pStyle w:val="BodyText"/>
      </w:pPr>
    </w:p>
    <w:p w:rsidR="00000000" w:rsidRPr="00FC5128" w:rsidP="00FC5128">
      <w:pPr>
        <w:pStyle w:val="Heading1"/>
      </w:pPr>
      <w:bookmarkStart w:id="10" w:name="O_247820"/>
      <w:bookmarkEnd w:id="10"/>
      <w:r w:rsidRPr="00FC5128">
        <w:t>Evidence Guide</w:t>
      </w:r>
    </w:p>
    <w:tbl>
      <w:tblPr>
        <w:tblW w:w="0" w:type="auto"/>
        <w:tblLayout w:type="fixed"/>
        <w:tblCellMar>
          <w:left w:w="62" w:type="dxa"/>
          <w:right w:w="62" w:type="dxa"/>
        </w:tblCellMar>
        <w:tblLook w:val="0000"/>
      </w:tblPr>
      <w:tblGrid>
        <w:gridCol w:w="2160"/>
        <w:gridCol w:w="540"/>
        <w:gridCol w:w="900"/>
        <w:gridCol w:w="180"/>
        <w:gridCol w:w="2160"/>
        <w:gridCol w:w="2520"/>
      </w:tblGrid>
      <w:tr w:rsidTr="00490F77">
        <w:tblPrEx>
          <w:tblW w:w="0" w:type="auto"/>
          <w:tblLayout w:type="fixed"/>
          <w:tblCellMar>
            <w:left w:w="62" w:type="dxa"/>
            <w:right w:w="62" w:type="dxa"/>
          </w:tblCellMar>
          <w:tblLook w:val="0000"/>
        </w:tblPrEx>
        <w:tc>
          <w:tcPr>
            <w:tcW w:w="8460" w:type="dxa"/>
            <w:gridSpan w:val="6"/>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rPr>
                <w:rStyle w:val="SpecialBold"/>
              </w:rPr>
              <w:t>EVIDENCE GUIDE</w:t>
            </w:r>
          </w:p>
        </w:tc>
      </w:tr>
      <w:tr w:rsidTr="00490F77">
        <w:tblPrEx>
          <w:tblW w:w="0" w:type="auto"/>
          <w:tblLayout w:type="fixed"/>
          <w:tblCellMar>
            <w:left w:w="62" w:type="dxa"/>
            <w:right w:w="62" w:type="dxa"/>
          </w:tblCellMar>
          <w:tblLook w:val="0000"/>
        </w:tblPrEx>
        <w:tc>
          <w:tcPr>
            <w:tcW w:w="8460" w:type="dxa"/>
            <w:gridSpan w:val="6"/>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rPr>
                <w:rStyle w:val="SpecialBold"/>
              </w:rPr>
              <w:t>8</w:t>
            </w:r>
            <w:r w:rsidRPr="00FC5128">
              <w:t xml:space="preserve">) The Evidence Guide forms an integral part of this Competency Standard Unit and shall be </w:t>
            </w:r>
            <w:r w:rsidRPr="00FC5128">
              <w:t>used in conjunction with all components parts of this unit and performed in accordance with the Assessment Guidelines of this Training Package.</w:t>
            </w:r>
          </w:p>
        </w:tc>
      </w:tr>
      <w:tr w:rsidTr="00490F7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C5128" w:rsidP="00FC5128">
            <w:pPr>
              <w:pStyle w:val="BodyText"/>
            </w:pPr>
            <w:r w:rsidRPr="00FC5128">
              <w:rPr>
                <w:rStyle w:val="SpecialBold"/>
              </w:rPr>
              <w:t>Overview of Assessment</w:t>
            </w:r>
          </w:p>
        </w:tc>
        <w:tc>
          <w:tcPr>
            <w:tcW w:w="6300" w:type="dxa"/>
            <w:gridSpan w:val="5"/>
            <w:tcBorders>
              <w:top w:val="nil"/>
              <w:left w:val="nil"/>
              <w:bottom w:val="nil"/>
              <w:right w:val="nil"/>
            </w:tcBorders>
            <w:tcMar>
              <w:top w:w="0" w:type="dxa"/>
              <w:left w:w="62" w:type="dxa"/>
              <w:bottom w:w="0" w:type="dxa"/>
              <w:right w:w="62" w:type="dxa"/>
            </w:tcMar>
          </w:tcPr>
          <w:p w:rsidR="00000000" w:rsidRPr="00FC5128" w:rsidP="00FC5128">
            <w:pPr>
              <w:pStyle w:val="BodyText"/>
            </w:pPr>
            <w:r w:rsidRPr="00FC5128">
              <w:rPr>
                <w:rStyle w:val="SpecialBold"/>
              </w:rPr>
              <w:t>8</w:t>
            </w:r>
            <w:r w:rsidRPr="00FC5128">
              <w:t>.</w:t>
            </w:r>
            <w:r w:rsidRPr="00FC5128">
              <w:rPr>
                <w:rStyle w:val="SpecialBold"/>
              </w:rPr>
              <w:t>1</w:t>
            </w:r>
            <w:r w:rsidRPr="00FC5128">
              <w:t>)</w:t>
            </w:r>
          </w:p>
          <w:p w:rsidR="00000000" w:rsidRPr="00FC5128" w:rsidP="00FC5128">
            <w:pPr>
              <w:pStyle w:val="BodyText"/>
            </w:pPr>
            <w:r w:rsidRPr="00FC5128">
              <w:t>Longitudinal competency development approaches to assessment, such as Profilin</w:t>
            </w:r>
            <w:r w:rsidRPr="00FC5128">
              <w:t>g, require data to be reliably gathered in a form that can be consistently interpreted over time. This approach is best utilised in Apprenticeship programs and reduces assessment intervention. It is the Industry's preferred model for apprenticeships. Howev</w:t>
            </w:r>
            <w:r w:rsidRPr="00FC5128">
              <w:t>er, where summative (or final) assessment is used it is to include the application of the competency in the normal work environment or, at a minimum, the application of the competency in a realistically simulated work environment. It is recognised that, in</w:t>
            </w:r>
            <w:r w:rsidRPr="00FC5128">
              <w:t xml:space="preserve"> some circumstances, assessment in part or full can occur outside the workplace. However, it must be in accord with Industry regulatory policy in this regard.</w:t>
            </w:r>
          </w:p>
          <w:p w:rsidR="00000000" w:rsidRPr="00FC5128" w:rsidP="00FC5128">
            <w:pPr>
              <w:pStyle w:val="BodyText"/>
            </w:pPr>
            <w:r w:rsidRPr="00FC5128">
              <w:t>Methods chosen for a particular assessment will be influenced by various factors. These include t</w:t>
            </w:r>
            <w:r w:rsidRPr="00FC5128">
              <w:t>he extent of the assessment, the most effective locations for the assessment activities to take place, access to physical resources, additional safety measures that may be required and the critical nature of the competencies being assessed.</w:t>
            </w:r>
          </w:p>
          <w:p w:rsidR="00000000" w:rsidRPr="00FC5128" w:rsidP="00FC5128">
            <w:pPr>
              <w:pStyle w:val="BodyText"/>
            </w:pPr>
            <w:r w:rsidRPr="00FC5128">
              <w:t>The critical sa</w:t>
            </w:r>
            <w:r w:rsidRPr="00FC5128">
              <w:t>fety nature of working with electricity, electrical equipment, gas or any other hazardous substance/material carries risk in deeming a person competent. Hence, sources of evidence need to be 'rich' in nature so as to minimise error in judgment.</w:t>
            </w:r>
          </w:p>
          <w:p w:rsidR="00000000" w:rsidP="00FC5128">
            <w:pPr>
              <w:pStyle w:val="BodyText"/>
              <w:rPr>
                <w:lang w:val="en-NZ"/>
              </w:rPr>
            </w:pPr>
            <w:r w:rsidRPr="00FC5128">
              <w:t xml:space="preserve">Activities </w:t>
            </w:r>
            <w:r w:rsidRPr="00FC5128">
              <w:t>associated with normal every day work have a bearing on the decision as to how much and how detailed the data gathered will contribute to its 'richness'. Some skills are more critical to safety and operational requirements while the same skills may be more</w:t>
            </w:r>
            <w:r w:rsidRPr="00FC5128">
              <w:t xml:space="preserve"> or less frequently practiced. These points are raised for the assessors to consider when choosing an assessment method and developing assessment instruments. Sample assessment instruments are included for Assessors in the Assessment Guidelines of this Tra</w:t>
            </w:r>
            <w:r w:rsidRPr="00FC5128">
              <w:t>ining Package.</w:t>
            </w:r>
          </w:p>
        </w:tc>
      </w:tr>
      <w:tr w:rsidTr="00490F7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C5128" w:rsidP="00FC5128">
            <w:pPr>
              <w:pStyle w:val="BodyText"/>
            </w:pPr>
            <w:r w:rsidRPr="00FC5128">
              <w:rPr>
                <w:rStyle w:val="SpecialBold"/>
              </w:rPr>
              <w:t>Critical aspects of evidence required to demonstrate competency in this unit</w:t>
            </w:r>
          </w:p>
        </w:tc>
        <w:tc>
          <w:tcPr>
            <w:tcW w:w="6300" w:type="dxa"/>
            <w:gridSpan w:val="5"/>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rPr>
                <w:rStyle w:val="SpecialBold"/>
              </w:rPr>
              <w:t>8</w:t>
            </w:r>
            <w:r w:rsidRPr="00FC5128">
              <w:t>.</w:t>
            </w:r>
            <w:r w:rsidRPr="00FC5128">
              <w:rPr>
                <w:rStyle w:val="SpecialBold"/>
              </w:rPr>
              <w:t>2</w:t>
            </w:r>
            <w:r w:rsidRPr="00FC5128">
              <w:t>) Before the critical aspects of evidence are considered all prerequisites shall be met.</w:t>
            </w:r>
          </w:p>
        </w:tc>
      </w:tr>
      <w:tr w:rsidTr="00490F7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RPr="00FC5128" w:rsidP="00FC5128">
            <w:pPr>
              <w:pStyle w:val="BodyText"/>
            </w:pPr>
            <w:r w:rsidRPr="00FC5128">
              <w:t>Evidence for competence in this unit shall be considered holistically. Each element and associated Performance Criteria shall be demonstrated on at least two occasions in accordance with the 'Assessment Guidelines  UEG06'. Evidence shall also comprise:</w:t>
            </w:r>
          </w:p>
          <w:p w:rsidR="00000000" w:rsidP="00FC5128">
            <w:pPr>
              <w:pStyle w:val="ListBullet"/>
              <w:rPr>
                <w:lang w:val="en-NZ"/>
              </w:rPr>
            </w:pPr>
            <w:r w:rsidRPr="00FC5128">
              <w:t>A r</w:t>
            </w:r>
            <w:r w:rsidRPr="00FC5128">
              <w:t>epresentative body of Performance Criteria demonstrated within the timeframes typically expected of the discipline, work function and industrial environment. In particular this shall incorporate evidence that shows a candidate is able to:</w:t>
            </w:r>
          </w:p>
        </w:tc>
      </w:tr>
      <w:tr w:rsidTr="00490F7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RPr="00FC5128" w:rsidP="00FC5128">
            <w:pPr>
              <w:pStyle w:val="ListBullet2"/>
            </w:pPr>
            <w:r w:rsidRPr="00FC5128">
              <w:t>Implement Occupational Health and Safety workplace procedures and practices including the use of risk control measures as specified in the Performance Criteria and range</w:t>
            </w:r>
          </w:p>
          <w:p w:rsidR="00000000" w:rsidRPr="00FC5128" w:rsidP="00FC5128">
            <w:pPr>
              <w:pStyle w:val="ListBullet2"/>
            </w:pPr>
            <w:r w:rsidRPr="00FC5128">
              <w:t>Apply sustainable energy principles and practices as specified in the Performance Crit</w:t>
            </w:r>
            <w:r w:rsidRPr="00FC5128">
              <w:t>eria and range</w:t>
            </w:r>
          </w:p>
          <w:p w:rsidR="00000000" w:rsidRPr="00FC5128" w:rsidP="00FC5128">
            <w:pPr>
              <w:pStyle w:val="ListBullet2"/>
            </w:pPr>
            <w:r w:rsidRPr="00FC5128">
              <w:t>Demonstrate an understanding of the essential knowledge and associated skills as described in this unit to such an extent that the learner's performance outcome is reported in accordance with the preferred approach; namely a percentile grade</w:t>
            </w:r>
            <w:r w:rsidRPr="00FC5128">
              <w:t>d result, where required by the regulated environment</w:t>
            </w:r>
          </w:p>
          <w:p w:rsidR="00000000" w:rsidRPr="00FC5128" w:rsidP="00FC5128">
            <w:pPr>
              <w:pStyle w:val="ListBullet2"/>
            </w:pPr>
            <w:r w:rsidRPr="00FC5128">
              <w:t>Demonstrate an appropriate level of skills enabling employment</w:t>
            </w:r>
          </w:p>
          <w:p w:rsidR="00000000" w:rsidP="00FC5128">
            <w:pPr>
              <w:pStyle w:val="ListBullet2"/>
              <w:rPr>
                <w:lang w:val="en-NZ"/>
              </w:rPr>
            </w:pPr>
            <w:r w:rsidRPr="00FC5128">
              <w:t>Conduct work observing the relevant anti-discrimination legislation, regulations, polices and workplace procedures</w:t>
            </w:r>
          </w:p>
        </w:tc>
      </w:tr>
      <w:tr w:rsidTr="00490F7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FC5128">
            <w:pPr>
              <w:pStyle w:val="ListBullet2"/>
              <w:rPr>
                <w:lang w:val="en-NZ"/>
              </w:rPr>
            </w:pPr>
            <w:r w:rsidRPr="00FC5128">
              <w:t>Demonstrate performance across a representative range of contexts from the prescribed items below.</w:t>
            </w:r>
          </w:p>
        </w:tc>
      </w:tr>
      <w:tr w:rsidTr="00490F7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FC5128">
            <w:pPr>
              <w:pStyle w:val="BodyText"/>
              <w:keepNext w:val="0"/>
              <w:keepLines w:val="0"/>
              <w:contextualSpacing w:val="0"/>
            </w:pPr>
          </w:p>
        </w:tc>
        <w:tc>
          <w:tcPr>
            <w:tcW w:w="5760"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r w:rsidRPr="00FC5128">
              <w:rPr>
                <w:rStyle w:val="SpecialBold"/>
              </w:rPr>
              <w:t>Range of tools</w:t>
            </w:r>
            <w:r w:rsidRPr="00FC5128">
              <w:t>/</w:t>
            </w:r>
            <w:r w:rsidRPr="00FC5128">
              <w:rPr>
                <w:rStyle w:val="SpecialBold"/>
              </w:rPr>
              <w:t>equipment</w:t>
            </w:r>
            <w:r w:rsidRPr="00FC5128">
              <w:t>/</w:t>
            </w:r>
            <w:r w:rsidRPr="00FC5128">
              <w:rPr>
                <w:rStyle w:val="SpecialBold"/>
              </w:rPr>
              <w:t>materials</w:t>
            </w:r>
            <w:r w:rsidRPr="00FC5128">
              <w:t>/</w:t>
            </w:r>
            <w:r w:rsidRPr="00FC5128">
              <w:rPr>
                <w:rStyle w:val="SpecialBold"/>
              </w:rPr>
              <w:t>procedures</w:t>
            </w:r>
            <w:r w:rsidRPr="00FC5128">
              <w:t>/</w:t>
            </w:r>
            <w:r w:rsidRPr="00FC5128">
              <w:br/>
            </w:r>
            <w:r w:rsidRPr="00FC5128">
              <w:rPr>
                <w:rStyle w:val="SpecialBold"/>
              </w:rPr>
              <w:t>workplaces</w:t>
            </w:r>
            <w:r w:rsidRPr="00FC5128">
              <w:t>/</w:t>
            </w:r>
            <w:r w:rsidRPr="00FC5128">
              <w:rPr>
                <w:rStyle w:val="SpecialBold"/>
              </w:rPr>
              <w:t>other variables</w:t>
            </w:r>
          </w:p>
        </w:tc>
      </w:tr>
      <w:tr w:rsidTr="00490F7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FC5128">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128" w:rsidP="00FC5128">
            <w:pPr>
              <w:pStyle w:val="BodyText"/>
            </w:pPr>
            <w:r w:rsidRPr="00FC5128">
              <w:rPr>
                <w:rStyle w:val="SpecialBold"/>
              </w:rPr>
              <w:t>Group No</w:t>
            </w:r>
          </w:p>
        </w:tc>
        <w:tc>
          <w:tcPr>
            <w:tcW w:w="23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128" w:rsidP="00FC5128">
            <w:pPr>
              <w:pStyle w:val="BodyText"/>
            </w:pPr>
            <w:r w:rsidRPr="00FC5128">
              <w:rPr>
                <w:rStyle w:val="SpecialBold"/>
              </w:rPr>
              <w:t>The minimum number of items on which skill is to be demonstrated</w:t>
            </w:r>
          </w:p>
        </w:tc>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r w:rsidRPr="00FC5128">
              <w:rPr>
                <w:rStyle w:val="SpecialBold"/>
              </w:rPr>
              <w:t>Item List</w:t>
            </w:r>
          </w:p>
        </w:tc>
      </w:tr>
      <w:tr w:rsidTr="00490F7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r w:rsidRPr="00FC5128">
              <w:t>A</w:t>
            </w:r>
          </w:p>
        </w:tc>
        <w:tc>
          <w:tcPr>
            <w:tcW w:w="23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r w:rsidRPr="00FC5128">
              <w:t>All</w:t>
            </w:r>
          </w:p>
        </w:tc>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128" w:rsidP="00FC5128">
            <w:pPr>
              <w:pStyle w:val="BodyText"/>
            </w:pPr>
            <w:r w:rsidRPr="00FC5128">
              <w:t>Identify threats to the integrity of transmission pipelines</w:t>
            </w:r>
          </w:p>
          <w:p w:rsidR="00000000" w:rsidRPr="00FC5128" w:rsidP="00FC5128">
            <w:pPr>
              <w:pStyle w:val="BodyText"/>
            </w:pPr>
            <w:r w:rsidRPr="00FC5128">
              <w:t>Evaluate threats to the integrity of transmission pipelines</w:t>
            </w:r>
          </w:p>
          <w:p w:rsidR="00000000" w:rsidRPr="00FC5128" w:rsidP="00FC5128">
            <w:pPr>
              <w:pStyle w:val="BodyText"/>
            </w:pPr>
            <w:r w:rsidRPr="00FC5128">
              <w:t xml:space="preserve">Initiate control of threats to the integrity of transmission pipelines </w:t>
            </w:r>
          </w:p>
          <w:p w:rsidR="00000000" w:rsidRPr="00FC5128" w:rsidP="00FC5128">
            <w:pPr>
              <w:pStyle w:val="BodyText"/>
            </w:pPr>
            <w:r w:rsidRPr="00FC5128">
              <w:t>Working knowledge of coatings for corrosion protection</w:t>
            </w:r>
          </w:p>
          <w:p w:rsidR="00000000" w:rsidRPr="00FC5128" w:rsidP="00FC5128">
            <w:pPr>
              <w:pStyle w:val="BodyText"/>
            </w:pPr>
            <w:r w:rsidRPr="00FC5128">
              <w:t xml:space="preserve">Working knowledge of relevant sections of the latest version of AS2885 </w:t>
            </w:r>
          </w:p>
          <w:p w:rsidR="00000000" w:rsidRPr="00FC5128" w:rsidP="00FC5128">
            <w:pPr>
              <w:pStyle w:val="BodyText"/>
            </w:pPr>
            <w:r w:rsidRPr="00FC5128">
              <w:t>Working knowledge of requirements and techniques for safe</w:t>
            </w:r>
            <w:r w:rsidRPr="00FC5128">
              <w:t xml:space="preserve"> excavations</w:t>
            </w:r>
          </w:p>
          <w:p w:rsidR="00000000" w:rsidRPr="00FC5128" w:rsidP="00FC5128">
            <w:pPr>
              <w:pStyle w:val="BodyText"/>
            </w:pPr>
            <w:r w:rsidRPr="00FC5128">
              <w:t>Working knowledge of construction machinery</w:t>
            </w:r>
          </w:p>
          <w:p w:rsidR="00000000" w:rsidRPr="00FC5128" w:rsidP="00FC5128">
            <w:pPr>
              <w:pStyle w:val="BodyText"/>
            </w:pPr>
            <w:r w:rsidRPr="00FC5128">
              <w:t>Working knowledge of external interference physical and procedural protection measures</w:t>
            </w:r>
          </w:p>
          <w:p w:rsidR="00000000" w:rsidRPr="00FC5128" w:rsidP="00FC5128">
            <w:pPr>
              <w:pStyle w:val="BodyText"/>
            </w:pPr>
            <w:r w:rsidRPr="00FC5128">
              <w:t>Perform effective on site induction</w:t>
            </w:r>
          </w:p>
          <w:p w:rsidR="00000000" w:rsidP="00FC5128">
            <w:pPr>
              <w:pStyle w:val="BodyText"/>
              <w:rPr>
                <w:lang w:val="en-NZ"/>
              </w:rPr>
            </w:pPr>
            <w:r w:rsidRPr="00FC5128">
              <w:t>Perform effective risk assessment and hazard analysis</w:t>
            </w:r>
          </w:p>
        </w:tc>
      </w:tr>
      <w:tr w:rsidTr="00490F7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r w:rsidRPr="00FC5128">
              <w:t>B</w:t>
            </w:r>
          </w:p>
        </w:tc>
        <w:tc>
          <w:tcPr>
            <w:tcW w:w="23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r w:rsidRPr="00FC5128">
              <w:t>All</w:t>
            </w:r>
          </w:p>
        </w:tc>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128" w:rsidP="00FC5128">
            <w:pPr>
              <w:pStyle w:val="BodyText"/>
            </w:pPr>
            <w:r w:rsidRPr="00FC5128">
              <w:t>Interpret technical drawings and symbols</w:t>
            </w:r>
          </w:p>
          <w:p w:rsidR="00000000" w:rsidRPr="00FC5128" w:rsidP="00FC5128">
            <w:pPr>
              <w:pStyle w:val="BodyText"/>
            </w:pPr>
            <w:r w:rsidRPr="00FC5128">
              <w:t>Operation of gas detector</w:t>
            </w:r>
          </w:p>
          <w:p w:rsidR="00000000" w:rsidRPr="00FC5128" w:rsidP="00FC5128">
            <w:pPr>
              <w:pStyle w:val="BodyText"/>
            </w:pPr>
            <w:r w:rsidRPr="00FC5128">
              <w:t>Emergency response procedures</w:t>
            </w:r>
          </w:p>
          <w:p w:rsidR="00000000" w:rsidRPr="00FC5128" w:rsidP="00FC5128">
            <w:pPr>
              <w:pStyle w:val="BodyText"/>
            </w:pPr>
            <w:r w:rsidRPr="00FC5128">
              <w:t>Operate pipe locater</w:t>
            </w:r>
          </w:p>
          <w:p w:rsidR="00000000" w:rsidRPr="00FC5128" w:rsidP="00FC5128">
            <w:pPr>
              <w:pStyle w:val="BodyText"/>
            </w:pPr>
            <w:r w:rsidRPr="00FC5128">
              <w:t>Use of and interpret Dial Before You Dig report or its equivalent</w:t>
            </w:r>
          </w:p>
          <w:p w:rsidR="00000000" w:rsidRPr="00FC5128" w:rsidP="00FC5128">
            <w:pPr>
              <w:pStyle w:val="BodyText"/>
            </w:pPr>
            <w:r w:rsidRPr="00FC5128">
              <w:t>Locate other assets in a safe manner</w:t>
            </w:r>
          </w:p>
          <w:p w:rsidR="00000000" w:rsidRPr="00FC5128" w:rsidP="00FC5128">
            <w:pPr>
              <w:pStyle w:val="BodyText"/>
            </w:pPr>
            <w:r w:rsidRPr="00FC5128">
              <w:t>Work utilising relevant OHS legisla</w:t>
            </w:r>
            <w:r w:rsidRPr="00FC5128">
              <w:t>tion, regulations, codes of practice, policies and procedures</w:t>
            </w:r>
          </w:p>
          <w:p w:rsidR="00000000" w:rsidRPr="00FC5128" w:rsidP="00FC5128">
            <w:pPr>
              <w:pStyle w:val="BodyText"/>
            </w:pPr>
            <w:r w:rsidRPr="00FC5128">
              <w:t>Maintain a safe and clean workplace</w:t>
            </w:r>
          </w:p>
          <w:p w:rsidR="00000000" w:rsidRPr="00FC5128" w:rsidP="00FC5128">
            <w:pPr>
              <w:pStyle w:val="BodyText"/>
            </w:pPr>
            <w:r w:rsidRPr="00FC5128">
              <w:t>Work safely with hazardous materials and equipment</w:t>
            </w:r>
          </w:p>
          <w:p w:rsidR="00000000" w:rsidRPr="00FC5128" w:rsidP="00FC5128">
            <w:pPr>
              <w:pStyle w:val="BodyText"/>
            </w:pPr>
            <w:r w:rsidRPr="00FC5128">
              <w:t>Contractor management</w:t>
            </w:r>
          </w:p>
          <w:p w:rsidR="00000000" w:rsidRPr="00FC5128" w:rsidP="00FC5128">
            <w:pPr>
              <w:pStyle w:val="BodyText"/>
            </w:pPr>
            <w:r w:rsidRPr="00FC5128">
              <w:t>Traffic management</w:t>
            </w:r>
          </w:p>
          <w:p w:rsidR="00000000" w:rsidRPr="00FC5128" w:rsidP="00FC5128">
            <w:pPr>
              <w:pStyle w:val="BodyText"/>
            </w:pPr>
            <w:r w:rsidRPr="00FC5128">
              <w:t>Use of safety signage/barricades and materials</w:t>
            </w:r>
          </w:p>
          <w:p w:rsidR="00000000" w:rsidRPr="00FC5128" w:rsidP="00FC5128">
            <w:pPr>
              <w:pStyle w:val="BodyText"/>
            </w:pPr>
            <w:r w:rsidRPr="00FC5128">
              <w:t xml:space="preserve">Issue, monitor and </w:t>
            </w:r>
            <w:r w:rsidRPr="00FC5128">
              <w:t>control work permits</w:t>
            </w:r>
          </w:p>
          <w:p w:rsidR="00000000" w:rsidRPr="00FC5128" w:rsidP="00FC5128">
            <w:pPr>
              <w:pStyle w:val="BodyText"/>
            </w:pPr>
            <w:r w:rsidRPr="00FC5128">
              <w:t>Apply safe manual handling techniques</w:t>
            </w:r>
          </w:p>
          <w:p w:rsidR="00000000" w:rsidRPr="00FC5128" w:rsidP="00FC5128">
            <w:pPr>
              <w:pStyle w:val="BodyText"/>
            </w:pPr>
            <w:r w:rsidRPr="00FC5128">
              <w:t>Communicate effectively in the workplace</w:t>
            </w:r>
          </w:p>
          <w:p w:rsidR="00000000" w:rsidRPr="00FC5128" w:rsidP="00FC5128">
            <w:pPr>
              <w:pStyle w:val="BodyText"/>
            </w:pPr>
            <w:r w:rsidRPr="00FC5128">
              <w:t>Negotiation skills</w:t>
            </w:r>
          </w:p>
          <w:p w:rsidR="00000000" w:rsidRPr="00FC5128" w:rsidP="00FC5128">
            <w:pPr>
              <w:pStyle w:val="BodyText"/>
            </w:pPr>
            <w:r w:rsidRPr="00FC5128">
              <w:t>Apply basic planning skills</w:t>
            </w:r>
          </w:p>
          <w:p w:rsidR="00000000" w:rsidP="00FC5128">
            <w:pPr>
              <w:pStyle w:val="BodyText"/>
              <w:rPr>
                <w:lang w:val="en-NZ"/>
              </w:rPr>
            </w:pPr>
            <w:r w:rsidRPr="00FC5128">
              <w:t>First Aid certificate level 1</w:t>
            </w:r>
          </w:p>
        </w:tc>
      </w:tr>
      <w:tr w:rsidTr="00490F7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r w:rsidRPr="00FC5128">
              <w:t>C</w:t>
            </w:r>
          </w:p>
        </w:tc>
        <w:tc>
          <w:tcPr>
            <w:tcW w:w="23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r w:rsidRPr="00FC5128">
              <w:t>At least one occasion</w:t>
            </w:r>
          </w:p>
        </w:tc>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r w:rsidRPr="00FC5128">
              <w:t xml:space="preserve">Deal with an unplanned event by drawing on essential knowledge and associated skills to provide appropriate solutions incorporated in the holistic assessment with the above listed items </w:t>
            </w:r>
          </w:p>
        </w:tc>
      </w:tr>
      <w:tr w:rsidTr="00490F7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C5128" w:rsidP="00FC5128">
            <w:pPr>
              <w:pStyle w:val="BodyText"/>
            </w:pPr>
            <w:r w:rsidRPr="00FC5128">
              <w:rPr>
                <w:rStyle w:val="SpecialBold"/>
              </w:rPr>
              <w:t>Context of and specific resources for assessment</w:t>
            </w:r>
          </w:p>
        </w:tc>
        <w:tc>
          <w:tcPr>
            <w:tcW w:w="6300" w:type="dxa"/>
            <w:gridSpan w:val="5"/>
            <w:tcBorders>
              <w:top w:val="nil"/>
              <w:left w:val="nil"/>
              <w:bottom w:val="nil"/>
              <w:right w:val="nil"/>
            </w:tcBorders>
            <w:tcMar>
              <w:top w:w="0" w:type="dxa"/>
              <w:left w:w="62" w:type="dxa"/>
              <w:bottom w:w="0" w:type="dxa"/>
              <w:right w:w="62" w:type="dxa"/>
            </w:tcMar>
          </w:tcPr>
          <w:p w:rsidR="00000000" w:rsidRPr="00FC5128" w:rsidP="00FC5128">
            <w:pPr>
              <w:pStyle w:val="BodyText"/>
            </w:pPr>
            <w:r w:rsidRPr="00FC5128">
              <w:rPr>
                <w:rStyle w:val="SpecialBold"/>
              </w:rPr>
              <w:t>8</w:t>
            </w:r>
            <w:r w:rsidRPr="00FC5128">
              <w:t>.</w:t>
            </w:r>
            <w:r w:rsidRPr="00FC5128">
              <w:rPr>
                <w:rStyle w:val="SpecialBold"/>
              </w:rPr>
              <w:t>3</w:t>
            </w:r>
            <w:r w:rsidRPr="00FC5128">
              <w:t>)</w:t>
            </w:r>
          </w:p>
          <w:p w:rsidR="00000000" w:rsidRPr="00FC5128" w:rsidP="00FC5128">
            <w:pPr>
              <w:pStyle w:val="BodyText"/>
            </w:pPr>
            <w:r w:rsidRPr="00FC5128">
              <w:t>This unit shou</w:t>
            </w:r>
            <w:r w:rsidRPr="00FC5128">
              <w:t>ld be assessed as it relates to normal work practice using procedures, information and resources typical of a workplace. This should include:</w:t>
            </w:r>
          </w:p>
          <w:p w:rsidR="00000000" w:rsidRPr="00FC5128" w:rsidP="00FC5128">
            <w:pPr>
              <w:pStyle w:val="ListBullet"/>
            </w:pPr>
            <w:r w:rsidRPr="00FC5128">
              <w:t>OHS policy and work procedures and instructions.</w:t>
            </w:r>
          </w:p>
          <w:p w:rsidR="00000000" w:rsidRPr="00FC5128" w:rsidP="00FC5128">
            <w:pPr>
              <w:pStyle w:val="ListBullet"/>
            </w:pPr>
            <w:r w:rsidRPr="00FC5128">
              <w:t>Suitable work environment, facilities, equipment and materials to</w:t>
            </w:r>
            <w:r w:rsidRPr="00FC5128">
              <w:t xml:space="preserve"> undertake actual work as prescribed by this Competency Standard Unit</w:t>
            </w:r>
          </w:p>
          <w:p w:rsidR="00000000" w:rsidRPr="00FC5128" w:rsidP="00FC5128">
            <w:pPr>
              <w:pStyle w:val="ListBullet"/>
            </w:pPr>
            <w:r w:rsidRPr="00FC5128">
              <w:t>Appropriate environmental regulation and work practices.</w:t>
            </w:r>
          </w:p>
          <w:p w:rsidR="00000000" w:rsidRPr="00FC5128" w:rsidP="00FC5128">
            <w:pPr>
              <w:pStyle w:val="ListBullet"/>
            </w:pPr>
            <w:r w:rsidRPr="00FC5128">
              <w:t>Appropriate organisational requirements.</w:t>
            </w:r>
          </w:p>
          <w:p w:rsidR="00000000" w:rsidP="00FC5128">
            <w:pPr>
              <w:pStyle w:val="ListBullet"/>
              <w:rPr>
                <w:lang w:val="en-NZ"/>
              </w:rPr>
            </w:pPr>
            <w:r w:rsidRPr="00FC5128">
              <w:t>Appropriate work environment, equipment and tools..</w:t>
            </w:r>
          </w:p>
        </w:tc>
      </w:tr>
      <w:tr w:rsidTr="00490F7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In addition to the resources listed above, in Context of and specific resources for assessment, evidence should show demonstrated competency in site control of excavations in the vicinity of a transmission pipeline.</w:t>
            </w:r>
          </w:p>
        </w:tc>
      </w:tr>
      <w:tr w:rsidTr="00490F7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Assessment of this competency must</w:t>
            </w:r>
            <w:r w:rsidRPr="00FC5128">
              <w:t xml:space="preserve"> also be undertaken in either an actual workplace or under a simulated work environment. Assessment must also integrate the Key Competencies .</w:t>
            </w:r>
          </w:p>
        </w:tc>
      </w:tr>
      <w:tr w:rsidTr="00490F7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C5128" w:rsidP="00FC5128">
            <w:pPr>
              <w:pStyle w:val="BodyText"/>
            </w:pPr>
            <w:r w:rsidRPr="00FC5128">
              <w:rPr>
                <w:rStyle w:val="SpecialBold"/>
              </w:rPr>
              <w:t>Method of assessment</w:t>
            </w:r>
          </w:p>
        </w:tc>
        <w:tc>
          <w:tcPr>
            <w:tcW w:w="6300" w:type="dxa"/>
            <w:gridSpan w:val="5"/>
            <w:tcBorders>
              <w:top w:val="nil"/>
              <w:left w:val="nil"/>
              <w:bottom w:val="nil"/>
              <w:right w:val="nil"/>
            </w:tcBorders>
            <w:tcMar>
              <w:top w:w="0" w:type="dxa"/>
              <w:left w:w="62" w:type="dxa"/>
              <w:bottom w:w="0" w:type="dxa"/>
              <w:right w:w="62" w:type="dxa"/>
            </w:tcMar>
          </w:tcPr>
          <w:p w:rsidR="00000000" w:rsidRPr="00FC5128" w:rsidP="00FC5128">
            <w:pPr>
              <w:pStyle w:val="BodyText"/>
            </w:pPr>
            <w:r w:rsidRPr="00FC5128">
              <w:rPr>
                <w:rStyle w:val="SpecialBold"/>
              </w:rPr>
              <w:t>8</w:t>
            </w:r>
            <w:r w:rsidRPr="00FC5128">
              <w:t>.</w:t>
            </w:r>
            <w:r w:rsidRPr="00FC5128">
              <w:rPr>
                <w:rStyle w:val="SpecialBold"/>
              </w:rPr>
              <w:t>4</w:t>
            </w:r>
            <w:r w:rsidRPr="00FC5128">
              <w:t>)</w:t>
            </w:r>
          </w:p>
          <w:p w:rsidR="00000000" w:rsidRPr="00FC5128" w:rsidP="00FC5128">
            <w:pPr>
              <w:pStyle w:val="BodyText"/>
            </w:pPr>
            <w:r w:rsidRPr="00FC5128">
              <w:t>This Competency Standard Unit shall be assessed by methods given in Volume 1, Part 3 'Assessment Guidelines'.</w:t>
            </w:r>
          </w:p>
          <w:p w:rsidR="00000000" w:rsidP="00FC5128">
            <w:pPr>
              <w:pStyle w:val="BodyText"/>
              <w:rPr>
                <w:lang w:val="en-NZ"/>
              </w:rPr>
            </w:pPr>
            <w:r w:rsidRPr="00FC5128">
              <w:t>Note:</w:t>
            </w:r>
            <w:r w:rsidRPr="00FC5128">
              <w:br/>
              <w:t xml:space="preserve">Competent performance with inherent safe working practices is expected in the Industry to which this Competency Standard Unit applies. This </w:t>
            </w:r>
            <w:r w:rsidRPr="00FC5128">
              <w:t>requires that the specified Essential Knowledge and Associated Skills are assessed in a structured environment which is primarily intended for learning/assessment and incorporates all necessary equipment and facilities for learners to develop and demonstra</w:t>
            </w:r>
            <w:r w:rsidRPr="00FC5128">
              <w:t>te the essential knowledge and associated skills described in this unit.</w:t>
            </w:r>
          </w:p>
        </w:tc>
      </w:tr>
      <w:tr w:rsidTr="00490F7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C5128" w:rsidP="00FC5128">
            <w:pPr>
              <w:pStyle w:val="BodyText"/>
            </w:pPr>
            <w:r w:rsidRPr="00FC5128">
              <w:rPr>
                <w:rStyle w:val="SpecialBold"/>
              </w:rPr>
              <w:t>Concurrent assessment and relationship with other units</w:t>
            </w:r>
          </w:p>
        </w:tc>
        <w:tc>
          <w:tcPr>
            <w:tcW w:w="6300" w:type="dxa"/>
            <w:gridSpan w:val="5"/>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rPr>
                <w:rStyle w:val="SpecialBold"/>
              </w:rPr>
              <w:t>8</w:t>
            </w:r>
            <w:r w:rsidRPr="00FC5128">
              <w:t>.</w:t>
            </w:r>
            <w:r w:rsidRPr="00FC5128">
              <w:rPr>
                <w:rStyle w:val="SpecialBold"/>
              </w:rPr>
              <w:t>5</w:t>
            </w:r>
            <w:r w:rsidRPr="00FC5128">
              <w:t>)</w:t>
            </w:r>
          </w:p>
        </w:tc>
      </w:tr>
      <w:tr w:rsidTr="00490F7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There are no recommended concurrent assessments with this unit, however in some</w:t>
            </w:r>
            <w:r w:rsidRPr="00FC5128">
              <w:t xml:space="preserve"> cases efficiencies may be gained in terms of learning and assessment effort being concurrently managed with allied Competency Standard Units where listed.</w:t>
            </w:r>
          </w:p>
        </w:tc>
      </w:tr>
      <w:tr w:rsidTr="00490F7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UEGNSG302A</w:t>
            </w:r>
          </w:p>
        </w:tc>
        <w:tc>
          <w:tcPr>
            <w:tcW w:w="4680" w:type="dxa"/>
            <w:gridSpan w:val="2"/>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Maintain pipeline easements</w:t>
            </w:r>
          </w:p>
        </w:tc>
      </w:tr>
      <w:tr w:rsidTr="00490F7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UEGNSG303A</w:t>
            </w:r>
          </w:p>
        </w:tc>
        <w:tc>
          <w:tcPr>
            <w:tcW w:w="4680" w:type="dxa"/>
            <w:gridSpan w:val="2"/>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Ground transmission pipeline surveillance</w:t>
            </w:r>
          </w:p>
        </w:tc>
      </w:tr>
      <w:tr w:rsidTr="00490F7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UEGNSG308A</w:t>
            </w:r>
          </w:p>
        </w:tc>
        <w:tc>
          <w:tcPr>
            <w:tcW w:w="4680" w:type="dxa"/>
            <w:gridSpan w:val="2"/>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Identify, evaluate and control threats to transmission pipelines</w:t>
            </w:r>
          </w:p>
        </w:tc>
      </w:tr>
      <w:tr w:rsidTr="00490F7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UEGNSG309A</w:t>
            </w:r>
          </w:p>
        </w:tc>
        <w:tc>
          <w:tcPr>
            <w:tcW w:w="4680" w:type="dxa"/>
            <w:gridSpan w:val="2"/>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First on site emergency response</w:t>
            </w:r>
          </w:p>
        </w:tc>
      </w:tr>
      <w:tr w:rsidTr="00490F7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UEGNSG310A</w:t>
            </w:r>
          </w:p>
        </w:tc>
        <w:tc>
          <w:tcPr>
            <w:tcW w:w="4680" w:type="dxa"/>
            <w:gridSpan w:val="2"/>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Supervise and monitor contract staff</w:t>
            </w:r>
          </w:p>
        </w:tc>
      </w:tr>
      <w:tr w:rsidTr="00490F7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UEGNSG311A</w:t>
            </w:r>
          </w:p>
        </w:tc>
        <w:tc>
          <w:tcPr>
            <w:tcW w:w="4680" w:type="dxa"/>
            <w:gridSpan w:val="2"/>
            <w:tcBorders>
              <w:top w:val="nil"/>
              <w:left w:val="nil"/>
              <w:bottom w:val="nil"/>
              <w:right w:val="nil"/>
            </w:tcBorders>
            <w:tcMar>
              <w:top w:w="0" w:type="dxa"/>
              <w:left w:w="62" w:type="dxa"/>
              <w:bottom w:w="0" w:type="dxa"/>
              <w:right w:w="62" w:type="dxa"/>
            </w:tcMar>
          </w:tcPr>
          <w:p w:rsidR="00000000" w:rsidRPr="00FC5128" w:rsidP="00FC5128">
            <w:pPr>
              <w:pStyle w:val="BodyText"/>
            </w:pPr>
            <w:r w:rsidRPr="00FC5128">
              <w:t>Site control of third party works in the vicinity of a transmission pipeline</w:t>
            </w:r>
          </w:p>
        </w:tc>
      </w:tr>
    </w:tbl>
    <w:p w:rsidR="00000000" w:rsidRPr="00FC5128" w:rsidP="00FC5128">
      <w:pPr>
        <w:pStyle w:val="BodyText"/>
      </w:pPr>
    </w:p>
    <w:p w:rsidR="00000000" w:rsidRPr="00FC5128" w:rsidP="00FC5128">
      <w:pPr>
        <w:pStyle w:val="BodyText"/>
      </w:pPr>
    </w:p>
    <w:tbl>
      <w:tblPr>
        <w:tblW w:w="0" w:type="auto"/>
        <w:tblLayout w:type="fixed"/>
        <w:tblCellMar>
          <w:left w:w="62" w:type="dxa"/>
          <w:right w:w="62" w:type="dxa"/>
        </w:tblCellMar>
        <w:tblLook w:val="0000"/>
      </w:tblPr>
      <w:tblGrid>
        <w:gridCol w:w="2160"/>
        <w:gridCol w:w="4737"/>
        <w:gridCol w:w="1563"/>
      </w:tblGrid>
      <w:tr w:rsidTr="00490F77">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FC5128" w:rsidP="00FC5128">
            <w:pPr>
              <w:pStyle w:val="BodyText"/>
            </w:pPr>
            <w:r w:rsidRPr="00FC5128">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rPr>
                <w:rStyle w:val="SpecialBold"/>
              </w:rPr>
              <w:t>8</w:t>
            </w:r>
            <w:r w:rsidRPr="00FC5128">
              <w:t>.</w:t>
            </w:r>
            <w:r w:rsidRPr="00FC5128">
              <w:rPr>
                <w:rStyle w:val="SpecialBold"/>
              </w:rPr>
              <w:t>6</w:t>
            </w:r>
            <w:r w:rsidRPr="00FC5128">
              <w:t>) Evidence that particular Key Competencies have been achieved within this Competency Standard Unit is in the context of the following Performance Criteria</w:t>
            </w:r>
            <w:r w:rsidRPr="00FC5128">
              <w:t xml:space="preserve"> of evidence. See Volume 2, Part 4 for an explanation of Key Competencies and levels of this Training Package.</w:t>
            </w:r>
          </w:p>
        </w:tc>
      </w:tr>
      <w:tr w:rsidTr="00490F7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128" w:rsidP="00FC5128">
            <w:pPr>
              <w:pStyle w:val="BodyText"/>
            </w:pPr>
            <w:r w:rsidRPr="00FC5128">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128" w:rsidP="00FC5128">
            <w:pPr>
              <w:pStyle w:val="BodyText"/>
            </w:pPr>
            <w:r w:rsidRPr="00FC5128">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r w:rsidRPr="00FC5128">
              <w:rPr>
                <w:rStyle w:val="SpecialBold"/>
              </w:rPr>
              <w:t>Performance Level</w:t>
            </w:r>
          </w:p>
        </w:tc>
      </w:tr>
      <w:tr w:rsidTr="00490F7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r w:rsidRPr="00FC5128">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5128">
            <w:pPr>
              <w:pStyle w:val="BodyText"/>
              <w:rPr>
                <w:lang w:val="en-NZ"/>
              </w:rPr>
            </w:pPr>
            <w:r w:rsidRPr="00FC5128">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128" w:rsidP="00FC5128">
            <w:pPr>
              <w:pStyle w:val="BodyText"/>
            </w:pPr>
          </w:p>
          <w:p w:rsidR="00000000" w:rsidP="00FC5128">
            <w:pPr>
              <w:pStyle w:val="BodyText"/>
              <w:rPr>
                <w:lang w:val="en-NZ"/>
              </w:rPr>
            </w:pPr>
            <w:r w:rsidRPr="00FC5128">
              <w:t>3</w:t>
            </w:r>
          </w:p>
        </w:tc>
      </w:tr>
      <w:tr w:rsidTr="00490F7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r w:rsidRPr="00FC5128">
              <w:t>1.4; 1.8; 1.9; 1.10</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p>
        </w:tc>
      </w:tr>
      <w:tr w:rsidTr="00490F7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r w:rsidRPr="00FC5128">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5128">
            <w:pPr>
              <w:pStyle w:val="BodyText"/>
              <w:rPr>
                <w:lang w:val="en-NZ"/>
              </w:rPr>
            </w:pPr>
            <w:r w:rsidRPr="00FC5128">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128" w:rsidP="00FC5128">
            <w:pPr>
              <w:pStyle w:val="BodyText"/>
            </w:pPr>
          </w:p>
          <w:p w:rsidR="00000000" w:rsidP="00FC5128">
            <w:pPr>
              <w:pStyle w:val="BodyText"/>
              <w:rPr>
                <w:lang w:val="en-NZ"/>
              </w:rPr>
            </w:pPr>
            <w:r w:rsidRPr="00FC5128">
              <w:t>2</w:t>
            </w:r>
          </w:p>
        </w:tc>
      </w:tr>
      <w:tr w:rsidTr="00490F7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r w:rsidRPr="00FC5128">
              <w:t>1.2; 1.3</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p>
        </w:tc>
      </w:tr>
      <w:tr w:rsidTr="00490F7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r w:rsidRPr="00FC5128">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5128">
            <w:pPr>
              <w:pStyle w:val="BodyText"/>
              <w:rPr>
                <w:lang w:val="en-NZ"/>
              </w:rPr>
            </w:pPr>
            <w:r w:rsidRPr="00FC5128">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128" w:rsidP="00FC5128">
            <w:pPr>
              <w:pStyle w:val="BodyText"/>
            </w:pPr>
          </w:p>
          <w:p w:rsidR="00000000" w:rsidP="00FC5128">
            <w:pPr>
              <w:pStyle w:val="BodyText"/>
              <w:rPr>
                <w:lang w:val="en-NZ"/>
              </w:rPr>
            </w:pPr>
            <w:r w:rsidRPr="00FC5128">
              <w:t>2</w:t>
            </w:r>
          </w:p>
        </w:tc>
      </w:tr>
      <w:tr w:rsidTr="00490F7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r w:rsidRPr="00FC5128">
              <w:t>1.2; 1.7; 2.5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p>
        </w:tc>
      </w:tr>
      <w:tr w:rsidTr="00490F7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r w:rsidRPr="00FC5128">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5128">
            <w:pPr>
              <w:pStyle w:val="BodyText"/>
              <w:rPr>
                <w:lang w:val="en-NZ"/>
              </w:rPr>
            </w:pPr>
            <w:r w:rsidRPr="00FC5128">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128" w:rsidP="00FC5128">
            <w:pPr>
              <w:pStyle w:val="BodyText"/>
            </w:pPr>
          </w:p>
          <w:p w:rsidR="00000000" w:rsidP="00FC5128">
            <w:pPr>
              <w:pStyle w:val="BodyText"/>
              <w:rPr>
                <w:lang w:val="en-NZ"/>
              </w:rPr>
            </w:pPr>
            <w:r w:rsidRPr="00FC5128">
              <w:t>2</w:t>
            </w:r>
          </w:p>
        </w:tc>
      </w:tr>
      <w:tr w:rsidTr="00490F7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r w:rsidRPr="00FC5128">
              <w:t>1.2; 1.4; 1.10</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p>
        </w:tc>
      </w:tr>
      <w:tr w:rsidTr="00490F7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r w:rsidRPr="00FC5128">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5128">
            <w:pPr>
              <w:pStyle w:val="BodyText"/>
              <w:rPr>
                <w:lang w:val="en-NZ"/>
              </w:rPr>
            </w:pPr>
            <w:r w:rsidRPr="00FC5128">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128" w:rsidP="00FC5128">
            <w:pPr>
              <w:pStyle w:val="BodyText"/>
            </w:pPr>
          </w:p>
          <w:p w:rsidR="00000000" w:rsidP="00FC5128">
            <w:pPr>
              <w:pStyle w:val="BodyText"/>
              <w:rPr>
                <w:lang w:val="en-NZ"/>
              </w:rPr>
            </w:pPr>
            <w:r w:rsidRPr="00FC5128">
              <w:t>N/A</w:t>
            </w:r>
          </w:p>
        </w:tc>
      </w:tr>
      <w:tr w:rsidTr="00490F7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p>
        </w:tc>
      </w:tr>
      <w:tr w:rsidTr="00490F7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r w:rsidRPr="00FC5128">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5128">
            <w:pPr>
              <w:pStyle w:val="BodyText"/>
              <w:rPr>
                <w:lang w:val="en-NZ"/>
              </w:rPr>
            </w:pPr>
            <w:r w:rsidRPr="00FC5128">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128" w:rsidP="00FC5128">
            <w:pPr>
              <w:pStyle w:val="BodyText"/>
            </w:pPr>
          </w:p>
          <w:p w:rsidR="00000000" w:rsidP="00FC5128">
            <w:pPr>
              <w:pStyle w:val="BodyText"/>
              <w:rPr>
                <w:lang w:val="en-NZ"/>
              </w:rPr>
            </w:pPr>
            <w:r w:rsidRPr="00FC5128">
              <w:t>2</w:t>
            </w:r>
          </w:p>
        </w:tc>
      </w:tr>
      <w:tr w:rsidTr="00490F7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r w:rsidRPr="00FC5128">
              <w:t>2.9</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p>
        </w:tc>
      </w:tr>
      <w:tr w:rsidTr="00490F7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r w:rsidRPr="00FC5128">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5128">
            <w:pPr>
              <w:pStyle w:val="BodyText"/>
              <w:rPr>
                <w:lang w:val="en-NZ"/>
              </w:rPr>
            </w:pPr>
            <w:r w:rsidRPr="00FC5128">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128" w:rsidP="00FC5128">
            <w:pPr>
              <w:pStyle w:val="BodyText"/>
            </w:pPr>
          </w:p>
          <w:p w:rsidR="00000000" w:rsidP="00FC5128">
            <w:pPr>
              <w:pStyle w:val="BodyText"/>
              <w:rPr>
                <w:lang w:val="en-NZ"/>
              </w:rPr>
            </w:pPr>
            <w:r w:rsidRPr="00FC5128">
              <w:t>2</w:t>
            </w:r>
          </w:p>
        </w:tc>
      </w:tr>
      <w:tr w:rsidTr="00490F7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r w:rsidRPr="00FC5128">
              <w:t>3.6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128" w:rsidP="00FC5128">
            <w:pPr>
              <w:pStyle w:val="BodyText"/>
            </w:pPr>
          </w:p>
        </w:tc>
      </w:tr>
    </w:tbl>
    <w:p w:rsidR="00000000" w:rsidRPr="00FC5128" w:rsidP="00FC5128">
      <w:pPr>
        <w:pStyle w:val="BodyText"/>
      </w:pPr>
    </w:p>
    <w:tbl>
      <w:tblPr>
        <w:tblW w:w="0" w:type="auto"/>
        <w:tblLayout w:type="fixed"/>
        <w:tblCellMar>
          <w:left w:w="62" w:type="dxa"/>
          <w:right w:w="62" w:type="dxa"/>
        </w:tblCellMar>
        <w:tblLook w:val="0000"/>
      </w:tblPr>
      <w:tblGrid>
        <w:gridCol w:w="326"/>
        <w:gridCol w:w="1834"/>
        <w:gridCol w:w="6300"/>
      </w:tblGrid>
      <w:tr w:rsidTr="00490F77">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FC5128" w:rsidP="00FC5128">
            <w:pPr>
              <w:pStyle w:val="BodyText"/>
            </w:pPr>
            <w:r w:rsidRPr="00FC5128">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FC5128" w:rsidP="00FC5128">
            <w:pPr>
              <w:pStyle w:val="BodyText"/>
            </w:pPr>
            <w:r w:rsidRPr="00FC5128">
              <w:rPr>
                <w:rStyle w:val="SpecialBold"/>
              </w:rPr>
              <w:t>8</w:t>
            </w:r>
            <w:r w:rsidRPr="00FC5128">
              <w:t>.</w:t>
            </w:r>
            <w:r w:rsidRPr="00FC5128">
              <w:rPr>
                <w:rStyle w:val="SpecialBold"/>
              </w:rPr>
              <w:t>7</w:t>
            </w:r>
            <w:r w:rsidRPr="00FC5128">
              <w:t>)</w:t>
            </w:r>
          </w:p>
          <w:p w:rsidR="00000000" w:rsidP="00FC5128">
            <w:pPr>
              <w:pStyle w:val="BodyText"/>
              <w:rPr>
                <w:lang w:val="en-NZ"/>
              </w:rPr>
            </w:pPr>
            <w:r w:rsidRPr="00FC5128">
              <w:t xml:space="preserve">Evidence that competency in this unit incorporates skills enabling employment is in the context of the following performance. See Volume 2, Part 5 for definitions and an explanation of skills enabling employment. </w:t>
            </w:r>
          </w:p>
        </w:tc>
      </w:tr>
      <w:tr w:rsidTr="00490F77">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128" w:rsidP="00FC5128">
            <w:pPr>
              <w:pStyle w:val="BodyText"/>
            </w:pPr>
            <w:r w:rsidRPr="00FC5128">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r w:rsidRPr="00FC5128">
              <w:rPr>
                <w:rStyle w:val="SpecialBold"/>
              </w:rPr>
              <w:t>Example of Applica</w:t>
            </w:r>
            <w:r w:rsidRPr="00FC5128">
              <w:rPr>
                <w:rStyle w:val="SpecialBold"/>
              </w:rPr>
              <w:t>tion</w:t>
            </w:r>
          </w:p>
        </w:tc>
      </w:tr>
      <w:tr w:rsidTr="00490F7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r w:rsidRPr="00FC5128">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r w:rsidRPr="00FC5128">
              <w:t xml:space="preserve">Developing and using skills within a </w:t>
            </w:r>
            <w:r w:rsidRPr="00FC5128">
              <w:t>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5128">
            <w:pPr>
              <w:pStyle w:val="BodyText"/>
              <w:rPr>
                <w:lang w:val="en-NZ"/>
              </w:rPr>
            </w:pPr>
            <w:r w:rsidRPr="00FC5128">
              <w:t>Refer to the following Performance Criteria for examples of application:</w:t>
            </w:r>
          </w:p>
        </w:tc>
      </w:tr>
      <w:tr w:rsidTr="00490F7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r w:rsidRPr="00FC5128">
              <w:t>All</w:t>
            </w:r>
          </w:p>
        </w:tc>
      </w:tr>
      <w:tr w:rsidTr="00490F7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r w:rsidRPr="00FC5128">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r w:rsidRPr="00FC5128">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5128">
            <w:pPr>
              <w:pStyle w:val="BodyText"/>
              <w:rPr>
                <w:lang w:val="en-NZ"/>
              </w:rPr>
            </w:pPr>
            <w:r w:rsidRPr="00FC5128">
              <w:t>Refer to the following Performance Criteria for examples of application:</w:t>
            </w:r>
          </w:p>
        </w:tc>
      </w:tr>
      <w:tr w:rsidTr="00490F7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r w:rsidRPr="00FC5128">
              <w:t>1.3; 2.11</w:t>
            </w:r>
          </w:p>
        </w:tc>
      </w:tr>
      <w:tr w:rsidTr="00490F7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r w:rsidRPr="00FC5128">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r w:rsidRPr="00FC5128">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5128">
            <w:pPr>
              <w:pStyle w:val="BodyText"/>
              <w:rPr>
                <w:lang w:val="en-NZ"/>
              </w:rPr>
            </w:pPr>
            <w:r w:rsidRPr="00FC5128">
              <w:t>Refer to the following Performance Criteria for examples of application:</w:t>
            </w:r>
          </w:p>
        </w:tc>
      </w:tr>
      <w:tr w:rsidTr="00490F7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r w:rsidRPr="00FC5128">
              <w:t>3.6</w:t>
            </w:r>
          </w:p>
        </w:tc>
      </w:tr>
      <w:tr w:rsidTr="00490F7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r w:rsidRPr="00FC5128">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r w:rsidRPr="00FC5128">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5128">
            <w:pPr>
              <w:pStyle w:val="BodyText"/>
              <w:rPr>
                <w:lang w:val="en-NZ"/>
              </w:rPr>
            </w:pPr>
            <w:r w:rsidRPr="00FC5128">
              <w:t>Refer to the following Performance Criteria for examples of application:</w:t>
            </w:r>
          </w:p>
        </w:tc>
      </w:tr>
      <w:tr w:rsidTr="00490F7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r w:rsidRPr="00FC5128">
              <w:t>1.4; 1.9; 2.11</w:t>
            </w:r>
          </w:p>
        </w:tc>
      </w:tr>
      <w:tr w:rsidTr="00490F7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r w:rsidRPr="00FC5128">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r w:rsidRPr="00FC5128">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5128">
            <w:pPr>
              <w:pStyle w:val="BodyText"/>
              <w:rPr>
                <w:lang w:val="en-NZ"/>
              </w:rPr>
            </w:pPr>
            <w:r w:rsidRPr="00FC5128">
              <w:t>Refer to the following Performance Criteria for examples of application:</w:t>
            </w:r>
          </w:p>
        </w:tc>
      </w:tr>
      <w:tr w:rsidTr="00490F7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r w:rsidRPr="00FC5128">
              <w:t>1.3</w:t>
            </w:r>
          </w:p>
        </w:tc>
      </w:tr>
      <w:tr w:rsidTr="00490F7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r w:rsidRPr="00FC5128">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128">
            <w:pPr>
              <w:pStyle w:val="BodyText"/>
              <w:rPr>
                <w:lang w:val="en-NZ"/>
              </w:rPr>
            </w:pPr>
            <w:r w:rsidRPr="00FC5128">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5128">
            <w:pPr>
              <w:pStyle w:val="BodyText"/>
              <w:rPr>
                <w:lang w:val="en-NZ"/>
              </w:rPr>
            </w:pPr>
            <w:r w:rsidRPr="00FC5128">
              <w:t>Refer to the following Performance Criteria for examples of application:</w:t>
            </w:r>
          </w:p>
        </w:tc>
      </w:tr>
      <w:tr w:rsidTr="00490F7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C5128" w:rsidP="00FC5128">
            <w:pPr>
              <w:pStyle w:val="BodyText"/>
            </w:pPr>
            <w:r w:rsidRPr="00FC5128">
              <w:t>2.11</w:t>
            </w:r>
          </w:p>
        </w:tc>
      </w:tr>
    </w:tbl>
    <w:p w:rsidR="00490F77" w:rsidP="00FC5128">
      <w:pPr>
        <w:pStyle w:val="BodyText"/>
      </w:pPr>
    </w:p>
    <w:p w:rsidR="00490F77" w:rsidP="00FC5128">
      <w:pPr>
        <w:pStyle w:val="BodyText"/>
      </w:pPr>
    </w:p>
    <w:p w:rsidR="00000000" w:rsidRPr="00FC5128" w:rsidP="00FC5128">
      <w:pPr>
        <w:pStyle w:val="Heading1"/>
      </w:pPr>
      <w:bookmarkStart w:id="11" w:name="O_255804"/>
      <w:bookmarkEnd w:id="11"/>
      <w:r w:rsidRPr="00FC5128">
        <w:t>Range Statement</w:t>
      </w:r>
    </w:p>
    <w:tbl>
      <w:tblPr>
        <w:tblW w:w="0" w:type="auto"/>
        <w:tblLayout w:type="fixed"/>
        <w:tblCellMar>
          <w:left w:w="62" w:type="dxa"/>
          <w:right w:w="62" w:type="dxa"/>
        </w:tblCellMar>
        <w:tblLook w:val="0000"/>
      </w:tblPr>
      <w:tblGrid>
        <w:gridCol w:w="8460"/>
      </w:tblGrid>
      <w:tr w:rsidTr="00490F7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rPr>
                <w:rStyle w:val="SpecialBold"/>
              </w:rPr>
              <w:t>RANGE STATEMENT</w:t>
            </w:r>
          </w:p>
        </w:tc>
      </w:tr>
      <w:tr w:rsidTr="00490F7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rPr>
                <w:rStyle w:val="SpecialBold"/>
              </w:rPr>
              <w:t>7</w:t>
            </w:r>
            <w:r w:rsidRPr="00FC5128">
              <w:t>) This relates to the co</w:t>
            </w:r>
            <w:r w:rsidRPr="00FC5128">
              <w:t>mpetency standard unit as a whole providing the range of contexts and conditions to which the Performance Criteria apply. It allows for different work environments and situations that will affect performance.</w:t>
            </w:r>
          </w:p>
        </w:tc>
      </w:tr>
      <w:tr w:rsidTr="00490F7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C5128" w:rsidP="00FC5128">
            <w:pPr>
              <w:pStyle w:val="BodyText"/>
            </w:pPr>
            <w:r w:rsidRPr="00FC5128">
              <w:t>This Competency Standard Unit shall/may be dem</w:t>
            </w:r>
            <w:r w:rsidRPr="00FC5128">
              <w:t>onstrated in relation site control of excavation in the vicinity of a transmission pipeline.</w:t>
            </w:r>
          </w:p>
          <w:p w:rsidR="00000000" w:rsidRPr="00FC5128" w:rsidP="00FC5128">
            <w:pPr>
              <w:pStyle w:val="BodyText"/>
            </w:pPr>
            <w:r w:rsidRPr="00FC5128">
              <w:t>The following constants and variables included in the element/Performance Criteria in this unit are fully described in the Definitions Section of this volume and f</w:t>
            </w:r>
            <w:r w:rsidRPr="00FC5128">
              <w:t>orm an integral part of the Range Statement of this unit:</w:t>
            </w:r>
          </w:p>
          <w:p w:rsidR="00000000" w:rsidRPr="00FC5128" w:rsidP="00FC5128">
            <w:pPr>
              <w:pStyle w:val="BodyText"/>
            </w:pPr>
            <w:r w:rsidRPr="00FC5128">
              <w:t>Tools and equipment (4)</w:t>
            </w:r>
          </w:p>
          <w:p w:rsidR="00000000" w:rsidRPr="00FC5128" w:rsidP="00FC5128">
            <w:pPr>
              <w:pStyle w:val="BodyText"/>
            </w:pPr>
            <w:r w:rsidRPr="00FC5128">
              <w:t>Maps and drawings</w:t>
            </w:r>
          </w:p>
          <w:p w:rsidR="00000000" w:rsidRPr="00FC5128" w:rsidP="00FC5128">
            <w:pPr>
              <w:pStyle w:val="BodyText"/>
            </w:pPr>
            <w:r w:rsidRPr="00FC5128">
              <w:t>Established procedures</w:t>
            </w:r>
          </w:p>
          <w:p w:rsidR="00000000" w:rsidRPr="00FC5128" w:rsidP="00FC5128">
            <w:pPr>
              <w:pStyle w:val="BodyText"/>
            </w:pPr>
            <w:r w:rsidRPr="00FC5128">
              <w:t>PPE and First Aid equipment</w:t>
            </w:r>
          </w:p>
          <w:p w:rsidR="00000000" w:rsidRPr="00FC5128" w:rsidP="00FC5128">
            <w:pPr>
              <w:pStyle w:val="BodyText"/>
            </w:pPr>
            <w:r w:rsidRPr="00FC5128">
              <w:t>Traffic control</w:t>
            </w:r>
          </w:p>
          <w:p w:rsidR="00000000" w:rsidRPr="00FC5128" w:rsidP="00FC5128">
            <w:pPr>
              <w:pStyle w:val="BodyText"/>
            </w:pPr>
            <w:r w:rsidRPr="00FC5128">
              <w:t xml:space="preserve">Facility </w:t>
            </w:r>
          </w:p>
          <w:p w:rsidR="00000000" w:rsidRPr="00FC5128" w:rsidP="00FC5128">
            <w:pPr>
              <w:pStyle w:val="BodyText"/>
            </w:pPr>
            <w:r w:rsidRPr="00FC5128">
              <w:t>Event</w:t>
            </w:r>
          </w:p>
        </w:tc>
      </w:tr>
    </w:tbl>
    <w:p w:rsidR="00490F77" w:rsidP="00FC5128">
      <w:pPr>
        <w:pStyle w:val="BodyText"/>
      </w:pPr>
    </w:p>
    <w:p w:rsidR="00490F77" w:rsidP="00FC5128">
      <w:pPr>
        <w:pStyle w:val="BodyText"/>
      </w:pPr>
    </w:p>
    <w:p w:rsidR="00000000" w:rsidRPr="00FC5128" w:rsidP="00FC5128">
      <w:pPr>
        <w:pStyle w:val="Heading1"/>
      </w:pPr>
      <w:bookmarkStart w:id="12" w:name="O_296817"/>
      <w:bookmarkEnd w:id="12"/>
      <w:r w:rsidRPr="00FC5128">
        <w:t>Unit Sector(s)</w:t>
      </w:r>
    </w:p>
    <w:p w:rsidR="00000000" w:rsidRPr="00FC5128" w:rsidP="00FC5128">
      <w:pPr>
        <w:pStyle w:val="BodyText"/>
      </w:pPr>
      <w:r w:rsidRPr="00FC5128">
        <w:t>Not Applicable</w:t>
      </w:r>
    </w:p>
    <w:p w:rsidR="00000000" w:rsidRPr="00FC5128" w:rsidP="00FC5128">
      <w:pPr>
        <w:pStyle w:val="AllowPageBreak"/>
      </w:pPr>
    </w:p>
    <w:p w:rsidR="00000000" w:rsidRPr="00FC5128" w:rsidP="00FC5128">
      <w:pPr>
        <w:pStyle w:val="Heading1"/>
      </w:pPr>
      <w:bookmarkStart w:id="13" w:name="O_229561"/>
      <w:bookmarkEnd w:id="13"/>
      <w:r w:rsidRPr="00FC5128">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490F7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5128" w:rsidP="00FC5128">
            <w:pPr>
              <w:pStyle w:val="BodyText"/>
            </w:pPr>
            <w:r w:rsidRPr="00FC512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FC5128" w:rsidP="00FC5128">
            <w:pPr>
              <w:pStyle w:val="BodyText"/>
            </w:pPr>
            <w:r w:rsidRPr="00FC5128">
              <w:rPr>
                <w:rStyle w:val="SpecialBold"/>
              </w:rPr>
              <w:t>2</w:t>
            </w:r>
            <w:r w:rsidRPr="00FC5128">
              <w:t>.</w:t>
            </w:r>
            <w:r w:rsidRPr="00FC5128">
              <w:rPr>
                <w:rStyle w:val="SpecialBold"/>
              </w:rPr>
              <w:t>2</w:t>
            </w:r>
            <w:r w:rsidRPr="00FC5128">
              <w:t xml:space="preserve">) </w:t>
            </w:r>
          </w:p>
          <w:p w:rsidR="00000000" w:rsidP="00FC5128">
            <w:pPr>
              <w:pStyle w:val="BodyText"/>
              <w:rPr>
                <w:lang w:val="en-NZ"/>
              </w:rPr>
            </w:pPr>
            <w:r w:rsidRPr="00FC5128">
              <w:t xml:space="preserve">Participants are best equipped to achieve this unit if they have reading, writing and numeracy skills indicated by the following scales. Description of each scale is given in Volume 2, Part 3 </w:t>
            </w:r>
            <w:r w:rsidRPr="00FC5128">
              <w:t>'Literacy and Numeracy'</w:t>
            </w:r>
          </w:p>
        </w:tc>
      </w:tr>
      <w:tr w:rsidTr="00490F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Reading</w:t>
            </w:r>
          </w:p>
        </w:tc>
        <w:tc>
          <w:tcPr>
            <w:tcW w:w="805"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4</w:t>
            </w:r>
          </w:p>
        </w:tc>
        <w:tc>
          <w:tcPr>
            <w:tcW w:w="1184"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Writing</w:t>
            </w:r>
          </w:p>
        </w:tc>
        <w:tc>
          <w:tcPr>
            <w:tcW w:w="805"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4</w:t>
            </w:r>
          </w:p>
        </w:tc>
        <w:tc>
          <w:tcPr>
            <w:tcW w:w="1172"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t>Numeracy</w:t>
            </w:r>
          </w:p>
        </w:tc>
        <w:tc>
          <w:tcPr>
            <w:tcW w:w="805" w:type="dxa"/>
            <w:tcBorders>
              <w:top w:val="nil"/>
              <w:left w:val="nil"/>
              <w:bottom w:val="nil"/>
              <w:right w:val="nil"/>
            </w:tcBorders>
            <w:tcMar>
              <w:top w:w="0" w:type="dxa"/>
              <w:left w:w="62" w:type="dxa"/>
              <w:bottom w:w="0" w:type="dxa"/>
              <w:right w:w="62" w:type="dxa"/>
            </w:tcMar>
          </w:tcPr>
          <w:p w:rsidR="00000000" w:rsidRPr="00FC5128" w:rsidP="00FC5128">
            <w:pPr>
              <w:pStyle w:val="BodyText"/>
            </w:pPr>
            <w:r w:rsidRPr="00FC5128">
              <w:t>4</w:t>
            </w:r>
          </w:p>
        </w:tc>
      </w:tr>
    </w:tbl>
    <w:p w:rsidR="00490F77" w:rsidP="00FC5128">
      <w:pPr>
        <w:pStyle w:val="BodyText"/>
      </w:pPr>
    </w:p>
    <w:p w:rsidR="00490F77" w:rsidP="00FC5128">
      <w:pPr>
        <w:pStyle w:val="BodyText"/>
      </w:pPr>
    </w:p>
    <w:p w:rsidR="00000000" w:rsidRPr="00FC5128" w:rsidP="00FC5128">
      <w:pPr>
        <w:pStyle w:val="Heading1"/>
      </w:pPr>
      <w:bookmarkStart w:id="14" w:name="O_229564"/>
      <w:bookmarkEnd w:id="14"/>
      <w:r w:rsidRPr="00FC5128">
        <w:t>Competency Field</w:t>
      </w:r>
    </w:p>
    <w:tbl>
      <w:tblPr>
        <w:tblW w:w="0" w:type="auto"/>
        <w:tblLayout w:type="fixed"/>
        <w:tblCellMar>
          <w:left w:w="62" w:type="dxa"/>
          <w:right w:w="62" w:type="dxa"/>
        </w:tblCellMar>
        <w:tblLook w:val="0000"/>
      </w:tblPr>
      <w:tblGrid>
        <w:gridCol w:w="2700"/>
        <w:gridCol w:w="5760"/>
      </w:tblGrid>
      <w:tr w:rsidTr="00490F7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5128" w:rsidP="00FC5128">
            <w:pPr>
              <w:pStyle w:val="BodyText"/>
            </w:pPr>
            <w:r w:rsidRPr="00FC512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C5128">
            <w:pPr>
              <w:pStyle w:val="BodyText"/>
              <w:rPr>
                <w:lang w:val="en-NZ"/>
              </w:rPr>
            </w:pPr>
            <w:r w:rsidRPr="00FC5128">
              <w:rPr>
                <w:rStyle w:val="SpecialBold"/>
              </w:rPr>
              <w:t>4</w:t>
            </w:r>
            <w:r w:rsidRPr="00FC5128">
              <w:t xml:space="preserve">) </w:t>
            </w:r>
          </w:p>
        </w:tc>
      </w:tr>
      <w:tr w:rsidTr="00490F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5128" w:rsidP="00FC5128">
            <w:pPr>
              <w:pStyle w:val="BodyText"/>
            </w:pPr>
            <w:r w:rsidRPr="00FC5128">
              <w:t>Transmission.</w:t>
            </w:r>
          </w:p>
        </w:tc>
      </w:tr>
    </w:tbl>
    <w:p w:rsidR="00490F77" w:rsidP="00FC5128">
      <w:pPr>
        <w:pStyle w:val="BodyText"/>
      </w:pPr>
    </w:p>
    <w:p w:rsidR="00490F77" w:rsidP="00FC5128">
      <w:pPr>
        <w:pStyle w:val="BodyText"/>
      </w:pPr>
    </w:p>
    <w:p w:rsidR="00000000" w:rsidRPr="00FC5128" w:rsidP="00FC5128"/>
    <w:sectPr w:rsidSect="00FC51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1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0F77" w:rsidP="00490F7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1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F77" w:rsidP="00FC512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490F77" w:rsidP="00FC51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90F77" w:rsidP="00FC51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1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128" w:rsidRPr="00490F77" w:rsidP="00490F7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1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F77" w:rsidRPr="002D2AF8" w:rsidP="00FC5128">
    <w:pPr>
      <w:pStyle w:val="Header"/>
      <w:framePr w:wrap="around"/>
    </w:pPr>
    <w:r>
      <w:fldChar w:fldCharType="begin"/>
    </w:r>
    <w:r>
      <w:instrText xml:space="preserve"> TITLE   \* MERGEFORMAT </w:instrText>
    </w:r>
    <w:r>
      <w:fldChar w:fldCharType="separate"/>
    </w:r>
    <w:r>
      <w:t>UEGNSG316A Site control of excavations in the vicinity of a transmission pipeline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490F77" w:rsidP="00FC51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9671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A252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0292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1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5128"/>
    <w:pPr>
      <w:spacing w:before="360" w:after="60"/>
      <w:outlineLvl w:val="0"/>
    </w:pPr>
    <w:rPr>
      <w:sz w:val="32"/>
    </w:rPr>
  </w:style>
  <w:style w:type="paragraph" w:styleId="Heading2">
    <w:name w:val="heading 2"/>
    <w:basedOn w:val="HeadingBase"/>
    <w:next w:val="BodyText"/>
    <w:link w:val="Heading2Char"/>
    <w:qFormat/>
    <w:rsid w:val="00FC5128"/>
    <w:pPr>
      <w:keepLines/>
      <w:spacing w:before="240" w:after="120"/>
      <w:outlineLvl w:val="1"/>
    </w:pPr>
    <w:rPr>
      <w:sz w:val="28"/>
      <w:szCs w:val="40"/>
    </w:rPr>
  </w:style>
  <w:style w:type="paragraph" w:styleId="Heading3">
    <w:name w:val="heading 3"/>
    <w:basedOn w:val="HeadingBase"/>
    <w:next w:val="BodyText"/>
    <w:link w:val="Heading3Char"/>
    <w:qFormat/>
    <w:rsid w:val="00FC5128"/>
    <w:pPr>
      <w:spacing w:before="180" w:after="120"/>
      <w:outlineLvl w:val="2"/>
    </w:pPr>
    <w:rPr>
      <w:spacing w:val="-10"/>
      <w:kern w:val="32"/>
    </w:rPr>
  </w:style>
  <w:style w:type="paragraph" w:styleId="Heading4">
    <w:name w:val="heading 4"/>
    <w:basedOn w:val="HeadingBase"/>
    <w:next w:val="BodyText"/>
    <w:link w:val="Heading4Char"/>
    <w:qFormat/>
    <w:rsid w:val="00FC5128"/>
    <w:pPr>
      <w:spacing w:before="160" w:after="120"/>
      <w:outlineLvl w:val="3"/>
    </w:pPr>
    <w:rPr>
      <w:sz w:val="22"/>
    </w:rPr>
  </w:style>
  <w:style w:type="paragraph" w:styleId="Heading5">
    <w:name w:val="heading 5"/>
    <w:basedOn w:val="HeadingBase"/>
    <w:next w:val="Normal"/>
    <w:link w:val="Heading5Char"/>
    <w:qFormat/>
    <w:rsid w:val="00FC5128"/>
    <w:pPr>
      <w:spacing w:before="80"/>
      <w:outlineLvl w:val="4"/>
    </w:pPr>
    <w:rPr>
      <w:color w:val="918585"/>
      <w:sz w:val="20"/>
    </w:rPr>
  </w:style>
  <w:style w:type="paragraph" w:styleId="Heading6">
    <w:name w:val="heading 6"/>
    <w:basedOn w:val="HeadingBase"/>
    <w:next w:val="Normal"/>
    <w:link w:val="Heading6Char"/>
    <w:qFormat/>
    <w:rsid w:val="00FC5128"/>
    <w:pPr>
      <w:spacing w:before="60"/>
      <w:outlineLvl w:val="5"/>
    </w:pPr>
    <w:rPr>
      <w:color w:val="918585"/>
      <w:sz w:val="20"/>
    </w:rPr>
  </w:style>
  <w:style w:type="paragraph" w:styleId="Heading7">
    <w:name w:val="heading 7"/>
    <w:basedOn w:val="Normal"/>
    <w:next w:val="Normal"/>
    <w:link w:val="Heading7Char"/>
    <w:qFormat/>
    <w:rsid w:val="00FC5128"/>
    <w:pPr>
      <w:ind w:left="720"/>
      <w:outlineLvl w:val="6"/>
    </w:pPr>
    <w:rPr>
      <w:i/>
    </w:rPr>
  </w:style>
  <w:style w:type="paragraph" w:styleId="Heading8">
    <w:name w:val="heading 8"/>
    <w:basedOn w:val="Normal"/>
    <w:next w:val="Normal"/>
    <w:link w:val="Heading8Char"/>
    <w:qFormat/>
    <w:rsid w:val="00FC5128"/>
    <w:pPr>
      <w:ind w:left="720"/>
      <w:outlineLvl w:val="7"/>
    </w:pPr>
    <w:rPr>
      <w:i/>
    </w:rPr>
  </w:style>
  <w:style w:type="paragraph" w:styleId="Heading9">
    <w:name w:val="heading 9"/>
    <w:basedOn w:val="Normal"/>
    <w:next w:val="Normal"/>
    <w:link w:val="Heading9Char"/>
    <w:qFormat/>
    <w:rsid w:val="00FC5128"/>
    <w:pPr>
      <w:ind w:left="720"/>
      <w:outlineLvl w:val="8"/>
    </w:pPr>
    <w:rPr>
      <w:i/>
    </w:rPr>
  </w:style>
  <w:style w:type="character" w:default="1" w:styleId="DefaultParagraphFont">
    <w:name w:val="Default Paragraph Font"/>
    <w:uiPriority w:val="1"/>
    <w:unhideWhenUsed/>
    <w:rsid w:val="00FC51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5128"/>
  </w:style>
  <w:style w:type="character" w:customStyle="1" w:styleId="Heading1Char">
    <w:name w:val="Heading 1 Char"/>
    <w:basedOn w:val="DefaultParagraphFont"/>
    <w:link w:val="Heading1"/>
    <w:rsid w:val="00FC5128"/>
    <w:rPr>
      <w:rFonts w:ascii="Times New Roman" w:eastAsia="Times New Roman" w:hAnsi="Times New Roman" w:cs="Times New Roman"/>
      <w:b/>
      <w:sz w:val="32"/>
      <w:szCs w:val="20"/>
      <w:lang w:eastAsia="en-US"/>
    </w:rPr>
  </w:style>
  <w:style w:type="paragraph" w:styleId="BodyText">
    <w:name w:val="Body Text"/>
    <w:basedOn w:val="Normal"/>
    <w:link w:val="BodyTextChar"/>
    <w:rsid w:val="00FC51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5128"/>
    <w:rPr>
      <w:rFonts w:ascii="Times New Roman" w:eastAsia="Times New Roman" w:hAnsi="Times New Roman" w:cs="Times New Roman"/>
      <w:sz w:val="24"/>
      <w:lang w:eastAsia="en-US"/>
    </w:rPr>
  </w:style>
  <w:style w:type="paragraph" w:styleId="Footer">
    <w:name w:val="footer"/>
    <w:basedOn w:val="Normal"/>
    <w:link w:val="FooterChar"/>
    <w:rsid w:val="00FC51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5128"/>
    <w:rPr>
      <w:rFonts w:ascii="Times New Roman" w:eastAsia="Times New Roman" w:hAnsi="Times New Roman" w:cs="Times New Roman"/>
      <w:sz w:val="16"/>
      <w:lang w:eastAsia="en-US"/>
    </w:rPr>
  </w:style>
  <w:style w:type="paragraph" w:styleId="ListBullet">
    <w:name w:val="List Bullet"/>
    <w:basedOn w:val="List"/>
    <w:rsid w:val="00FC5128"/>
    <w:pPr>
      <w:numPr>
        <w:numId w:val="13"/>
      </w:numPr>
      <w:tabs>
        <w:tab w:val="clear" w:pos="340"/>
      </w:tabs>
      <w:spacing w:before="40" w:after="40"/>
    </w:pPr>
  </w:style>
  <w:style w:type="character" w:customStyle="1" w:styleId="SpecialBold">
    <w:name w:val="Special Bold"/>
    <w:basedOn w:val="DefaultParagraphFont"/>
    <w:rsid w:val="00FC5128"/>
    <w:rPr>
      <w:b/>
      <w:spacing w:val="0"/>
    </w:rPr>
  </w:style>
  <w:style w:type="paragraph" w:styleId="ListBullet2">
    <w:name w:val="List Bullet 2"/>
    <w:basedOn w:val="List2"/>
    <w:rsid w:val="00FC5128"/>
    <w:pPr>
      <w:numPr>
        <w:numId w:val="14"/>
      </w:numPr>
      <w:tabs>
        <w:tab w:val="clear" w:pos="680"/>
      </w:tabs>
    </w:pPr>
  </w:style>
  <w:style w:type="paragraph" w:customStyle="1" w:styleId="SuperHeading">
    <w:name w:val="SuperHeading"/>
    <w:basedOn w:val="Normal"/>
    <w:rsid w:val="00FC5128"/>
    <w:pPr>
      <w:spacing w:before="240" w:after="120"/>
      <w:outlineLvl w:val="0"/>
    </w:pPr>
    <w:rPr>
      <w:rFonts w:ascii="Times New Roman" w:hAnsi="Times New Roman"/>
      <w:b/>
      <w:sz w:val="28"/>
    </w:rPr>
  </w:style>
  <w:style w:type="paragraph" w:customStyle="1" w:styleId="AllowPageBreak">
    <w:name w:val="AllowPageBreak"/>
    <w:rsid w:val="00FC51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51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51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51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51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51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51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51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5128"/>
    <w:rPr>
      <w:rFonts w:ascii="Courier New" w:eastAsia="Times New Roman" w:hAnsi="Courier New" w:cs="Times New Roman"/>
      <w:i/>
      <w:szCs w:val="20"/>
      <w:lang w:eastAsia="en-US"/>
    </w:rPr>
  </w:style>
  <w:style w:type="paragraph" w:customStyle="1" w:styleId="HeadingBase">
    <w:name w:val="Heading Base"/>
    <w:rsid w:val="00FC51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5128"/>
    <w:pPr>
      <w:tabs>
        <w:tab w:val="right" w:leader="dot" w:pos="9072"/>
      </w:tabs>
      <w:ind w:left="567"/>
    </w:pPr>
    <w:rPr>
      <w:szCs w:val="22"/>
    </w:rPr>
  </w:style>
  <w:style w:type="paragraph" w:customStyle="1" w:styleId="TOCBase">
    <w:name w:val="TOC Base"/>
    <w:rsid w:val="00FC51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5128"/>
    <w:pPr>
      <w:tabs>
        <w:tab w:val="right" w:leader="dot" w:pos="9072"/>
      </w:tabs>
      <w:spacing w:before="40" w:after="40"/>
      <w:ind w:left="284"/>
    </w:pPr>
    <w:rPr>
      <w:rFonts w:ascii="Times New Roman" w:hAnsi="Times New Roman"/>
    </w:rPr>
  </w:style>
  <w:style w:type="paragraph" w:styleId="TOC1">
    <w:name w:val="toc 1"/>
    <w:basedOn w:val="TOCBase"/>
    <w:next w:val="Normal"/>
    <w:rsid w:val="00FC51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5128"/>
    <w:pPr>
      <w:spacing w:before="5040"/>
      <w:jc w:val="center"/>
    </w:pPr>
    <w:rPr>
      <w:sz w:val="48"/>
      <w:szCs w:val="72"/>
      <w:lang w:val="en-US"/>
    </w:rPr>
  </w:style>
  <w:style w:type="character" w:customStyle="1" w:styleId="TitleChar">
    <w:name w:val="Title Char"/>
    <w:basedOn w:val="DefaultParagraphFont"/>
    <w:link w:val="Title"/>
    <w:rsid w:val="00FC51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5128"/>
    <w:pPr>
      <w:tabs>
        <w:tab w:val="left" w:pos="3600"/>
        <w:tab w:val="left" w:pos="3958"/>
      </w:tabs>
    </w:pPr>
  </w:style>
  <w:style w:type="paragraph" w:styleId="List">
    <w:name w:val="List"/>
    <w:basedOn w:val="BodyText"/>
    <w:next w:val="BodyText"/>
    <w:rsid w:val="00FC5128"/>
    <w:pPr>
      <w:tabs>
        <w:tab w:val="left" w:pos="340"/>
      </w:tabs>
      <w:spacing w:before="60" w:after="60"/>
      <w:ind w:left="340" w:hanging="340"/>
    </w:pPr>
  </w:style>
  <w:style w:type="paragraph" w:customStyle="1" w:styleId="Note">
    <w:name w:val="Note"/>
    <w:basedOn w:val="BodyText"/>
    <w:rsid w:val="00FC51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5128"/>
    <w:pPr>
      <w:framePr w:wrap="auto" w:hAnchor="text" w:y="6049"/>
    </w:pPr>
    <w:rPr>
      <w:color w:val="000000"/>
      <w:sz w:val="40"/>
    </w:rPr>
  </w:style>
  <w:style w:type="paragraph" w:customStyle="1" w:styleId="TOCTitle">
    <w:name w:val="TOCTitle"/>
    <w:basedOn w:val="Heading1"/>
    <w:rsid w:val="00FC5128"/>
    <w:pPr>
      <w:spacing w:after="240"/>
      <w:jc w:val="center"/>
      <w:outlineLvl w:val="9"/>
    </w:pPr>
    <w:rPr>
      <w:caps/>
    </w:rPr>
  </w:style>
  <w:style w:type="paragraph" w:customStyle="1" w:styleId="Version">
    <w:name w:val="Version"/>
    <w:rsid w:val="00FC51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5128"/>
    <w:pPr>
      <w:keepNext w:val="0"/>
      <w:tabs>
        <w:tab w:val="right" w:pos="4176"/>
      </w:tabs>
      <w:ind w:left="198" w:hanging="198"/>
    </w:pPr>
    <w:rPr>
      <w:rFonts w:ascii="Garamond" w:hAnsi="Garamond"/>
    </w:rPr>
  </w:style>
  <w:style w:type="paragraph" w:styleId="IndexHeading">
    <w:name w:val="index heading"/>
    <w:basedOn w:val="Normal"/>
    <w:next w:val="Index1"/>
    <w:semiHidden/>
    <w:rsid w:val="00FC5128"/>
    <w:pPr>
      <w:spacing w:before="120" w:after="120"/>
    </w:pPr>
    <w:rPr>
      <w:rFonts w:ascii="Arial" w:hAnsi="Arial"/>
      <w:b/>
      <w:color w:val="918585"/>
      <w:sz w:val="24"/>
    </w:rPr>
  </w:style>
  <w:style w:type="paragraph" w:styleId="Header">
    <w:name w:val="header"/>
    <w:basedOn w:val="Normal"/>
    <w:link w:val="HeaderChar"/>
    <w:rsid w:val="00FC51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5128"/>
    <w:rPr>
      <w:rFonts w:ascii="Times New Roman" w:eastAsia="Times New Roman" w:hAnsi="Times New Roman" w:cs="Times New Roman"/>
      <w:sz w:val="16"/>
      <w:szCs w:val="20"/>
      <w:lang w:val="en-GB" w:eastAsia="en-US"/>
    </w:rPr>
  </w:style>
  <w:style w:type="paragraph" w:customStyle="1" w:styleId="Chapter">
    <w:name w:val="Chapter"/>
    <w:basedOn w:val="Normal"/>
    <w:rsid w:val="00FC5128"/>
    <w:pPr>
      <w:spacing w:before="240"/>
    </w:pPr>
    <w:rPr>
      <w:rFonts w:ascii="Times New Roman" w:hAnsi="Times New Roman"/>
      <w:smallCaps/>
      <w:spacing w:val="80"/>
      <w:sz w:val="28"/>
    </w:rPr>
  </w:style>
  <w:style w:type="paragraph" w:customStyle="1" w:styleId="InChapter">
    <w:name w:val="InChapter"/>
    <w:basedOn w:val="Heading3"/>
    <w:rsid w:val="00FC5128"/>
    <w:pPr>
      <w:spacing w:after="240"/>
      <w:outlineLvl w:val="9"/>
    </w:pPr>
    <w:rPr>
      <w:noProof/>
    </w:rPr>
  </w:style>
  <w:style w:type="paragraph" w:styleId="Index2">
    <w:name w:val="index 2"/>
    <w:basedOn w:val="Normal"/>
    <w:next w:val="Normal"/>
    <w:semiHidden/>
    <w:rsid w:val="00FC5128"/>
    <w:pPr>
      <w:tabs>
        <w:tab w:val="right" w:pos="4176"/>
      </w:tabs>
      <w:ind w:left="568" w:hanging="284"/>
    </w:pPr>
    <w:rPr>
      <w:rFonts w:ascii="Garamond" w:hAnsi="Garamond"/>
    </w:rPr>
  </w:style>
  <w:style w:type="paragraph" w:customStyle="1" w:styleId="Byline">
    <w:name w:val="Byline"/>
    <w:rsid w:val="00FC51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5128"/>
    <w:pPr>
      <w:tabs>
        <w:tab w:val="clear" w:pos="3600"/>
        <w:tab w:val="clear" w:pos="3958"/>
      </w:tabs>
      <w:jc w:val="right"/>
    </w:pPr>
  </w:style>
  <w:style w:type="character" w:styleId="Emphasis">
    <w:name w:val="Emphasis"/>
    <w:basedOn w:val="DefaultParagraphFont"/>
    <w:qFormat/>
    <w:rsid w:val="00FC5128"/>
    <w:rPr>
      <w:i/>
    </w:rPr>
  </w:style>
  <w:style w:type="paragraph" w:styleId="Caption">
    <w:name w:val="caption"/>
    <w:basedOn w:val="BodyText"/>
    <w:next w:val="Normal"/>
    <w:qFormat/>
    <w:rsid w:val="00FC5128"/>
    <w:pPr>
      <w:framePr w:w="2268" w:hSpace="181" w:vSpace="181" w:wrap="around" w:vAnchor="text" w:hAnchor="page" w:x="1135" w:y="285" w:anchorLock="1"/>
    </w:pPr>
    <w:rPr>
      <w:i/>
    </w:rPr>
  </w:style>
  <w:style w:type="paragraph" w:customStyle="1" w:styleId="MiniTOCTitle">
    <w:name w:val="MiniTOCTitle"/>
    <w:basedOn w:val="Heading4"/>
    <w:rsid w:val="00FC5128"/>
    <w:pPr>
      <w:spacing w:before="240"/>
      <w:outlineLvl w:val="9"/>
    </w:pPr>
    <w:rPr>
      <w:noProof/>
      <w:sz w:val="24"/>
    </w:rPr>
  </w:style>
  <w:style w:type="paragraph" w:customStyle="1" w:styleId="MiniTOCItem">
    <w:name w:val="MiniTOCItem"/>
    <w:basedOn w:val="ListBullet"/>
    <w:rsid w:val="00FC5128"/>
    <w:pPr>
      <w:numPr>
        <w:numId w:val="0"/>
      </w:numPr>
      <w:tabs>
        <w:tab w:val="right" w:leader="dot" w:pos="6521"/>
      </w:tabs>
      <w:spacing w:before="0" w:after="0"/>
    </w:pPr>
  </w:style>
  <w:style w:type="paragraph" w:customStyle="1" w:styleId="TOFTitle">
    <w:name w:val="TOFTitle"/>
    <w:basedOn w:val="TOCTitle"/>
    <w:rsid w:val="00FC5128"/>
  </w:style>
  <w:style w:type="paragraph" w:styleId="TableofFigures">
    <w:name w:val="table of figures"/>
    <w:basedOn w:val="Normal"/>
    <w:next w:val="Normal"/>
    <w:semiHidden/>
    <w:rsid w:val="00FC5128"/>
    <w:pPr>
      <w:tabs>
        <w:tab w:val="right" w:leader="dot" w:pos="9072"/>
      </w:tabs>
      <w:ind w:left="970" w:hanging="403"/>
    </w:pPr>
    <w:rPr>
      <w:rFonts w:ascii="Times New Roman" w:hAnsi="Times New Roman"/>
      <w:b/>
    </w:rPr>
  </w:style>
  <w:style w:type="paragraph" w:styleId="ListNumber">
    <w:name w:val="List Number"/>
    <w:basedOn w:val="List"/>
    <w:rsid w:val="00FC5128"/>
    <w:pPr>
      <w:numPr>
        <w:numId w:val="11"/>
      </w:numPr>
    </w:pPr>
  </w:style>
  <w:style w:type="character" w:customStyle="1" w:styleId="WingdingSymbols">
    <w:name w:val="Wingding Symbols"/>
    <w:rsid w:val="00FC5128"/>
    <w:rPr>
      <w:rFonts w:ascii="Wingdings" w:hAnsi="Wingdings"/>
    </w:rPr>
  </w:style>
  <w:style w:type="paragraph" w:customStyle="1" w:styleId="TableHeading">
    <w:name w:val="Table Heading"/>
    <w:basedOn w:val="HeadingBase"/>
    <w:rsid w:val="00FC5128"/>
    <w:pPr>
      <w:keepLines/>
      <w:pBdr>
        <w:bottom w:val="single" w:sz="6" w:space="1" w:color="918585"/>
      </w:pBdr>
      <w:spacing w:before="240"/>
    </w:pPr>
  </w:style>
  <w:style w:type="character" w:customStyle="1" w:styleId="HotSpot">
    <w:name w:val="HotSpot"/>
    <w:rsid w:val="00FC5128"/>
    <w:rPr>
      <w:color w:val="0033CC"/>
      <w:u w:val="none"/>
    </w:rPr>
  </w:style>
  <w:style w:type="paragraph" w:customStyle="1" w:styleId="BodyTextRight">
    <w:name w:val="Body Text Right"/>
    <w:basedOn w:val="BodyText"/>
    <w:rsid w:val="00FC5128"/>
    <w:pPr>
      <w:spacing w:before="0" w:after="0"/>
      <w:jc w:val="right"/>
    </w:pPr>
  </w:style>
  <w:style w:type="paragraph" w:styleId="Index3">
    <w:name w:val="index 3"/>
    <w:basedOn w:val="ListNumber2"/>
    <w:next w:val="Normal"/>
    <w:semiHidden/>
    <w:rsid w:val="00FC5128"/>
    <w:pPr>
      <w:numPr>
        <w:numId w:val="0"/>
      </w:numPr>
      <w:tabs>
        <w:tab w:val="right" w:leader="dot" w:pos="4176"/>
      </w:tabs>
    </w:pPr>
  </w:style>
  <w:style w:type="paragraph" w:styleId="ListNumber2">
    <w:name w:val="List Number 2"/>
    <w:basedOn w:val="List2"/>
    <w:rsid w:val="00FC5128"/>
    <w:pPr>
      <w:numPr>
        <w:numId w:val="10"/>
      </w:numPr>
      <w:tabs>
        <w:tab w:val="clear" w:pos="1060"/>
      </w:tabs>
    </w:pPr>
  </w:style>
  <w:style w:type="paragraph" w:customStyle="1" w:styleId="MarginNote">
    <w:name w:val="Margin Note"/>
    <w:basedOn w:val="BodyText"/>
    <w:rsid w:val="00FC51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51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51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5128"/>
    <w:rPr>
      <w:sz w:val="32"/>
    </w:rPr>
  </w:style>
  <w:style w:type="paragraph" w:customStyle="1" w:styleId="HeadingProcedure">
    <w:name w:val="Heading Procedure"/>
    <w:basedOn w:val="HeadingBase"/>
    <w:next w:val="Normal"/>
    <w:rsid w:val="00FC5128"/>
    <w:pPr>
      <w:tabs>
        <w:tab w:val="left" w:pos="0"/>
      </w:tabs>
      <w:spacing w:before="120" w:after="60"/>
    </w:pPr>
    <w:rPr>
      <w:i/>
      <w:color w:val="918585"/>
      <w:sz w:val="22"/>
    </w:rPr>
  </w:style>
  <w:style w:type="paragraph" w:customStyle="1" w:styleId="TableBodyText">
    <w:name w:val="Table Body Text"/>
    <w:basedOn w:val="BodyText"/>
    <w:rsid w:val="00FC5128"/>
    <w:pPr>
      <w:spacing w:before="60" w:after="60"/>
    </w:pPr>
  </w:style>
  <w:style w:type="paragraph" w:styleId="ListContinue">
    <w:name w:val="List Continue"/>
    <w:basedOn w:val="List"/>
    <w:rsid w:val="00FC5128"/>
    <w:pPr>
      <w:ind w:firstLine="0"/>
    </w:pPr>
  </w:style>
  <w:style w:type="paragraph" w:customStyle="1" w:styleId="ListNote">
    <w:name w:val="List Note"/>
    <w:basedOn w:val="List"/>
    <w:rsid w:val="00FC5128"/>
    <w:pPr>
      <w:pBdr>
        <w:top w:val="single" w:sz="6" w:space="2" w:color="918585"/>
        <w:bottom w:val="single" w:sz="6" w:space="2" w:color="918585"/>
      </w:pBdr>
      <w:tabs>
        <w:tab w:val="left" w:pos="1021"/>
      </w:tabs>
      <w:ind w:firstLine="0"/>
    </w:pPr>
  </w:style>
  <w:style w:type="paragraph" w:customStyle="1" w:styleId="Warning">
    <w:name w:val="Warning"/>
    <w:basedOn w:val="BodyText"/>
    <w:rsid w:val="00FC5128"/>
    <w:pPr>
      <w:shd w:val="clear" w:color="auto" w:fill="D9D9D9"/>
      <w:tabs>
        <w:tab w:val="left" w:pos="992"/>
      </w:tabs>
      <w:ind w:left="119" w:right="119"/>
    </w:pPr>
    <w:rPr>
      <w:sz w:val="20"/>
    </w:rPr>
  </w:style>
  <w:style w:type="paragraph" w:customStyle="1" w:styleId="MarginIcons">
    <w:name w:val="Margin Icons"/>
    <w:basedOn w:val="BodyText"/>
    <w:rsid w:val="00FC51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5128"/>
    <w:rPr>
      <w:rFonts w:ascii="Courier New" w:hAnsi="Courier New"/>
    </w:rPr>
  </w:style>
  <w:style w:type="paragraph" w:customStyle="1" w:styleId="NoteBullet">
    <w:name w:val="Note Bullet"/>
    <w:basedOn w:val="Note"/>
    <w:rsid w:val="00FC5128"/>
    <w:pPr>
      <w:tabs>
        <w:tab w:val="clear" w:pos="680"/>
      </w:tabs>
      <w:spacing w:before="60" w:after="60"/>
    </w:pPr>
  </w:style>
  <w:style w:type="paragraph" w:customStyle="1" w:styleId="SubHeading2">
    <w:name w:val="SubHeading2"/>
    <w:basedOn w:val="HeadingBase"/>
    <w:rsid w:val="00FC5128"/>
    <w:pPr>
      <w:spacing w:before="240" w:after="60"/>
    </w:pPr>
    <w:rPr>
      <w:sz w:val="20"/>
    </w:rPr>
  </w:style>
  <w:style w:type="paragraph" w:customStyle="1" w:styleId="SubHeading1">
    <w:name w:val="SubHeading1"/>
    <w:basedOn w:val="HeadingBase"/>
    <w:rsid w:val="00FC5128"/>
    <w:pPr>
      <w:spacing w:before="240" w:after="60"/>
    </w:pPr>
    <w:rPr>
      <w:color w:val="918585"/>
      <w:sz w:val="22"/>
    </w:rPr>
  </w:style>
  <w:style w:type="paragraph" w:customStyle="1" w:styleId="SideHeading">
    <w:name w:val="Side Heading"/>
    <w:basedOn w:val="HeadingBase"/>
    <w:rsid w:val="00FC51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5128"/>
    <w:pPr>
      <w:numPr>
        <w:numId w:val="12"/>
      </w:numPr>
    </w:pPr>
  </w:style>
  <w:style w:type="paragraph" w:styleId="PlainText">
    <w:name w:val="Plain Text"/>
    <w:basedOn w:val="Normal"/>
    <w:link w:val="PlainTextChar"/>
    <w:rsid w:val="00FC5128"/>
    <w:rPr>
      <w:sz w:val="20"/>
    </w:rPr>
  </w:style>
  <w:style w:type="character" w:customStyle="1" w:styleId="PlainTextChar">
    <w:name w:val="Plain Text Char"/>
    <w:basedOn w:val="DefaultParagraphFont"/>
    <w:link w:val="PlainText"/>
    <w:rsid w:val="00FC5128"/>
    <w:rPr>
      <w:rFonts w:ascii="Courier New" w:eastAsia="Times New Roman" w:hAnsi="Courier New" w:cs="Times New Roman"/>
      <w:sz w:val="20"/>
      <w:szCs w:val="20"/>
      <w:lang w:eastAsia="en-US"/>
    </w:rPr>
  </w:style>
  <w:style w:type="character" w:customStyle="1" w:styleId="MenuOption">
    <w:name w:val="Menu Option"/>
    <w:basedOn w:val="DefaultParagraphFont"/>
    <w:rsid w:val="00FC5128"/>
    <w:rPr>
      <w:b/>
      <w:smallCaps/>
    </w:rPr>
  </w:style>
  <w:style w:type="paragraph" w:customStyle="1" w:styleId="TableListNumber">
    <w:name w:val="Table List Number"/>
    <w:basedOn w:val="ListNumber"/>
    <w:rsid w:val="00FC5128"/>
    <w:pPr>
      <w:numPr>
        <w:numId w:val="0"/>
      </w:numPr>
    </w:pPr>
  </w:style>
  <w:style w:type="paragraph" w:styleId="TOC4">
    <w:name w:val="toc 4"/>
    <w:basedOn w:val="TOCBase"/>
    <w:next w:val="Normal"/>
    <w:semiHidden/>
    <w:rsid w:val="00FC5128"/>
    <w:pPr>
      <w:tabs>
        <w:tab w:val="right" w:leader="dot" w:pos="9071"/>
      </w:tabs>
      <w:ind w:left="1701"/>
    </w:pPr>
  </w:style>
  <w:style w:type="paragraph" w:customStyle="1" w:styleId="ListAlpha">
    <w:name w:val="List Alpha"/>
    <w:basedOn w:val="List"/>
    <w:rsid w:val="00FC5128"/>
    <w:pPr>
      <w:numPr>
        <w:numId w:val="9"/>
      </w:numPr>
    </w:pPr>
  </w:style>
  <w:style w:type="paragraph" w:customStyle="1" w:styleId="ListAlpha2">
    <w:name w:val="List Alpha 2"/>
    <w:basedOn w:val="List2"/>
    <w:rsid w:val="00FC5128"/>
    <w:pPr>
      <w:numPr>
        <w:numId w:val="8"/>
      </w:numPr>
    </w:pPr>
  </w:style>
  <w:style w:type="paragraph" w:styleId="List2">
    <w:name w:val="List 2"/>
    <w:basedOn w:val="BodyText"/>
    <w:rsid w:val="00FC5128"/>
    <w:pPr>
      <w:tabs>
        <w:tab w:val="left" w:pos="680"/>
      </w:tabs>
      <w:spacing w:before="60" w:after="60"/>
      <w:ind w:left="680" w:hanging="340"/>
    </w:pPr>
  </w:style>
  <w:style w:type="paragraph" w:styleId="List3">
    <w:name w:val="List 3"/>
    <w:basedOn w:val="BodyText"/>
    <w:rsid w:val="00FC5128"/>
    <w:pPr>
      <w:tabs>
        <w:tab w:val="left" w:pos="1021"/>
      </w:tabs>
      <w:spacing w:before="60" w:after="60"/>
      <w:ind w:left="1020" w:hanging="340"/>
    </w:pPr>
  </w:style>
  <w:style w:type="paragraph" w:styleId="List4">
    <w:name w:val="List 4"/>
    <w:basedOn w:val="BodyText"/>
    <w:rsid w:val="00FC5128"/>
    <w:pPr>
      <w:tabs>
        <w:tab w:val="left" w:pos="1361"/>
      </w:tabs>
      <w:spacing w:before="60" w:after="60"/>
      <w:ind w:left="1361" w:hanging="340"/>
    </w:pPr>
  </w:style>
  <w:style w:type="paragraph" w:styleId="List5">
    <w:name w:val="List 5"/>
    <w:basedOn w:val="BodyText"/>
    <w:rsid w:val="00FC5128"/>
    <w:pPr>
      <w:tabs>
        <w:tab w:val="left" w:pos="1701"/>
      </w:tabs>
      <w:spacing w:before="60" w:after="60"/>
      <w:ind w:left="1701" w:hanging="340"/>
    </w:pPr>
  </w:style>
  <w:style w:type="paragraph" w:styleId="ListBullet3">
    <w:name w:val="List Bullet 3"/>
    <w:basedOn w:val="List3"/>
    <w:rsid w:val="00FC5128"/>
    <w:pPr>
      <w:numPr>
        <w:numId w:val="15"/>
      </w:numPr>
      <w:tabs>
        <w:tab w:val="clear" w:pos="1021"/>
      </w:tabs>
      <w:ind w:left="1037" w:hanging="357"/>
    </w:pPr>
  </w:style>
  <w:style w:type="paragraph" w:styleId="ListBullet4">
    <w:name w:val="List Bullet 4"/>
    <w:basedOn w:val="List4"/>
    <w:rsid w:val="00FC5128"/>
    <w:pPr>
      <w:numPr>
        <w:numId w:val="3"/>
      </w:numPr>
    </w:pPr>
  </w:style>
  <w:style w:type="paragraph" w:styleId="ListBullet5">
    <w:name w:val="List Bullet 5"/>
    <w:basedOn w:val="List5"/>
    <w:rsid w:val="00FC5128"/>
    <w:pPr>
      <w:numPr>
        <w:numId w:val="4"/>
      </w:numPr>
    </w:pPr>
  </w:style>
  <w:style w:type="paragraph" w:styleId="ListContinue2">
    <w:name w:val="List Continue 2"/>
    <w:basedOn w:val="List2"/>
    <w:rsid w:val="00FC5128"/>
    <w:pPr>
      <w:ind w:firstLine="0"/>
    </w:pPr>
  </w:style>
  <w:style w:type="paragraph" w:styleId="ListContinue3">
    <w:name w:val="List Continue 3"/>
    <w:basedOn w:val="List3"/>
    <w:rsid w:val="00FC5128"/>
    <w:pPr>
      <w:ind w:left="1021" w:firstLine="0"/>
    </w:pPr>
  </w:style>
  <w:style w:type="paragraph" w:styleId="ListContinue4">
    <w:name w:val="List Continue 4"/>
    <w:basedOn w:val="List4"/>
    <w:rsid w:val="00FC5128"/>
    <w:pPr>
      <w:ind w:firstLine="0"/>
    </w:pPr>
  </w:style>
  <w:style w:type="paragraph" w:styleId="ListContinue5">
    <w:name w:val="List Continue 5"/>
    <w:basedOn w:val="List5"/>
    <w:rsid w:val="00FC5128"/>
    <w:pPr>
      <w:ind w:firstLine="0"/>
    </w:pPr>
  </w:style>
  <w:style w:type="paragraph" w:styleId="ListNumber3">
    <w:name w:val="List Number 3"/>
    <w:basedOn w:val="List3"/>
    <w:rsid w:val="00FC5128"/>
    <w:pPr>
      <w:numPr>
        <w:numId w:val="5"/>
      </w:numPr>
    </w:pPr>
  </w:style>
  <w:style w:type="paragraph" w:styleId="ListNumber4">
    <w:name w:val="List Number 4"/>
    <w:basedOn w:val="List4"/>
    <w:rsid w:val="00FC5128"/>
    <w:pPr>
      <w:numPr>
        <w:numId w:val="6"/>
      </w:numPr>
    </w:pPr>
  </w:style>
  <w:style w:type="paragraph" w:styleId="ListNumber5">
    <w:name w:val="List Number 5"/>
    <w:basedOn w:val="List5"/>
    <w:rsid w:val="00FC5128"/>
    <w:pPr>
      <w:numPr>
        <w:numId w:val="7"/>
      </w:numPr>
    </w:pPr>
  </w:style>
  <w:style w:type="paragraph" w:styleId="BlockText">
    <w:name w:val="Block Text"/>
    <w:basedOn w:val="Normal"/>
    <w:rsid w:val="00FC5128"/>
    <w:pPr>
      <w:spacing w:after="120"/>
      <w:ind w:left="1440" w:right="1440"/>
    </w:pPr>
  </w:style>
  <w:style w:type="character" w:customStyle="1" w:styleId="Subscript">
    <w:name w:val="Subscript"/>
    <w:basedOn w:val="DefaultParagraphFont"/>
    <w:rsid w:val="00FC5128"/>
    <w:rPr>
      <w:sz w:val="16"/>
      <w:vertAlign w:val="subscript"/>
    </w:rPr>
  </w:style>
  <w:style w:type="character" w:customStyle="1" w:styleId="Superscript">
    <w:name w:val="Superscript"/>
    <w:basedOn w:val="DefaultParagraphFont"/>
    <w:rsid w:val="00FC5128"/>
    <w:rPr>
      <w:sz w:val="16"/>
      <w:vertAlign w:val="superscript"/>
    </w:rPr>
  </w:style>
  <w:style w:type="character" w:customStyle="1" w:styleId="Symbols">
    <w:name w:val="Symbols"/>
    <w:basedOn w:val="DefaultParagraphFont"/>
    <w:rsid w:val="00FC5128"/>
    <w:rPr>
      <w:rFonts w:ascii="Symbol" w:hAnsi="Symbol"/>
    </w:rPr>
  </w:style>
  <w:style w:type="character" w:customStyle="1" w:styleId="MenuOptions">
    <w:name w:val="Menu Options"/>
    <w:basedOn w:val="DefaultParagraphFont"/>
    <w:rsid w:val="00FC5128"/>
    <w:rPr>
      <w:rFonts w:ascii="Arial Narrow" w:hAnsi="Arial Narrow"/>
      <w:smallCaps/>
    </w:rPr>
  </w:style>
  <w:style w:type="character" w:customStyle="1" w:styleId="Buttons">
    <w:name w:val="Buttons"/>
    <w:basedOn w:val="DefaultParagraphFont"/>
    <w:rsid w:val="00FC5128"/>
    <w:rPr>
      <w:b/>
    </w:rPr>
  </w:style>
  <w:style w:type="character" w:customStyle="1" w:styleId="Underlined">
    <w:name w:val="Underlined"/>
    <w:basedOn w:val="DefaultParagraphFont"/>
    <w:rsid w:val="00FC5128"/>
    <w:rPr>
      <w:u w:val="single"/>
    </w:rPr>
  </w:style>
  <w:style w:type="paragraph" w:customStyle="1" w:styleId="TableBodyTextRight">
    <w:name w:val="Table Body Text Right"/>
    <w:basedOn w:val="TableBodyText"/>
    <w:rsid w:val="00FC5128"/>
    <w:pPr>
      <w:widowControl w:val="0"/>
      <w:autoSpaceDE w:val="0"/>
      <w:autoSpaceDN w:val="0"/>
      <w:adjustRightInd w:val="0"/>
      <w:jc w:val="right"/>
    </w:pPr>
    <w:rPr>
      <w:rFonts w:cs="Arial"/>
      <w:szCs w:val="18"/>
    </w:rPr>
  </w:style>
  <w:style w:type="paragraph" w:customStyle="1" w:styleId="CopyrightText">
    <w:name w:val="Copyright Text"/>
    <w:basedOn w:val="BodyText"/>
    <w:rsid w:val="00FC5128"/>
    <w:rPr>
      <w:sz w:val="18"/>
    </w:rPr>
  </w:style>
  <w:style w:type="paragraph" w:customStyle="1" w:styleId="BodySmallRight">
    <w:name w:val="Body Small Right"/>
    <w:basedOn w:val="BodyTextRight"/>
    <w:rsid w:val="00FC5128"/>
    <w:rPr>
      <w:sz w:val="18"/>
      <w:szCs w:val="18"/>
    </w:rPr>
  </w:style>
  <w:style w:type="paragraph" w:customStyle="1" w:styleId="MarginEdition">
    <w:name w:val="Margin Edition"/>
    <w:basedOn w:val="MarginNote"/>
    <w:rsid w:val="00FC5128"/>
    <w:pPr>
      <w:spacing w:before="0" w:after="0"/>
    </w:pPr>
    <w:rPr>
      <w:rFonts w:ascii="Times New Roman" w:hAnsi="Times New Roman"/>
      <w:color w:val="999999"/>
    </w:rPr>
  </w:style>
  <w:style w:type="paragraph" w:customStyle="1" w:styleId="Spacer">
    <w:name w:val="Spacer"/>
    <w:basedOn w:val="Normal"/>
    <w:rsid w:val="00FC5128"/>
    <w:rPr>
      <w:sz w:val="2"/>
      <w:szCs w:val="2"/>
    </w:rPr>
  </w:style>
  <w:style w:type="character" w:customStyle="1" w:styleId="Small">
    <w:name w:val="Small"/>
    <w:basedOn w:val="DefaultParagraphFont"/>
    <w:rsid w:val="00FC5128"/>
    <w:rPr>
      <w:sz w:val="16"/>
    </w:rPr>
  </w:style>
  <w:style w:type="paragraph" w:customStyle="1" w:styleId="WideTable">
    <w:name w:val="Wide Table"/>
    <w:basedOn w:val="Normal"/>
    <w:rsid w:val="00FC5128"/>
    <w:pPr>
      <w:ind w:left="-1418"/>
    </w:pPr>
    <w:rPr>
      <w:sz w:val="2"/>
      <w:szCs w:val="2"/>
    </w:rPr>
  </w:style>
  <w:style w:type="character" w:styleId="PageNumber">
    <w:name w:val="page number"/>
    <w:basedOn w:val="DefaultParagraphFont"/>
    <w:rsid w:val="00FC5128"/>
  </w:style>
  <w:style w:type="paragraph" w:styleId="Quote">
    <w:name w:val="Quote"/>
    <w:basedOn w:val="Heading1"/>
    <w:link w:val="QuoteChar"/>
    <w:qFormat/>
    <w:rsid w:val="00FC5128"/>
    <w:rPr>
      <w:b w:val="0"/>
      <w:sz w:val="72"/>
      <w:szCs w:val="72"/>
      <w:lang w:val="en-NZ"/>
    </w:rPr>
  </w:style>
  <w:style w:type="character" w:customStyle="1" w:styleId="QuoteChar">
    <w:name w:val="Quote Char"/>
    <w:basedOn w:val="DefaultParagraphFont"/>
    <w:link w:val="Quote"/>
    <w:rsid w:val="00FC51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5128"/>
    <w:pPr>
      <w:pageBreakBefore/>
    </w:pPr>
  </w:style>
  <w:style w:type="paragraph" w:customStyle="1" w:styleId="Border">
    <w:name w:val="Border"/>
    <w:basedOn w:val="Normal"/>
    <w:qFormat/>
    <w:rsid w:val="00FC51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5128"/>
    <w:rPr>
      <w:b/>
      <w:bCs/>
      <w:i/>
      <w:iCs/>
      <w:color w:val="auto"/>
    </w:rPr>
  </w:style>
  <w:style w:type="paragraph" w:styleId="IntenseQuote">
    <w:name w:val="Intense Quote"/>
    <w:basedOn w:val="Normal"/>
    <w:next w:val="Normal"/>
    <w:link w:val="IntenseQuoteChar"/>
    <w:uiPriority w:val="30"/>
    <w:qFormat/>
    <w:rsid w:val="00FC51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51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5128"/>
    <w:rPr>
      <w:smallCaps/>
      <w:color w:val="auto"/>
      <w:u w:val="single"/>
    </w:rPr>
  </w:style>
  <w:style w:type="character" w:styleId="IntenseReference">
    <w:name w:val="Intense Reference"/>
    <w:basedOn w:val="DefaultParagraphFont"/>
    <w:uiPriority w:val="32"/>
    <w:qFormat/>
    <w:rsid w:val="00FC5128"/>
    <w:rPr>
      <w:b/>
      <w:bCs/>
      <w:smallCaps/>
      <w:color w:val="auto"/>
      <w:spacing w:val="5"/>
      <w:u w:val="single"/>
    </w:rPr>
  </w:style>
  <w:style w:type="paragraph" w:customStyle="1" w:styleId="2ColumnHeading">
    <w:name w:val="2Column Heading"/>
    <w:basedOn w:val="BodyText"/>
    <w:qFormat/>
    <w:rsid w:val="00FC5128"/>
    <w:pPr>
      <w:spacing w:after="60"/>
      <w:ind w:left="-2268"/>
    </w:pPr>
    <w:rPr>
      <w:b/>
    </w:rPr>
  </w:style>
  <w:style w:type="paragraph" w:customStyle="1" w:styleId="Heading1TOC">
    <w:name w:val="Heading1 TOC"/>
    <w:basedOn w:val="Normal"/>
    <w:qFormat/>
    <w:rsid w:val="00FC5128"/>
    <w:pPr>
      <w:spacing w:before="240" w:after="120"/>
    </w:pPr>
    <w:rPr>
      <w:rFonts w:ascii="Times New Roman" w:hAnsi="Times New Roman"/>
      <w:b/>
      <w:sz w:val="32"/>
    </w:rPr>
  </w:style>
  <w:style w:type="paragraph" w:customStyle="1" w:styleId="Heading2TOC">
    <w:name w:val="Heading2 TOC"/>
    <w:basedOn w:val="Normal"/>
    <w:qFormat/>
    <w:rsid w:val="00FC5128"/>
    <w:pPr>
      <w:spacing w:before="240" w:after="60"/>
    </w:pPr>
    <w:rPr>
      <w:rFonts w:ascii="Times New Roman" w:hAnsi="Times New Roman"/>
      <w:b/>
      <w:sz w:val="28"/>
    </w:rPr>
  </w:style>
  <w:style w:type="character" w:customStyle="1" w:styleId="Underline">
    <w:name w:val="Underline"/>
    <w:basedOn w:val="DefaultParagraphFont"/>
    <w:qFormat/>
    <w:rsid w:val="00FC5128"/>
    <w:rPr>
      <w:u w:val="single"/>
    </w:rPr>
  </w:style>
  <w:style w:type="character" w:customStyle="1" w:styleId="BoldandItalics">
    <w:name w:val="Bold and Italics"/>
    <w:qFormat/>
    <w:rsid w:val="00FC5128"/>
    <w:rPr>
      <w:b/>
      <w:i/>
      <w:u w:val="none"/>
    </w:rPr>
  </w:style>
  <w:style w:type="paragraph" w:styleId="BalloonText">
    <w:name w:val="Balloon Text"/>
    <w:basedOn w:val="Normal"/>
    <w:link w:val="BalloonTextChar"/>
    <w:rsid w:val="00FC5128"/>
    <w:rPr>
      <w:rFonts w:ascii="Tahoma" w:hAnsi="Tahoma" w:cs="Tahoma"/>
      <w:sz w:val="16"/>
      <w:szCs w:val="16"/>
    </w:rPr>
  </w:style>
  <w:style w:type="character" w:customStyle="1" w:styleId="BalloonTextChar">
    <w:name w:val="Balloon Text Char"/>
    <w:basedOn w:val="DefaultParagraphFont"/>
    <w:link w:val="BalloonText"/>
    <w:rsid w:val="00FC51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51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51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5128"/>
    <w:rPr>
      <w:b/>
      <w:color w:val="660033"/>
      <w:spacing w:val="0"/>
    </w:rPr>
  </w:style>
  <w:style w:type="paragraph" w:customStyle="1" w:styleId="Nameditemlist">
    <w:name w:val="Named item list"/>
    <w:basedOn w:val="BodyText"/>
    <w:qFormat/>
    <w:rsid w:val="00FC512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2836</Words>
  <Characters>16756</Characters>
  <Application>Microsoft Office Word</Application>
  <DocSecurity>0</DocSecurity>
  <Lines>865</Lines>
  <Paragraphs>349</Paragraphs>
  <ScaleCrop>false</ScaleCrop>
  <Company>Author-it Software Corporation Ltd.</Company>
  <LinksUpToDate>false</LinksUpToDate>
  <CharactersWithSpaces>19281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UEGNSG316A Site control of excavations in the vicinity of a transmission pipeline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2012-10-11T22:23:00Z</dcterms:created>
  <dcterms:modified xsi:type="dcterms:W3CDTF">2012-10-11T22:23:00Z</dcterms:modified>
</cp:coreProperties>
</file>